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60" w:right="28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2022</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8" w:lineRule="exact"/>
        <w:rPr>
          <w:sz w:val="24"/>
          <w:szCs w:val="24"/>
          <w:color w:val="auto"/>
        </w:rPr>
      </w:pPr>
    </w:p>
    <w:p>
      <w:pPr>
        <w:ind w:left="460" w:right="260" w:hanging="452"/>
        <w:spacing w:after="0" w:line="237" w:lineRule="auto"/>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Aterian,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243"/>
              <w:spacing w:after="0"/>
              <w:rPr>
                <w:sz w:val="20"/>
                <w:szCs w:val="20"/>
                <w:color w:val="auto"/>
              </w:rPr>
            </w:pPr>
            <w:r>
              <w:rPr>
                <w:rFonts w:ascii="Times New Roman" w:cs="Times New Roman" w:eastAsia="Times New Roman" w:hAnsi="Times New Roman"/>
                <w:sz w:val="18"/>
                <w:szCs w:val="18"/>
                <w:b w:val="1"/>
                <w:bCs w:val="1"/>
                <w:color w:val="auto"/>
              </w:rPr>
              <w:t>83-1739858</w:t>
            </w:r>
          </w:p>
        </w:tc>
      </w:tr>
      <w:tr>
        <w:trPr>
          <w:trHeight w:val="148"/>
        </w:trPr>
        <w:tc>
          <w:tcPr>
            <w:tcW w:w="3940" w:type="dxa"/>
            <w:vAlign w:val="bottom"/>
          </w:tcPr>
          <w:p>
            <w:pPr>
              <w:jc w:val="center"/>
              <w:ind w:left="15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Pr>
          <w:p>
            <w:pPr>
              <w:jc w:val="center"/>
              <w:ind w:right="164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44"/>
        </w:trPr>
        <w:tc>
          <w:tcPr>
            <w:tcW w:w="394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w w:val="99"/>
              </w:rPr>
              <w:t>37 East 18th Street, 7th Floor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8"/>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443"/>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166"/>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80"/>
        </w:trPr>
        <w:tc>
          <w:tcPr>
            <w:tcW w:w="3940" w:type="dxa"/>
            <w:vAlign w:val="bottom"/>
          </w:tcPr>
          <w:p>
            <w:pPr>
              <w:spacing w:after="0"/>
              <w:rPr>
                <w:sz w:val="15"/>
                <w:szCs w:val="15"/>
                <w:color w:val="auto"/>
              </w:rPr>
            </w:pPr>
          </w:p>
        </w:tc>
        <w:tc>
          <w:tcPr>
            <w:tcW w:w="280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(347) 676-1681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90"/>
        </w:trPr>
        <w:tc>
          <w:tcPr>
            <w:tcW w:w="3940" w:type="dxa"/>
            <w:vAlign w:val="bottom"/>
          </w:tcPr>
          <w:p>
            <w:pPr>
              <w:spacing w:after="0"/>
              <w:rPr>
                <w:sz w:val="16"/>
                <w:szCs w:val="16"/>
                <w:color w:val="auto"/>
              </w:rPr>
            </w:pPr>
          </w:p>
        </w:tc>
        <w:tc>
          <w:tcPr>
            <w:tcW w:w="35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77"/>
        </w:trPr>
        <w:tc>
          <w:tcPr>
            <w:tcW w:w="44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tcPr>
          <w:p>
            <w:pPr>
              <w:spacing w:after="0"/>
              <w:rPr>
                <w:sz w:val="6"/>
                <w:szCs w:val="6"/>
                <w:color w:val="auto"/>
              </w:rPr>
            </w:pPr>
          </w:p>
        </w:tc>
      </w:tr>
      <w:tr>
        <w:trPr>
          <w:trHeight w:val="258"/>
        </w:trPr>
        <w:tc>
          <w:tcPr>
            <w:tcW w:w="7480" w:type="dxa"/>
            <w:vAlign w:val="bottom"/>
            <w:gridSpan w:val="8"/>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22"/>
                <w:szCs w:val="22"/>
                <w:color w:val="auto"/>
              </w:rPr>
            </w:pPr>
          </w:p>
        </w:tc>
      </w:tr>
      <w:tr>
        <w:trPr>
          <w:trHeight w:val="222"/>
        </w:trPr>
        <w:tc>
          <w:tcPr>
            <w:tcW w:w="3940" w:type="dxa"/>
            <w:vAlign w:val="bottom"/>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3940" w:type="dxa"/>
            <w:vAlign w:val="bottom"/>
            <w:tcBorders>
              <w:top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5"/>
              </w:rPr>
              <w:t>ATER</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6"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2"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20" w:right="21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9, 2022, the registrant had 65,362,520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273"/>
        </w:trPr>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380" w:type="dxa"/>
            <w:vAlign w:val="bottom"/>
          </w:tcPr>
          <w:p>
            <w:pPr>
              <w:jc w:val="right"/>
              <w:ind w:right="450"/>
              <w:spacing w:after="0"/>
              <w:rPr>
                <w:sz w:val="20"/>
                <w:szCs w:val="20"/>
                <w:color w:val="auto"/>
              </w:rPr>
            </w:pPr>
            <w:r>
              <w:rPr>
                <w:rFonts w:ascii="Calibri" w:cs="Calibri" w:eastAsia="Calibri" w:hAnsi="Calibri"/>
                <w:sz w:val="18"/>
                <w:szCs w:val="18"/>
                <w:color w:val="auto"/>
              </w:rPr>
              <w:t>Page</w:t>
            </w:r>
          </w:p>
        </w:tc>
      </w:tr>
      <w:tr>
        <w:trPr>
          <w:trHeight w:val="186"/>
        </w:trPr>
        <w:tc>
          <w:tcPr>
            <w:tcW w:w="1140" w:type="dxa"/>
            <w:vAlign w:val="bottom"/>
            <w:gridSpan w:val="2"/>
          </w:tcPr>
          <w:p>
            <w:pPr>
              <w:spacing w:after="0" w:line="185" w:lineRule="exact"/>
              <w:rPr>
                <w:sz w:val="20"/>
                <w:szCs w:val="20"/>
                <w:color w:val="auto"/>
              </w:rPr>
            </w:pPr>
            <w:r>
              <w:rPr>
                <w:rFonts w:ascii="Calibri" w:cs="Calibri" w:eastAsia="Calibri" w:hAnsi="Calibri"/>
                <w:sz w:val="18"/>
                <w:szCs w:val="18"/>
                <w:color w:val="auto"/>
              </w:rPr>
              <w:t>PART I.</w:t>
            </w:r>
          </w:p>
        </w:tc>
        <w:tc>
          <w:tcPr>
            <w:tcW w:w="1860" w:type="dxa"/>
            <w:vAlign w:val="bottom"/>
            <w:tcBorders>
              <w:bottom w:val="single" w:sz="8" w:color="0000EE"/>
            </w:tcBorders>
            <w:gridSpan w:val="8"/>
          </w:tcPr>
          <w:p>
            <w:pPr>
              <w:spacing w:after="0" w:line="185" w:lineRule="exact"/>
              <w:rPr>
                <w:sz w:val="20"/>
                <w:szCs w:val="20"/>
                <w:color w:val="auto"/>
              </w:rPr>
            </w:pPr>
            <w:r>
              <w:rPr>
                <w:rFonts w:ascii="Calibri" w:cs="Calibri" w:eastAsia="Calibri" w:hAnsi="Calibri"/>
                <w:sz w:val="18"/>
                <w:szCs w:val="18"/>
                <w:color w:val="0000EE"/>
                <w:w w:val="96"/>
              </w:rPr>
              <w:t>FINANCIAL INFORMATION</w:t>
            </w:r>
          </w:p>
        </w:tc>
        <w:tc>
          <w:tcPr>
            <w:tcW w:w="5860" w:type="dxa"/>
            <w:vAlign w:val="bottom"/>
            <w:gridSpan w:val="12"/>
          </w:tcPr>
          <w:p>
            <w:pPr>
              <w:spacing w:after="0"/>
              <w:rPr>
                <w:sz w:val="16"/>
                <w:szCs w:val="16"/>
                <w:color w:val="auto"/>
              </w:rPr>
            </w:pPr>
          </w:p>
        </w:tc>
        <w:tc>
          <w:tcPr>
            <w:tcW w:w="2380" w:type="dxa"/>
            <w:vAlign w:val="bottom"/>
          </w:tcPr>
          <w:p>
            <w:pPr>
              <w:spacing w:after="0"/>
              <w:rPr>
                <w:sz w:val="16"/>
                <w:szCs w:val="16"/>
                <w:color w:val="auto"/>
              </w:rPr>
            </w:pPr>
          </w:p>
        </w:tc>
      </w:tr>
      <w:tr>
        <w:trPr>
          <w:trHeight w:val="196"/>
        </w:trPr>
        <w:tc>
          <w:tcPr>
            <w:tcW w:w="1140" w:type="dxa"/>
            <w:vAlign w:val="bottom"/>
            <w:gridSpan w:val="2"/>
          </w:tcPr>
          <w:p>
            <w:pPr>
              <w:spacing w:after="0" w:line="196" w:lineRule="exact"/>
              <w:rPr>
                <w:sz w:val="20"/>
                <w:szCs w:val="20"/>
                <w:color w:val="auto"/>
              </w:rPr>
            </w:pPr>
            <w:r>
              <w:rPr>
                <w:rFonts w:ascii="Calibri" w:cs="Calibri" w:eastAsia="Calibri" w:hAnsi="Calibri"/>
                <w:sz w:val="18"/>
                <w:szCs w:val="18"/>
                <w:color w:val="auto"/>
              </w:rPr>
              <w:t>Item 1.</w:t>
            </w:r>
          </w:p>
        </w:tc>
        <w:tc>
          <w:tcPr>
            <w:tcW w:w="2380" w:type="dxa"/>
            <w:vAlign w:val="bottom"/>
            <w:tcBorders>
              <w:bottom w:val="single" w:sz="8" w:color="0000EE"/>
            </w:tcBorders>
            <w:gridSpan w:val="10"/>
          </w:tcPr>
          <w:p>
            <w:pPr>
              <w:spacing w:after="0" w:line="196" w:lineRule="exact"/>
              <w:rPr>
                <w:sz w:val="20"/>
                <w:szCs w:val="20"/>
                <w:color w:val="auto"/>
              </w:rPr>
            </w:pPr>
            <w:r>
              <w:rPr>
                <w:rFonts w:ascii="Calibri" w:cs="Calibri" w:eastAsia="Calibri" w:hAnsi="Calibri"/>
                <w:sz w:val="18"/>
                <w:szCs w:val="18"/>
                <w:color w:val="0000EE"/>
                <w:w w:val="96"/>
              </w:rPr>
              <w:t>Financial Statements (Unaudited)</w:t>
            </w:r>
          </w:p>
        </w:tc>
        <w:tc>
          <w:tcPr>
            <w:tcW w:w="534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4</w:t>
            </w: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720" w:type="dxa"/>
            <w:vAlign w:val="bottom"/>
            <w:gridSpan w:val="20"/>
          </w:tcPr>
          <w:p>
            <w:pPr>
              <w:spacing w:after="0" w:line="196" w:lineRule="exact"/>
              <w:rPr>
                <w:sz w:val="20"/>
                <w:szCs w:val="20"/>
                <w:color w:val="auto"/>
              </w:rPr>
            </w:pPr>
            <w:r>
              <w:rPr>
                <w:rFonts w:ascii="Calibri" w:cs="Calibri" w:eastAsia="Calibri" w:hAnsi="Calibri"/>
                <w:sz w:val="18"/>
                <w:szCs w:val="18"/>
                <w:color w:val="0000EE"/>
              </w:rPr>
              <w:t>Condensed Consolidated Balance Sheets</w:t>
            </w: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60" w:type="dxa"/>
            <w:vAlign w:val="bottom"/>
            <w:tcBorders>
              <w:bottom w:val="single" w:sz="8" w:color="0000EE"/>
            </w:tcBorders>
            <w:gridSpan w:val="13"/>
          </w:tcPr>
          <w:p>
            <w:pPr>
              <w:spacing w:after="0" w:line="196" w:lineRule="exact"/>
              <w:rPr>
                <w:sz w:val="20"/>
                <w:szCs w:val="20"/>
                <w:color w:val="auto"/>
              </w:rPr>
            </w:pPr>
            <w:r>
              <w:rPr>
                <w:rFonts w:ascii="Calibri" w:cs="Calibri" w:eastAsia="Calibri" w:hAnsi="Calibri"/>
                <w:sz w:val="18"/>
                <w:szCs w:val="18"/>
                <w:color w:val="0000EE"/>
                <w:w w:val="98"/>
              </w:rPr>
              <w:t>Condensed Consolidated Statements of Operatons</w:t>
            </w:r>
          </w:p>
        </w:tc>
        <w:tc>
          <w:tcPr>
            <w:tcW w:w="4060" w:type="dxa"/>
            <w:vAlign w:val="bottom"/>
            <w:gridSpan w:val="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5</w:t>
            </w: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20" w:type="dxa"/>
            <w:vAlign w:val="bottom"/>
            <w:tcBorders>
              <w:bottom w:val="single" w:sz="8" w:color="0000EE"/>
            </w:tcBorders>
            <w:gridSpan w:val="17"/>
          </w:tcPr>
          <w:p>
            <w:pPr>
              <w:spacing w:after="0" w:line="196" w:lineRule="exact"/>
              <w:rPr>
                <w:sz w:val="20"/>
                <w:szCs w:val="20"/>
                <w:color w:val="auto"/>
              </w:rPr>
            </w:pPr>
            <w:r>
              <w:rPr>
                <w:rFonts w:ascii="Calibri" w:cs="Calibri" w:eastAsia="Calibri" w:hAnsi="Calibri"/>
                <w:sz w:val="18"/>
                <w:szCs w:val="18"/>
                <w:color w:val="0000EE"/>
                <w:w w:val="97"/>
              </w:rPr>
              <w:t>Condensed Consolidated Statements of Comprehensive Loss</w:t>
            </w:r>
          </w:p>
        </w:tc>
        <w:tc>
          <w:tcPr>
            <w:tcW w:w="340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6</w:t>
            </w: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00" w:type="dxa"/>
            <w:vAlign w:val="bottom"/>
            <w:tcBorders>
              <w:bottom w:val="single" w:sz="8" w:color="0000EE"/>
            </w:tcBorders>
            <w:gridSpan w:val="16"/>
          </w:tcPr>
          <w:p>
            <w:pPr>
              <w:spacing w:after="0" w:line="196" w:lineRule="exact"/>
              <w:rPr>
                <w:sz w:val="20"/>
                <w:szCs w:val="20"/>
                <w:color w:val="auto"/>
              </w:rPr>
            </w:pPr>
            <w:r>
              <w:rPr>
                <w:rFonts w:ascii="Calibri" w:cs="Calibri" w:eastAsia="Calibri" w:hAnsi="Calibri"/>
                <w:sz w:val="18"/>
                <w:szCs w:val="18"/>
                <w:color w:val="0000EE"/>
                <w:w w:val="96"/>
              </w:rPr>
              <w:t>Condensed Consolidated Statements of Stockholder’s Equity</w:t>
            </w:r>
          </w:p>
        </w:tc>
        <w:tc>
          <w:tcPr>
            <w:tcW w:w="342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7</w:t>
            </w: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sz w:val="20"/>
                <w:szCs w:val="20"/>
                <w:color w:val="auto"/>
              </w:rPr>
            </w:pPr>
            <w:r>
              <w:rPr>
                <w:rFonts w:ascii="Calibri" w:cs="Calibri" w:eastAsia="Calibri" w:hAnsi="Calibri"/>
                <w:sz w:val="18"/>
                <w:szCs w:val="18"/>
                <w:color w:val="0000EE"/>
                <w:w w:val="96"/>
              </w:rPr>
              <w:t>Condensed Consolidated Statements of Cash Flows</w:t>
            </w:r>
          </w:p>
        </w:tc>
        <w:tc>
          <w:tcPr>
            <w:tcW w:w="408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8</w:t>
            </w: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720" w:type="dxa"/>
            <w:vAlign w:val="bottom"/>
            <w:gridSpan w:val="20"/>
          </w:tcPr>
          <w:p>
            <w:pPr>
              <w:spacing w:after="0" w:line="196" w:lineRule="exact"/>
              <w:rPr>
                <w:sz w:val="20"/>
                <w:szCs w:val="20"/>
                <w:color w:val="auto"/>
              </w:rPr>
            </w:pPr>
            <w:r>
              <w:rPr>
                <w:rFonts w:ascii="Calibri" w:cs="Calibri" w:eastAsia="Calibri" w:hAnsi="Calibri"/>
                <w:sz w:val="18"/>
                <w:szCs w:val="18"/>
                <w:color w:val="0000EE"/>
              </w:rPr>
              <w:t>Notes to Unaudited Condensed Consolidated Financial Statements</w:t>
            </w: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9</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Calibri" w:cs="Calibri" w:eastAsia="Calibri" w:hAnsi="Calibri"/>
                <w:sz w:val="18"/>
                <w:szCs w:val="18"/>
                <w:color w:val="auto"/>
              </w:rPr>
              <w:t>Item 2.</w:t>
            </w:r>
          </w:p>
        </w:tc>
        <w:tc>
          <w:tcPr>
            <w:tcW w:w="7720" w:type="dxa"/>
            <w:vAlign w:val="bottom"/>
            <w:gridSpan w:val="20"/>
          </w:tcPr>
          <w:p>
            <w:pPr>
              <w:spacing w:after="0" w:line="196" w:lineRule="exact"/>
              <w:rPr>
                <w:sz w:val="20"/>
                <w:szCs w:val="20"/>
                <w:color w:val="auto"/>
              </w:rPr>
            </w:pPr>
            <w:r>
              <w:rPr>
                <w:rFonts w:ascii="Calibri" w:cs="Calibri" w:eastAsia="Calibri" w:hAnsi="Calibri"/>
                <w:sz w:val="18"/>
                <w:szCs w:val="18"/>
                <w:color w:val="0000EE"/>
              </w:rPr>
              <w:t>Management’s Discussion and Analysis of Financial Conditon and Results of Operatons</w:t>
            </w: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33</w:t>
            </w:r>
          </w:p>
        </w:tc>
      </w:tr>
      <w:tr>
        <w:trPr>
          <w:trHeight w:val="196"/>
        </w:trPr>
        <w:tc>
          <w:tcPr>
            <w:tcW w:w="1140" w:type="dxa"/>
            <w:vAlign w:val="bottom"/>
            <w:gridSpan w:val="2"/>
          </w:tcPr>
          <w:p>
            <w:pPr>
              <w:spacing w:after="0" w:line="183" w:lineRule="exact"/>
              <w:rPr>
                <w:sz w:val="20"/>
                <w:szCs w:val="20"/>
                <w:color w:val="auto"/>
              </w:rPr>
            </w:pPr>
            <w:r>
              <w:rPr>
                <w:rFonts w:ascii="Calibri" w:cs="Calibri" w:eastAsia="Calibri" w:hAnsi="Calibri"/>
                <w:sz w:val="18"/>
                <w:szCs w:val="18"/>
                <w:color w:val="auto"/>
              </w:rPr>
              <w:t>Item 3.</w:t>
            </w:r>
          </w:p>
        </w:tc>
        <w:tc>
          <w:tcPr>
            <w:tcW w:w="6220" w:type="dxa"/>
            <w:vAlign w:val="bottom"/>
            <w:tcBorders>
              <w:top w:val="single" w:sz="8" w:color="0000EE"/>
            </w:tcBorders>
            <w:gridSpan w:val="19"/>
          </w:tcPr>
          <w:p>
            <w:pPr>
              <w:spacing w:after="0" w:line="183" w:lineRule="exact"/>
              <w:rPr>
                <w:sz w:val="20"/>
                <w:szCs w:val="20"/>
                <w:color w:val="auto"/>
              </w:rPr>
            </w:pPr>
            <w:r>
              <w:rPr>
                <w:rFonts w:ascii="Calibri" w:cs="Calibri" w:eastAsia="Calibri" w:hAnsi="Calibri"/>
                <w:sz w:val="18"/>
                <w:szCs w:val="18"/>
                <w:color w:val="0000EE"/>
              </w:rPr>
              <w:t>Quanttatve and Qualitatve Disclosures About Market Risk</w:t>
            </w:r>
          </w:p>
        </w:tc>
        <w:tc>
          <w:tcPr>
            <w:tcW w:w="1500" w:type="dxa"/>
            <w:vAlign w:val="bottom"/>
          </w:tcPr>
          <w:p>
            <w:pPr>
              <w:spacing w:after="0"/>
              <w:rPr>
                <w:sz w:val="17"/>
                <w:szCs w:val="17"/>
                <w:color w:val="auto"/>
              </w:rPr>
            </w:pPr>
          </w:p>
        </w:tc>
        <w:tc>
          <w:tcPr>
            <w:tcW w:w="2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140" w:type="dxa"/>
            <w:vAlign w:val="bottom"/>
            <w:gridSpan w:val="2"/>
          </w:tcPr>
          <w:p>
            <w:pPr>
              <w:spacing w:after="0" w:line="183" w:lineRule="exact"/>
              <w:rPr>
                <w:sz w:val="20"/>
                <w:szCs w:val="20"/>
                <w:color w:val="auto"/>
              </w:rPr>
            </w:pPr>
            <w:r>
              <w:rPr>
                <w:rFonts w:ascii="Calibri" w:cs="Calibri" w:eastAsia="Calibri" w:hAnsi="Calibri"/>
                <w:sz w:val="18"/>
                <w:szCs w:val="18"/>
                <w:color w:val="auto"/>
              </w:rPr>
              <w:t>Item 4.</w:t>
            </w:r>
          </w:p>
        </w:tc>
        <w:tc>
          <w:tcPr>
            <w:tcW w:w="4200" w:type="dxa"/>
            <w:vAlign w:val="bottom"/>
            <w:tcBorders>
              <w:top w:val="single" w:sz="8" w:color="0000EE"/>
            </w:tcBorders>
            <w:gridSpan w:val="14"/>
          </w:tcPr>
          <w:p>
            <w:pPr>
              <w:spacing w:after="0" w:line="183" w:lineRule="exact"/>
              <w:rPr>
                <w:sz w:val="20"/>
                <w:szCs w:val="20"/>
                <w:color w:val="auto"/>
              </w:rPr>
            </w:pPr>
            <w:r>
              <w:rPr>
                <w:rFonts w:ascii="Calibri" w:cs="Calibri" w:eastAsia="Calibri" w:hAnsi="Calibri"/>
                <w:sz w:val="18"/>
                <w:szCs w:val="18"/>
                <w:color w:val="0000EE"/>
              </w:rPr>
              <w:t>Controls and Procedures</w:t>
            </w:r>
          </w:p>
        </w:tc>
        <w:tc>
          <w:tcPr>
            <w:tcW w:w="3520" w:type="dxa"/>
            <w:vAlign w:val="bottom"/>
            <w:gridSpan w:val="6"/>
          </w:tcPr>
          <w:p>
            <w:pPr>
              <w:spacing w:after="0"/>
              <w:rPr>
                <w:sz w:val="17"/>
                <w:szCs w:val="17"/>
                <w:color w:val="auto"/>
              </w:rPr>
            </w:pPr>
          </w:p>
        </w:tc>
        <w:tc>
          <w:tcPr>
            <w:tcW w:w="2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140" w:type="dxa"/>
            <w:vAlign w:val="bottom"/>
            <w:gridSpan w:val="2"/>
          </w:tcPr>
          <w:p>
            <w:pPr>
              <w:spacing w:after="0" w:line="183" w:lineRule="exact"/>
              <w:rPr>
                <w:sz w:val="20"/>
                <w:szCs w:val="20"/>
                <w:color w:val="auto"/>
              </w:rPr>
            </w:pPr>
            <w:r>
              <w:rPr>
                <w:rFonts w:ascii="Calibri" w:cs="Calibri" w:eastAsia="Calibri" w:hAnsi="Calibri"/>
                <w:sz w:val="18"/>
                <w:szCs w:val="18"/>
                <w:color w:val="auto"/>
              </w:rPr>
              <w:t>PART II.</w:t>
            </w:r>
          </w:p>
        </w:tc>
        <w:tc>
          <w:tcPr>
            <w:tcW w:w="1580" w:type="dxa"/>
            <w:vAlign w:val="bottom"/>
            <w:tcBorders>
              <w:top w:val="single" w:sz="8" w:color="0000EE"/>
              <w:bottom w:val="single" w:sz="8" w:color="0000EE"/>
            </w:tcBorders>
            <w:gridSpan w:val="5"/>
          </w:tcPr>
          <w:p>
            <w:pPr>
              <w:spacing w:after="0" w:line="183" w:lineRule="exact"/>
              <w:rPr>
                <w:sz w:val="20"/>
                <w:szCs w:val="20"/>
                <w:color w:val="auto"/>
              </w:rPr>
            </w:pPr>
            <w:r>
              <w:rPr>
                <w:rFonts w:ascii="Calibri" w:cs="Calibri" w:eastAsia="Calibri" w:hAnsi="Calibri"/>
                <w:sz w:val="18"/>
                <w:szCs w:val="18"/>
                <w:color w:val="0000EE"/>
                <w:w w:val="95"/>
              </w:rPr>
              <w:t>OTHER INFORMATION</w:t>
            </w:r>
          </w:p>
        </w:tc>
        <w:tc>
          <w:tcPr>
            <w:tcW w:w="160" w:type="dxa"/>
            <w:vAlign w:val="bottom"/>
            <w:tcBorders>
              <w:top w:val="single" w:sz="8" w:color="0000EE"/>
            </w:tcBorders>
            <w:gridSpan w:val="2"/>
          </w:tcPr>
          <w:p>
            <w:pPr>
              <w:spacing w:after="0"/>
              <w:rPr>
                <w:sz w:val="17"/>
                <w:szCs w:val="17"/>
                <w:color w:val="auto"/>
              </w:rPr>
            </w:pPr>
          </w:p>
        </w:tc>
        <w:tc>
          <w:tcPr>
            <w:tcW w:w="5980" w:type="dxa"/>
            <w:vAlign w:val="bottom"/>
            <w:gridSpan w:val="13"/>
          </w:tcPr>
          <w:p>
            <w:pPr>
              <w:spacing w:after="0"/>
              <w:rPr>
                <w:sz w:val="17"/>
                <w:szCs w:val="17"/>
                <w:color w:val="auto"/>
              </w:rPr>
            </w:pPr>
          </w:p>
        </w:tc>
        <w:tc>
          <w:tcPr>
            <w:tcW w:w="2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140" w:type="dxa"/>
            <w:vAlign w:val="bottom"/>
            <w:gridSpan w:val="2"/>
          </w:tcPr>
          <w:p>
            <w:pPr>
              <w:spacing w:after="0" w:line="196" w:lineRule="exact"/>
              <w:rPr>
                <w:sz w:val="20"/>
                <w:szCs w:val="20"/>
                <w:color w:val="auto"/>
              </w:rPr>
            </w:pPr>
            <w:r>
              <w:rPr>
                <w:rFonts w:ascii="Calibri" w:cs="Calibri" w:eastAsia="Calibri" w:hAnsi="Calibri"/>
                <w:sz w:val="18"/>
                <w:szCs w:val="18"/>
                <w:color w:val="auto"/>
              </w:rPr>
              <w:t>Item 1.</w:t>
            </w:r>
          </w:p>
        </w:tc>
        <w:tc>
          <w:tcPr>
            <w:tcW w:w="1280" w:type="dxa"/>
            <w:vAlign w:val="bottom"/>
            <w:tcBorders>
              <w:bottom w:val="single" w:sz="8" w:color="0000EE"/>
            </w:tcBorders>
            <w:gridSpan w:val="3"/>
          </w:tcPr>
          <w:p>
            <w:pPr>
              <w:spacing w:after="0" w:line="196" w:lineRule="exact"/>
              <w:rPr>
                <w:sz w:val="20"/>
                <w:szCs w:val="20"/>
                <w:color w:val="auto"/>
              </w:rPr>
            </w:pPr>
            <w:r>
              <w:rPr>
                <w:rFonts w:ascii="Calibri" w:cs="Calibri" w:eastAsia="Calibri" w:hAnsi="Calibri"/>
                <w:sz w:val="18"/>
                <w:szCs w:val="18"/>
                <w:color w:val="0000EE"/>
                <w:w w:val="96"/>
              </w:rPr>
              <w:t>Legal Proceedings</w:t>
            </w:r>
          </w:p>
        </w:tc>
        <w:tc>
          <w:tcPr>
            <w:tcW w:w="6440" w:type="dxa"/>
            <w:vAlign w:val="bottom"/>
            <w:gridSpan w:val="1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49</w:t>
            </w:r>
          </w:p>
        </w:tc>
      </w:tr>
      <w:tr>
        <w:trPr>
          <w:trHeight w:val="196"/>
        </w:trPr>
        <w:tc>
          <w:tcPr>
            <w:tcW w:w="1140" w:type="dxa"/>
            <w:vAlign w:val="bottom"/>
            <w:gridSpan w:val="2"/>
          </w:tcPr>
          <w:p>
            <w:pPr>
              <w:spacing w:after="0" w:line="196" w:lineRule="exact"/>
              <w:rPr>
                <w:sz w:val="20"/>
                <w:szCs w:val="20"/>
                <w:color w:val="auto"/>
              </w:rPr>
            </w:pPr>
            <w:r>
              <w:rPr>
                <w:rFonts w:ascii="Calibri" w:cs="Calibri" w:eastAsia="Calibri" w:hAnsi="Calibri"/>
                <w:sz w:val="18"/>
                <w:szCs w:val="18"/>
                <w:color w:val="auto"/>
              </w:rPr>
              <w:t>Item 1A.</w:t>
            </w:r>
          </w:p>
        </w:tc>
        <w:tc>
          <w:tcPr>
            <w:tcW w:w="840" w:type="dxa"/>
            <w:vAlign w:val="bottom"/>
            <w:tcBorders>
              <w:bottom w:val="single" w:sz="8" w:color="0000EE"/>
            </w:tcBorders>
            <w:gridSpan w:val="2"/>
          </w:tcPr>
          <w:p>
            <w:pPr>
              <w:spacing w:after="0" w:line="196" w:lineRule="exact"/>
              <w:rPr>
                <w:sz w:val="20"/>
                <w:szCs w:val="20"/>
                <w:color w:val="auto"/>
              </w:rPr>
            </w:pPr>
            <w:r>
              <w:rPr>
                <w:rFonts w:ascii="Calibri" w:cs="Calibri" w:eastAsia="Calibri" w:hAnsi="Calibri"/>
                <w:sz w:val="18"/>
                <w:szCs w:val="18"/>
                <w:color w:val="0000EE"/>
                <w:w w:val="94"/>
              </w:rPr>
              <w:t>Risk Factors</w:t>
            </w:r>
          </w:p>
        </w:tc>
        <w:tc>
          <w:tcPr>
            <w:tcW w:w="6880" w:type="dxa"/>
            <w:vAlign w:val="bottom"/>
            <w:gridSpan w:val="1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Calibri" w:cs="Calibri" w:eastAsia="Calibri" w:hAnsi="Calibri"/>
                <w:sz w:val="18"/>
                <w:szCs w:val="18"/>
                <w:color w:val="auto"/>
              </w:rPr>
              <w:t>49</w:t>
            </w:r>
          </w:p>
        </w:tc>
      </w:tr>
      <w:tr>
        <w:trPr>
          <w:trHeight w:val="196"/>
        </w:trPr>
        <w:tc>
          <w:tcPr>
            <w:tcW w:w="1140" w:type="dxa"/>
            <w:vAlign w:val="bottom"/>
            <w:gridSpan w:val="2"/>
          </w:tcPr>
          <w:p>
            <w:pPr>
              <w:spacing w:after="0" w:line="183" w:lineRule="exact"/>
              <w:rPr>
                <w:sz w:val="20"/>
                <w:szCs w:val="20"/>
                <w:color w:val="auto"/>
              </w:rPr>
            </w:pPr>
            <w:r>
              <w:rPr>
                <w:rFonts w:ascii="Calibri" w:cs="Calibri" w:eastAsia="Calibri" w:hAnsi="Calibri"/>
                <w:sz w:val="18"/>
                <w:szCs w:val="18"/>
                <w:color w:val="auto"/>
              </w:rPr>
              <w:t>Item 2.</w:t>
            </w:r>
          </w:p>
        </w:tc>
        <w:tc>
          <w:tcPr>
            <w:tcW w:w="7720" w:type="dxa"/>
            <w:vAlign w:val="bottom"/>
            <w:gridSpan w:val="20"/>
          </w:tcPr>
          <w:p>
            <w:pPr>
              <w:spacing w:after="0" w:line="183" w:lineRule="exact"/>
              <w:rPr>
                <w:sz w:val="20"/>
                <w:szCs w:val="20"/>
                <w:color w:val="auto"/>
              </w:rPr>
            </w:pPr>
            <w:r>
              <w:rPr>
                <w:rFonts w:ascii="Calibri" w:cs="Calibri" w:eastAsia="Calibri" w:hAnsi="Calibri"/>
                <w:sz w:val="18"/>
                <w:szCs w:val="18"/>
                <w:color w:val="0000EE"/>
              </w:rPr>
              <w:t>Unregistered Sales of Equity Securites and Use of Proceeds</w:t>
            </w:r>
          </w:p>
        </w:tc>
        <w:tc>
          <w:tcPr>
            <w:tcW w:w="2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140" w:type="dxa"/>
            <w:vAlign w:val="bottom"/>
            <w:gridSpan w:val="2"/>
          </w:tcPr>
          <w:p>
            <w:pPr>
              <w:spacing w:after="0" w:line="183" w:lineRule="exact"/>
              <w:rPr>
                <w:sz w:val="20"/>
                <w:szCs w:val="20"/>
                <w:color w:val="auto"/>
              </w:rPr>
            </w:pPr>
            <w:r>
              <w:rPr>
                <w:rFonts w:ascii="Calibri" w:cs="Calibri" w:eastAsia="Calibri" w:hAnsi="Calibri"/>
                <w:sz w:val="18"/>
                <w:szCs w:val="18"/>
                <w:color w:val="auto"/>
              </w:rPr>
              <w:t>Item 3.</w:t>
            </w:r>
          </w:p>
        </w:tc>
        <w:tc>
          <w:tcPr>
            <w:tcW w:w="4220" w:type="dxa"/>
            <w:vAlign w:val="bottom"/>
            <w:tcBorders>
              <w:top w:val="single" w:sz="8" w:color="0000EE"/>
            </w:tcBorders>
            <w:gridSpan w:val="15"/>
          </w:tcPr>
          <w:p>
            <w:pPr>
              <w:spacing w:after="0" w:line="183" w:lineRule="exact"/>
              <w:rPr>
                <w:sz w:val="20"/>
                <w:szCs w:val="20"/>
                <w:color w:val="auto"/>
              </w:rPr>
            </w:pPr>
            <w:r>
              <w:rPr>
                <w:rFonts w:ascii="Calibri" w:cs="Calibri" w:eastAsia="Calibri" w:hAnsi="Calibri"/>
                <w:sz w:val="18"/>
                <w:szCs w:val="18"/>
                <w:color w:val="0000EE"/>
              </w:rPr>
              <w:t>Defaults Upon Senior Securites</w:t>
            </w:r>
          </w:p>
        </w:tc>
        <w:tc>
          <w:tcPr>
            <w:tcW w:w="3500" w:type="dxa"/>
            <w:vAlign w:val="bottom"/>
            <w:gridSpan w:val="5"/>
          </w:tcPr>
          <w:p>
            <w:pPr>
              <w:spacing w:after="0"/>
              <w:rPr>
                <w:sz w:val="17"/>
                <w:szCs w:val="17"/>
                <w:color w:val="auto"/>
              </w:rPr>
            </w:pPr>
          </w:p>
        </w:tc>
        <w:tc>
          <w:tcPr>
            <w:tcW w:w="2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140" w:type="dxa"/>
            <w:vAlign w:val="bottom"/>
            <w:gridSpan w:val="2"/>
          </w:tcPr>
          <w:p>
            <w:pPr>
              <w:spacing w:after="0" w:line="196" w:lineRule="exact"/>
              <w:rPr>
                <w:sz w:val="20"/>
                <w:szCs w:val="20"/>
                <w:color w:val="auto"/>
              </w:rPr>
            </w:pPr>
            <w:r>
              <w:rPr>
                <w:rFonts w:ascii="Calibri" w:cs="Calibri" w:eastAsia="Calibri" w:hAnsi="Calibri"/>
                <w:sz w:val="18"/>
                <w:szCs w:val="18"/>
                <w:color w:val="auto"/>
              </w:rPr>
              <w:t>Item 4.</w:t>
            </w:r>
          </w:p>
        </w:tc>
        <w:tc>
          <w:tcPr>
            <w:tcW w:w="1680" w:type="dxa"/>
            <w:vAlign w:val="bottom"/>
            <w:tcBorders>
              <w:top w:val="single" w:sz="8" w:color="0000EE"/>
              <w:bottom w:val="single" w:sz="8" w:color="0000EE"/>
            </w:tcBorders>
            <w:gridSpan w:val="6"/>
          </w:tcPr>
          <w:p>
            <w:pPr>
              <w:spacing w:after="0" w:line="183" w:lineRule="exact"/>
              <w:rPr>
                <w:sz w:val="20"/>
                <w:szCs w:val="20"/>
                <w:color w:val="auto"/>
              </w:rPr>
            </w:pPr>
            <w:r>
              <w:rPr>
                <w:rFonts w:ascii="Calibri" w:cs="Calibri" w:eastAsia="Calibri" w:hAnsi="Calibri"/>
                <w:sz w:val="18"/>
                <w:szCs w:val="18"/>
                <w:color w:val="0000EE"/>
                <w:w w:val="95"/>
              </w:rPr>
              <w:t>Mine Safety Disclosures</w:t>
            </w:r>
          </w:p>
        </w:tc>
        <w:tc>
          <w:tcPr>
            <w:tcW w:w="560" w:type="dxa"/>
            <w:vAlign w:val="bottom"/>
            <w:tcBorders>
              <w:top w:val="single" w:sz="8" w:color="0000EE"/>
            </w:tcBorders>
            <w:gridSpan w:val="3"/>
          </w:tcPr>
          <w:p>
            <w:pPr>
              <w:spacing w:after="0"/>
              <w:rPr>
                <w:sz w:val="17"/>
                <w:szCs w:val="17"/>
                <w:color w:val="auto"/>
              </w:rPr>
            </w:pPr>
          </w:p>
        </w:tc>
        <w:tc>
          <w:tcPr>
            <w:tcW w:w="548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140" w:type="dxa"/>
            <w:vAlign w:val="bottom"/>
            <w:gridSpan w:val="2"/>
          </w:tcPr>
          <w:p>
            <w:pPr>
              <w:spacing w:after="0" w:line="183" w:lineRule="exact"/>
              <w:rPr>
                <w:sz w:val="20"/>
                <w:szCs w:val="20"/>
                <w:color w:val="auto"/>
              </w:rPr>
            </w:pPr>
            <w:r>
              <w:rPr>
                <w:rFonts w:ascii="Calibri" w:cs="Calibri" w:eastAsia="Calibri" w:hAnsi="Calibri"/>
                <w:sz w:val="18"/>
                <w:szCs w:val="18"/>
                <w:color w:val="auto"/>
              </w:rPr>
              <w:t>Item 5.</w:t>
            </w:r>
          </w:p>
        </w:tc>
        <w:tc>
          <w:tcPr>
            <w:tcW w:w="7720" w:type="dxa"/>
            <w:vAlign w:val="bottom"/>
            <w:gridSpan w:val="20"/>
          </w:tcPr>
          <w:p>
            <w:pPr>
              <w:spacing w:after="0" w:line="183" w:lineRule="exact"/>
              <w:rPr>
                <w:sz w:val="20"/>
                <w:szCs w:val="20"/>
                <w:color w:val="auto"/>
              </w:rPr>
            </w:pPr>
            <w:r>
              <w:rPr>
                <w:rFonts w:ascii="Calibri" w:cs="Calibri" w:eastAsia="Calibri" w:hAnsi="Calibri"/>
                <w:sz w:val="18"/>
                <w:szCs w:val="18"/>
                <w:color w:val="0000EE"/>
              </w:rPr>
              <w:t>Other Informaton</w:t>
            </w:r>
          </w:p>
        </w:tc>
        <w:tc>
          <w:tcPr>
            <w:tcW w:w="2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140" w:type="dxa"/>
            <w:vAlign w:val="bottom"/>
            <w:gridSpan w:val="2"/>
          </w:tcPr>
          <w:p>
            <w:pPr>
              <w:spacing w:after="0" w:line="183" w:lineRule="exact"/>
              <w:rPr>
                <w:sz w:val="20"/>
                <w:szCs w:val="20"/>
                <w:color w:val="auto"/>
              </w:rPr>
            </w:pPr>
            <w:r>
              <w:rPr>
                <w:rFonts w:ascii="Calibri" w:cs="Calibri" w:eastAsia="Calibri" w:hAnsi="Calibri"/>
                <w:sz w:val="18"/>
                <w:szCs w:val="18"/>
                <w:color w:val="auto"/>
              </w:rPr>
              <w:t>Item 6.</w:t>
            </w:r>
          </w:p>
        </w:tc>
        <w:tc>
          <w:tcPr>
            <w:tcW w:w="1300" w:type="dxa"/>
            <w:vAlign w:val="bottom"/>
            <w:tcBorders>
              <w:top w:val="single" w:sz="8" w:color="0000EE"/>
            </w:tcBorders>
            <w:gridSpan w:val="4"/>
          </w:tcPr>
          <w:p>
            <w:pPr>
              <w:spacing w:after="0" w:line="183" w:lineRule="exact"/>
              <w:rPr>
                <w:sz w:val="20"/>
                <w:szCs w:val="20"/>
                <w:color w:val="auto"/>
              </w:rPr>
            </w:pPr>
            <w:r>
              <w:rPr>
                <w:rFonts w:ascii="Calibri" w:cs="Calibri" w:eastAsia="Calibri" w:hAnsi="Calibri"/>
                <w:sz w:val="18"/>
                <w:szCs w:val="18"/>
                <w:color w:val="0000EE"/>
              </w:rPr>
              <w:t>Exhibits</w:t>
            </w:r>
          </w:p>
        </w:tc>
        <w:tc>
          <w:tcPr>
            <w:tcW w:w="6420" w:type="dxa"/>
            <w:vAlign w:val="bottom"/>
            <w:gridSpan w:val="16"/>
          </w:tcPr>
          <w:p>
            <w:pPr>
              <w:spacing w:after="0"/>
              <w:rPr>
                <w:sz w:val="17"/>
                <w:szCs w:val="17"/>
                <w:color w:val="auto"/>
              </w:rPr>
            </w:pPr>
          </w:p>
        </w:tc>
        <w:tc>
          <w:tcPr>
            <w:tcW w:w="2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140" w:type="dxa"/>
            <w:vAlign w:val="bottom"/>
            <w:gridSpan w:val="2"/>
          </w:tcPr>
          <w:p>
            <w:pPr>
              <w:spacing w:after="0" w:line="176" w:lineRule="exact"/>
              <w:rPr>
                <w:sz w:val="20"/>
                <w:szCs w:val="20"/>
                <w:color w:val="auto"/>
              </w:rPr>
            </w:pPr>
            <w:r>
              <w:rPr>
                <w:rFonts w:ascii="Calibri" w:cs="Calibri" w:eastAsia="Calibri" w:hAnsi="Calibri"/>
                <w:sz w:val="18"/>
                <w:szCs w:val="18"/>
                <w:color w:val="0000EE"/>
              </w:rPr>
              <w:t>Signatures</w:t>
            </w:r>
          </w:p>
        </w:tc>
        <w:tc>
          <w:tcPr>
            <w:tcW w:w="5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682"/>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720" w:type="dxa"/>
            <w:vAlign w:val="bottom"/>
            <w:gridSpan w:val="18"/>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74" w:lineRule="exact"/>
        <w:rPr>
          <w:sz w:val="20"/>
          <w:szCs w:val="20"/>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continue as a going concern;</w:t>
      </w:r>
    </w:p>
    <w:p>
      <w:pPr>
        <w:spacing w:after="0" w:line="250" w:lineRule="exact"/>
        <w:rPr>
          <w:rFonts w:ascii="Times New Roman" w:cs="Times New Roman" w:eastAsia="Times New Roman" w:hAnsi="Times New Roman"/>
          <w:sz w:val="16"/>
          <w:szCs w:val="16"/>
          <w:color w:val="auto"/>
        </w:rPr>
      </w:pPr>
    </w:p>
    <w:p>
      <w:pPr>
        <w:ind w:left="880" w:hanging="373"/>
        <w:spacing w:after="0" w:line="286"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the potential impact of the COVID-19 global pandemic and Russian invasion of Ukraine on our business, revenue and financial condition, our supply chain, our operations and our research and development;</w:t>
      </w:r>
    </w:p>
    <w:p>
      <w:pPr>
        <w:spacing w:after="0" w:line="47" w:lineRule="exact"/>
        <w:rPr>
          <w:rFonts w:ascii="Times New Roman" w:cs="Times New Roman" w:eastAsia="Times New Roman" w:hAnsi="Times New Roman"/>
          <w:sz w:val="16"/>
          <w:szCs w:val="16"/>
          <w:color w:val="auto"/>
        </w:rPr>
      </w:pPr>
    </w:p>
    <w:p>
      <w:pPr>
        <w:ind w:left="880" w:right="20" w:hanging="373"/>
        <w:spacing w:after="0" w:line="286"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expectation that consumer spending will continue to shift online, and that such shift will continue even after the COVID-19 global pandemic ends or recedes;</w:t>
      </w:r>
    </w:p>
    <w:p>
      <w:pPr>
        <w:spacing w:after="0" w:line="47"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future financial performance, including our revenue, costs of goods sold and operating expenses;</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achieve, sustain and grow net revenue and profitability;</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the sufficiency of our cash to meet our liquidity and operational needs and to execute our growth strategies, including potential acquisitions;</w:t>
      </w:r>
    </w:p>
    <w:p>
      <w:pPr>
        <w:spacing w:after="0" w:line="153" w:lineRule="exact"/>
        <w:rPr>
          <w:rFonts w:ascii="Times New Roman" w:cs="Times New Roman" w:eastAsia="Times New Roman" w:hAnsi="Times New Roman"/>
          <w:sz w:val="16"/>
          <w:szCs w:val="16"/>
          <w:color w:val="auto"/>
        </w:rPr>
      </w:pPr>
    </w:p>
    <w:p>
      <w:pPr>
        <w:ind w:left="880" w:hanging="373"/>
        <w:spacing w:after="0" w:line="288"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maintain the security and availability of our technology platform, including our AIMEE (</w:t>
      </w:r>
      <w:r>
        <w:rPr>
          <w:rFonts w:ascii="Times New Roman" w:cs="Times New Roman" w:eastAsia="Times New Roman" w:hAnsi="Times New Roman"/>
          <w:sz w:val="17"/>
          <w:szCs w:val="17"/>
          <w:b w:val="1"/>
          <w:bCs w:val="1"/>
          <w:i w:val="1"/>
          <w:iCs w:val="1"/>
          <w:color w:val="auto"/>
        </w:rPr>
        <w:t>A</w:t>
      </w:r>
      <w:r>
        <w:rPr>
          <w:rFonts w:ascii="Times New Roman" w:cs="Times New Roman" w:eastAsia="Times New Roman" w:hAnsi="Times New Roman"/>
          <w:sz w:val="17"/>
          <w:szCs w:val="17"/>
          <w:i w:val="1"/>
          <w:iCs w:val="1"/>
          <w:color w:val="auto"/>
        </w:rPr>
        <w:t xml:space="preserve">rtificial </w:t>
      </w: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7"/>
          <w:szCs w:val="17"/>
          <w:i w:val="1"/>
          <w:iCs w:val="1"/>
          <w:color w:val="auto"/>
        </w:rPr>
        <w:t xml:space="preserve">ntelligence </w:t>
      </w:r>
      <w:r>
        <w:rPr>
          <w:rFonts w:ascii="Times New Roman" w:cs="Times New Roman" w:eastAsia="Times New Roman" w:hAnsi="Times New Roman"/>
          <w:sz w:val="17"/>
          <w:szCs w:val="17"/>
          <w:b w:val="1"/>
          <w:bCs w:val="1"/>
          <w:i w:val="1"/>
          <w:iCs w:val="1"/>
          <w:color w:val="auto"/>
        </w:rPr>
        <w:t>M</w:t>
      </w:r>
      <w:r>
        <w:rPr>
          <w:rFonts w:ascii="Times New Roman" w:cs="Times New Roman" w:eastAsia="Times New Roman" w:hAnsi="Times New Roman"/>
          <w:sz w:val="17"/>
          <w:szCs w:val="17"/>
          <w:i w:val="1"/>
          <w:iCs w:val="1"/>
          <w:color w:val="auto"/>
        </w:rPr>
        <w:t xml:space="preserve">arketplace </w:t>
      </w:r>
      <w:r>
        <w:rPr>
          <w:rFonts w:ascii="Times New Roman" w:cs="Times New Roman" w:eastAsia="Times New Roman" w:hAnsi="Times New Roman"/>
          <w:sz w:val="17"/>
          <w:szCs w:val="17"/>
          <w:b w:val="1"/>
          <w:bCs w:val="1"/>
          <w:i w:val="1"/>
          <w:iCs w:val="1"/>
          <w:color w:val="auto"/>
        </w:rPr>
        <w:t>e</w:t>
      </w:r>
      <w:r>
        <w:rPr>
          <w:rFonts w:ascii="Times New Roman" w:cs="Times New Roman" w:eastAsia="Times New Roman" w:hAnsi="Times New Roman"/>
          <w:sz w:val="17"/>
          <w:szCs w:val="17"/>
          <w:i w:val="1"/>
          <w:iCs w:val="1"/>
          <w:color w:val="auto"/>
        </w:rPr>
        <w:t xml:space="preserve">-Commerce </w:t>
      </w:r>
      <w:r>
        <w:rPr>
          <w:rFonts w:ascii="Times New Roman" w:cs="Times New Roman" w:eastAsia="Times New Roman" w:hAnsi="Times New Roman"/>
          <w:sz w:val="17"/>
          <w:szCs w:val="17"/>
          <w:b w:val="1"/>
          <w:bCs w:val="1"/>
          <w:i w:val="1"/>
          <w:iCs w:val="1"/>
          <w:color w:val="auto"/>
        </w:rPr>
        <w:t>E</w:t>
      </w:r>
      <w:r>
        <w:rPr>
          <w:rFonts w:ascii="Times New Roman" w:cs="Times New Roman" w:eastAsia="Times New Roman" w:hAnsi="Times New Roman"/>
          <w:sz w:val="17"/>
          <w:szCs w:val="17"/>
          <w:i w:val="1"/>
          <w:iCs w:val="1"/>
          <w:color w:val="auto"/>
        </w:rPr>
        <w:t>ngine) software platform;</w:t>
      </w:r>
    </w:p>
    <w:p>
      <w:pPr>
        <w:spacing w:after="0" w:line="4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successfully launch new products, including our ability to successfully manage supply chain risks;</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predictions about industry and market trends;</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successfully expand internationally;</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effectively manage our growth and future expenses;</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identify, acquire, integrate and maintain the financial performance of potential acquisitions;</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maintain, protect and enhance our intellectual property, including our AIMEE software platform;</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comply with laws and regulations applying to our business, including new or modified laws and regulations;</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attract and retain key personnel;</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our ability to successfully defend litigation brought against us or to pursue litigation; and</w:t>
      </w:r>
    </w:p>
    <w:p>
      <w:pPr>
        <w:spacing w:after="0" w:line="155" w:lineRule="exact"/>
        <w:rPr>
          <w:rFonts w:ascii="Times New Roman" w:cs="Times New Roman" w:eastAsia="Times New Roman" w:hAnsi="Times New Roman"/>
          <w:sz w:val="16"/>
          <w:szCs w:val="16"/>
          <w:color w:val="auto"/>
        </w:rPr>
      </w:pPr>
    </w:p>
    <w:p>
      <w:pPr>
        <w:ind w:left="880" w:hanging="373"/>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the increased expenses and obligations associated with being a public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caution you that the foregoing list may not contain all the forward-looking statements made in this Quarterly Report on Form 10-Q.</w:t>
      </w:r>
    </w:p>
    <w:p>
      <w:pPr>
        <w:spacing w:after="0" w:line="2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this Quarterly Report on Form 10-Q (the “MD&amp;A”), we present certain financial measures that are derived from our consolidated financial data but are not presented in our financial statements that are prepared in accordance with U.S. generally accepted accounting principles (“GAAP”). These measures are considered “non-GAAP financial measures” under the Securities and Exchange Commission’s rules. The reasons we use these non-GAAP financial measures and the reconciliations to their most directly comparable GAAP financial measures are included in the “Non-GAAP Financial Measures” section of the MD&amp;A.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139,016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313,570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297,020</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Seller notes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99,159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par value $0.0001 per share—500,000,000 shares authorized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55,090,237 shares outstanding at December 31, 2021; 500,000,000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authorized and 62,348,318 shares outstanding at March 31, 2022</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669,720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(428,959)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(471,735)</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313,570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297,020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8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26,225,383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(82,553)</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(42,776)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5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FF0FC"/>
            </w:tcBorders>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(82,523)</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(42,947)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11"/>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98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11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18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3"/>
                <w:szCs w:val="13"/>
                <w:color w:val="auto"/>
              </w:rPr>
            </w:pPr>
          </w:p>
        </w:tc>
        <w:tc>
          <w:tcPr>
            <w:tcW w:w="74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BALANCE—January 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27,074,791</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216,305</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(82,553)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(82,553)</w:t>
            </w: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 upon exercise of stock option</w:t>
            </w: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grants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978,495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 related to exercise of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 in connection with acquisition</w:t>
            </w: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of Healing Solutions assets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1,387,759</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restricted stock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BALANCE—March 31, 2021</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30,590,796</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313,911</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(275,488)</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4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2022</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9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180" w:type="dxa"/>
            <w:vAlign w:val="bottom"/>
            <w:gridSpan w:val="3"/>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3"/>
                <w:szCs w:val="13"/>
                <w:color w:val="auto"/>
              </w:rPr>
            </w:pPr>
          </w:p>
        </w:tc>
        <w:tc>
          <w:tcPr>
            <w:tcW w:w="74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BALANCE—January 1, 2022</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55,090,237</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653,650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(428,959)</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(42,776)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(42,776)</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shares of restricted common stock</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155,456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Forfeiture of shares of restricted common stock</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(193,594)</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 for settlement of seller note</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292,887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7,003,332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warrants in connection with offering</w:t>
            </w: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(18,982)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(18,982)</w:t>
            </w: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initial issuance of equity</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BALANCE—March 31, 2022</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62,348,318</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669,720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(471,735)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197,352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19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(82,553)</w:t>
            </w: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(42,776)</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Provision for sales returns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discounts</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Change in fair value of warrants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Loss (Gain) from change in contingent liabilities fair value</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15,645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(2,775)</w:t>
            </w: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in connection with warrant fair value</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Loss on initial issuance of warrant</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20,147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Gain in connection with settlement of note payable</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(2,012)</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Loss on initial issuance of equity</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Impairment loss on goodwill</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receivable</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(1,445)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Inventory</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(15,355)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(12,380)</w:t>
            </w:r>
          </w:p>
        </w:tc>
        <w:tc>
          <w:tcPr>
            <w:tcW w:w="0" w:type="dxa"/>
            <w:vAlign w:val="bottom"/>
          </w:tcPr>
          <w:p>
            <w:pPr>
              <w:spacing w:after="0"/>
              <w:rPr>
                <w:sz w:val="1"/>
                <w:szCs w:val="1"/>
                <w:color w:val="auto"/>
              </w:rPr>
            </w:pPr>
          </w:p>
        </w:tc>
      </w:tr>
      <w:tr>
        <w:trPr>
          <w:trHeight w:val="162"/>
        </w:trPr>
        <w:tc>
          <w:tcPr>
            <w:tcW w:w="58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(4,675)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Accounts payable, accrued and other liabilities</w:t>
            </w:r>
          </w:p>
        </w:tc>
        <w:tc>
          <w:tcPr>
            <w:tcW w:w="19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Cash used in operating activities</w:t>
            </w:r>
          </w:p>
        </w:tc>
        <w:tc>
          <w:tcPr>
            <w:tcW w:w="1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(8,495)</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(13,170)</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INVESTING ACTIVITIES: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 of fixed assets</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Purchase of Healing Solutions assets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(15,280)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1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(15,300)</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warrant exercise</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cancellation of warrant</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16,957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equity offering, net of issuance costs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Repayments on note payable to Smash</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(4,737)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(1,084)</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Borrowings from MidCap credit facility</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14,531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Repayments for MidCap credit facility</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(12,325)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(33,845)</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financing costs from MidCap credit facility</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Repayments for High Trail term loan</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(5,400)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Borrowings from High Trail term loan note 2</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Debt issuance costs from High Trail Term Loan</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(1,136)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Insurance obligation payments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(951)</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(719)</w:t>
            </w:r>
          </w:p>
        </w:tc>
        <w:tc>
          <w:tcPr>
            <w:tcW w:w="0" w:type="dxa"/>
            <w:vAlign w:val="bottom"/>
          </w:tcPr>
          <w:p>
            <w:pPr>
              <w:spacing w:after="0"/>
              <w:rPr>
                <w:sz w:val="1"/>
                <w:szCs w:val="1"/>
                <w:color w:val="auto"/>
              </w:rPr>
            </w:pPr>
          </w:p>
        </w:tc>
      </w:tr>
      <w:tr>
        <w:trPr>
          <w:trHeight w:val="155"/>
        </w:trPr>
        <w:tc>
          <w:tcPr>
            <w:tcW w:w="58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9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38,501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EFFECT OF EXCHANGE RATE ON CASH</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55"/>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CASH AND RESTRICTED CASH FOR PERIOD</w:t>
            </w:r>
          </w:p>
        </w:tc>
        <w:tc>
          <w:tcPr>
            <w:tcW w:w="19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RESTRICTED CASH AT BEGINNING OF PERIOD</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30,097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CASH AND RESTRICTED CASH AT END OF PERIOD</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44,704</w:t>
            </w:r>
          </w:p>
        </w:tc>
        <w:tc>
          <w:tcPr>
            <w:tcW w:w="160" w:type="dxa"/>
            <w:vAlign w:val="bottom"/>
          </w:tcPr>
          <w:p>
            <w:pPr>
              <w:spacing w:after="0"/>
              <w:rPr>
                <w:sz w:val="17"/>
                <w:szCs w:val="17"/>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RECONCILIATION OF CASH AND RESTRICTED CASH</w:t>
            </w:r>
          </w:p>
        </w:tc>
        <w:tc>
          <w:tcPr>
            <w:tcW w:w="19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CASH</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34,995</w:t>
            </w:r>
          </w:p>
        </w:tc>
        <w:tc>
          <w:tcPr>
            <w:tcW w:w="160" w:type="dxa"/>
            <w:vAlign w:val="bottom"/>
          </w:tcPr>
          <w:p>
            <w:pPr>
              <w:spacing w:after="0"/>
              <w:rPr>
                <w:sz w:val="14"/>
                <w:szCs w:val="14"/>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CASH—Prepaid and other assets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RESTRICTED CASH—Other non-current assets</w:t>
            </w:r>
          </w:p>
        </w:tc>
        <w:tc>
          <w:tcPr>
            <w:tcW w:w="19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CASH AND RESTRICTED CASH</w:t>
            </w:r>
          </w:p>
        </w:tc>
        <w:tc>
          <w:tcPr>
            <w:tcW w:w="2920" w:type="dxa"/>
            <w:vAlign w:val="bottom"/>
            <w:gridSpan w:val="2"/>
            <w:shd w:val="clear" w:color="auto" w:fill="CFF0FC"/>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44,704</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46,674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19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2920" w:type="dxa"/>
            <w:vAlign w:val="bottom"/>
            <w:gridSpan w:val="2"/>
            <w:shd w:val="clear" w:color="auto" w:fill="CFF0FC"/>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Non-cash consideration paid to contractors</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160" w:type="dxa"/>
            <w:vAlign w:val="bottom"/>
          </w:tcPr>
          <w:p>
            <w:pPr>
              <w:spacing w:after="0"/>
              <w:rPr>
                <w:sz w:val="14"/>
                <w:szCs w:val="14"/>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19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Debt issuance costs not paid</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60" w:type="dxa"/>
            <w:vAlign w:val="bottom"/>
          </w:tcPr>
          <w:p>
            <w:pPr>
              <w:spacing w:after="0"/>
              <w:rPr>
                <w:sz w:val="14"/>
                <w:szCs w:val="14"/>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Original issue discount</w:t>
            </w:r>
          </w:p>
        </w:tc>
        <w:tc>
          <w:tcPr>
            <w:tcW w:w="2920" w:type="dxa"/>
            <w:vAlign w:val="bottom"/>
            <w:gridSpan w:val="2"/>
            <w:shd w:val="clear" w:color="auto" w:fill="CFF0FC"/>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2,475</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contingent consideration liability</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16,557</w:t>
            </w:r>
          </w:p>
        </w:tc>
        <w:tc>
          <w:tcPr>
            <w:tcW w:w="160" w:type="dxa"/>
            <w:vAlign w:val="bottom"/>
          </w:tcPr>
          <w:p>
            <w:pPr>
              <w:spacing w:after="0"/>
              <w:rPr>
                <w:sz w:val="14"/>
                <w:szCs w:val="14"/>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Discount of debt relating to warrants issuance</w:t>
            </w:r>
          </w:p>
        </w:tc>
        <w:tc>
          <w:tcPr>
            <w:tcW w:w="2920" w:type="dxa"/>
            <w:vAlign w:val="bottom"/>
            <w:gridSpan w:val="2"/>
            <w:shd w:val="clear" w:color="auto" w:fill="CFF0FC"/>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7,740</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in connection with acquisition</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39,454</w:t>
            </w:r>
          </w:p>
        </w:tc>
        <w:tc>
          <w:tcPr>
            <w:tcW w:w="160" w:type="dxa"/>
            <w:vAlign w:val="bottom"/>
          </w:tcPr>
          <w:p>
            <w:pPr>
              <w:spacing w:after="0"/>
              <w:rPr>
                <w:sz w:val="14"/>
                <w:szCs w:val="14"/>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common stock for settlement of seller note</w:t>
            </w:r>
          </w:p>
        </w:tc>
        <w:tc>
          <w:tcPr>
            <w:tcW w:w="2920" w:type="dxa"/>
            <w:vAlign w:val="bottom"/>
            <w:gridSpan w:val="2"/>
            <w:shd w:val="clear" w:color="auto" w:fill="CFF0FC"/>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warrants issued in connection with equity offering</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Equity fundraising costs not paid</w:t>
            </w:r>
          </w:p>
        </w:tc>
        <w:tc>
          <w:tcPr>
            <w:tcW w:w="2920" w:type="dxa"/>
            <w:vAlign w:val="bottom"/>
            <w:gridSpan w:val="2"/>
            <w:shd w:val="clear" w:color="auto" w:fill="CFF0FC"/>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issued for warrants</w:t>
            </w:r>
          </w:p>
        </w:tc>
        <w:tc>
          <w:tcPr>
            <w:tcW w:w="2920" w:type="dxa"/>
            <w:vAlign w:val="bottom"/>
            <w:gridSpan w:val="2"/>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60" w:type="dxa"/>
            <w:vAlign w:val="bottom"/>
          </w:tcPr>
          <w:p>
            <w:pPr>
              <w:spacing w:after="0"/>
              <w:rPr>
                <w:sz w:val="15"/>
                <w:szCs w:val="15"/>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2021 and 2022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1"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Aterian, Inc., formerly known as Mohawk Group Holdings, Inc., and its subsidiaries (“Aterian” or the “Company”), is a technology-enabled consumer products platform that builds, acquires and partners with e-commerce brands. The Company’s proprietary software and agile supply chain helps create a growing base of consumer products. Aterian predominantly operates through online retail channels such as Amazon and Walmart, Inc. The Company owns and operates fourteen brands, which were either incubated or purchased, selling products in multiple categories, including home and kitchen appliances, kitchenware, heating, cooling and air quality appliances (dehumidifiers, humidifiers and air conditioners), health and beauty products and essentials oils.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York, Aterian’s offices can also be found in China, Philippines, Israel and Poland.</w:t>
      </w:r>
    </w:p>
    <w:p>
      <w:pPr>
        <w:spacing w:after="0" w:line="22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Going Concern—</w:t>
      </w:r>
      <w:r>
        <w:rPr>
          <w:rFonts w:ascii="Times New Roman" w:cs="Times New Roman" w:eastAsia="Times New Roman" w:hAnsi="Times New Roman"/>
          <w:sz w:val="18"/>
          <w:szCs w:val="18"/>
          <w:color w:val="auto"/>
        </w:rPr>
        <w:t>As of March 31, 2022, the Company had total cash and cash equivalents of $44.3 million and an accumulated deficit of $471.7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addition, the Company’s net loss and net cash used in operating activities amounted to $42.8 million and $13.2 million, respectively, for the three months ended March 31, 2022.</w:t>
      </w:r>
    </w:p>
    <w:p>
      <w:pPr>
        <w:spacing w:after="0" w:line="17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As an emerging growth company, the Company has been dependent on outside capital through the issuance of equity to investors and borrowings from lenders (collectively “outside capital”) since its inception to execute its growth strategy of investing in organic growth at the expense of short-term profitably and investing in incremental growth through mergers and acquisitions (“M&amp;A strategy”). In addition, the Company’s recent financial performance has been adversely impacted by the COVID-19 global pandemic and related global shipping disruption, in particular with respect to substantial increases in supply chain costs for shipping containers (See COVID-19 Pandemic and the Supply Chain disclosure below). As a result, the Company has incurred significant losses and will remain dependent on outside capital for the foreseeable future until such time that the Company can realize its strategy of growth by generating profits through its organic growth and M&amp;A strategy, and reduce its reliance on outside capital.</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the Company’s growth strategy, as well as the uncertainty associated with the ongoing COVID-19 global pandemic, recent record increases in inflation and related global supply chain disruption, management can provide no assurances the Company will be able to obtain sufficient outside capital or generate sufficient cash from operations to fund the Company’s obligations as they become due over the next twelve months from the date these consolidated financial statements were issued.</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as disclosed in Note 6, the Company entered into a $50.0 million asset backed credit agreement in December 2021 (the “MidCap Credit Facility”). The MidCap Credit Facility contains a financial covenant that requires the Company to maintain a minimum unrestricted cash balance or minimum borrowing availability of (a) $12.5 million during the period from February 1st through and including May 31st of each calendar year, and (b) $15.0 million at all other times thereafter. At its election, the Company may elect to comply with an alternative financial covenant that would require the Company to maintain a minimum borrowing availability under the MidCap Credit Facility of $10.0 million at all times. The Company does not anticipate electing the alternative financial covenant over the next twelve months and was in compliance with the minimum liquidity covenant as of the date these condensed consolidated financial statements were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its inception, the Company has been able to successfully raise a substantial amount of outside capital to fund the Company’s growth</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strategy. However, as of March 31, 2022, the Company had no firm commitments of additional outside capital from current or prospective investors or lenders. While management believes the Company will be able to secure additional outside capital, no assurances can be provided that such capital will be obtained or on terms that are acceptable to the Company. Furthermore, given the inherent uncertainties associated with the Company’s growth strategy, the Company may be unable to remain in compliance with the financial covenants required by the Midcap Credit Facility over the next twelve months. These uncertainties raise substantial doubt about the Company’s ability to continue as a going concern.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alleviate substantial doubt, management plans to continue to closely monitor its operating forecast, pursue additional sources of outside capital, and pursue its M&amp;A strategy. If the Company is (a) unable to improve its operating results, (b) obtain additional outside capital on terms that are acceptable to the Company to fund the Company’s operations and M&amp;A strategy, and/or (c) secure a waiver or forbearance from the lender if the Company is unable to remain in compliance with the financial covenants required by the MidCap Credit Facility, the Company will have to make significant changes to its operating plan, such as delay expenditures, reduce investments in new products, delay the development of its software, reduce its sale and distribution infrastructure, or otherwise significantly reduce the scope of its business. Moreover, if the Company breaches the financial covenants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 w:name="page11"/>
    <w:bookmarkEnd w:id="10"/>
    <w:p>
      <w:pPr>
        <w:ind w:right="120"/>
        <w:spacing w:after="0" w:line="261" w:lineRule="auto"/>
        <w:rPr>
          <w:sz w:val="20"/>
          <w:szCs w:val="20"/>
          <w:color w:val="auto"/>
        </w:rPr>
      </w:pPr>
      <w:r>
        <w:rPr>
          <w:rFonts w:ascii="Times New Roman" w:cs="Times New Roman" w:eastAsia="Times New Roman" w:hAnsi="Times New Roman"/>
          <w:sz w:val="18"/>
          <w:szCs w:val="18"/>
          <w:color w:val="auto"/>
        </w:rPr>
        <w:t>required by the MidCap Credit Facility and fail to secure a waiver or forbearance from the lender, such breach or failure could accelerate the repayment of the outstanding borrowings under the MidCap Credit Facility or the exercise of other rights or remedies the lender may have under applicable</w:t>
      </w:r>
    </w:p>
    <w:p>
      <w:pPr>
        <w:ind w:right="200"/>
        <w:spacing w:after="0" w:line="260" w:lineRule="auto"/>
        <w:rPr>
          <w:sz w:val="20"/>
          <w:szCs w:val="20"/>
          <w:color w:val="auto"/>
        </w:rPr>
      </w:pPr>
      <w:r>
        <w:rPr>
          <w:rFonts w:ascii="Times New Roman" w:cs="Times New Roman" w:eastAsia="Times New Roman" w:hAnsi="Times New Roman"/>
          <w:sz w:val="18"/>
          <w:szCs w:val="18"/>
          <w:color w:val="auto"/>
        </w:rPr>
        <w:t>law. Management can provide no assurance a waiver or forbearance will be granted or the outstanding borrowings under the MidCap Credit Facility will be successfully refinanced on terms that are acceptable to the Company.</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7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COVID-19 Pandemic and the Supply Chain</w:t>
      </w:r>
      <w:r>
        <w:rPr>
          <w:rFonts w:ascii="Times New Roman" w:cs="Times New Roman" w:eastAsia="Times New Roman" w:hAnsi="Times New Roman"/>
          <w:sz w:val="18"/>
          <w:szCs w:val="18"/>
          <w:color w:val="auto"/>
        </w:rPr>
        <w:t>—The full impact of the COVID-19 pandemic on the Company’s supply chain, including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preventive and precautionary measures that the Company, other businesses and governments are taking, continues to evolve as of the date of this report.</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2022 to date, the Company has continued to be impacted by the COVID-19 pandemic and related global shipping disruption. Together these have led to substantial increases in supply chain costs, in particular shipping containers, which the Company relies on to import its goods, costs have increased while the reliability and timely delivery of such shipping containers has reduced and has substantially increased the Company’s last mile shipping costs on its oversized goods. These cost increases have been particularly substantial for oversized goods, which is a material part of the Company’s business. The reduced reliability and delivery of such shipping containers is forcing the Company to spend more on premium shipping to ensure goods are delivered, if at all, and the lack of reliability and timely delivery has further down chain impacts as it takes longer for containers to be offloaded and returned. Further, this global shipping disruption is forcing the Company to increase its inventory on-hand, including by advance ordering and taking possession of inventory earlier than expected, negatively impacting its working capital.</w:t>
      </w:r>
    </w:p>
    <w:p>
      <w:pPr>
        <w:spacing w:after="0" w:line="192"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Third party last mile shipping partners, such as UPS and FedEx, continue to increase the cost of delivering goods to the end consumers as their delivery networks continue to be impacted by the COVID-19 pandemic. The COVID-19 pandemic continues to bring uncertainty to consumer demand as price increases related to raw materials, the importing of goods, including tariffs, and the cost of delivering goods to consumers has led to inflation across the U.S. As such, the Company has noticed changes to consumer buying habits, which may lead to reduced demand for its products. Further, recent record inflation has added additional pressure to the cost of the Company’s supply chain.</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continues to consider the impact of the COVID-19 pandemic on the Company’s supply chain on the assumptions and estimates used when preparing these consolidated financial statements including inventory valuation, and the impairment of long-lived assets. These assumptions and estimates may change as the situation evolves or new events occur, and additional information is obtained. If the economic conditions caused by the COVID-19 pandemic and the negative impact on the Company’s supply chain worsen beyond what is currently estimated by management, such future changes may have an adverse impact on the Company’s results of operations, financial position, and liquidity.</w:t>
      </w:r>
    </w:p>
    <w:p>
      <w:pPr>
        <w:spacing w:after="0" w:line="200" w:lineRule="exact"/>
        <w:rPr>
          <w:sz w:val="20"/>
          <w:szCs w:val="20"/>
          <w:color w:val="auto"/>
        </w:rPr>
      </w:pPr>
    </w:p>
    <w:p>
      <w:pPr>
        <w:spacing w:after="0" w:line="303"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unaudited condensed consolidated financial statements have been prepared by the Company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generally accepted accounting principles in the United States (“GAAP”) for interim financial reporting and as required by Rule 10-01 of Regulation S-X. Certain information and note disclosures normally included in the annual financial statements prepared in accordance with GAAP have been condensed or omitted pursuant to such rules and regulations. The condensed consolidated balance sheet as of December 31, 2021 included herein was derived from the Company’s audited consolidated financial statements as of that date. As such, the information included in this Quarterly Report on Form 10-Q should be read in conjunction with the audited consolidated financial statements and the related notes thereto as of and for the year ended December 31, 2021, included in the Company’s Annual Report on Form 10-K filed with the Securities and Exchange Commission on March 16, 2022 (the “Annual Report”).</w:t>
      </w:r>
    </w:p>
    <w:p>
      <w:pPr>
        <w:spacing w:after="0" w:line="7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condensed consolidated financial statements contain all adjustments (consisting of items of a normal and recurring nature) necessary to present fairly the financial position as of March 31, 2022, the results of operations for the three months ended March 31, 2021 and 2022, the statements of stockholders’ equity for the three months ended March 31, 2021 and 2022, and cash flows for the three months ended March 31, 2021 and 2022. The results of operations for the three months ended March 31, 2022 are not necessarily indicative of the results to be expected for the full fiscal year.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 Preparation of financial statements in conformity with GAAP requires management to make estimates and assumptions that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condensed consolidated financial statements include the accounts of the Company and its wholly-owned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As of December 31, 2021, the Company has classified the following as restricted cash: $0.1 million related to its Chinese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“other non-current assets” on the condensed consolidated balance sheets, $2.0 million related to a letter of credit and $5.9 million for cash sweep accounts related to the Midcap Credit Facility within “prepaid and other current assets” on the condensed consolidated balance sheets.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has classified the following as restricted cash: $0.1 million related to its Chinese subsidiary within “other non-current assets” on the condensed consolidated balance sheets, $2.0 million related to a letter of credit and $0.3 million for cash sweep accounts related to the Midcap Credit Facility within “prepaid and other current assets” on the condensed consolidated balance sheets.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606, Revenue from Contracts with Customers.</w:t>
      </w:r>
    </w:p>
    <w:p>
      <w:pPr>
        <w:spacing w:after="0" w:line="15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The Company derives its revenue from the sale of consumer products. The Company sells its products directly to consumers through online retail channels and through wholesale channels.</w:t>
      </w:r>
    </w:p>
    <w:p>
      <w:pPr>
        <w:spacing w:after="0" w:line="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 sets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38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38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3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4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 sets forth the Company’s net revenue disaggregated by product categories: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gridSpan w:val="4"/>
          </w:tcPr>
          <w:p>
            <w:pPr>
              <w:jc w:val="right"/>
              <w:ind w:right="64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35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Home office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Housewares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2560" w:type="dxa"/>
            <w:vAlign w:val="bottom"/>
          </w:tcPr>
          <w:p>
            <w:pPr>
              <w:spacing w:after="0"/>
              <w:rPr>
                <w:sz w:val="19"/>
                <w:szCs w:val="19"/>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—The Company operates under one business component which is the same as its reporting unit based on the guidance in ASC Topic 350-20.</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02124"/>
        </w:rPr>
        <w:t xml:space="preserve">The Company has experienced high volatility in the price of its common stock and a reduction in its market capitalization through March 31, 2022. This </w:t>
      </w:r>
      <w:r>
        <w:rPr>
          <w:rFonts w:ascii="Times New Roman" w:cs="Times New Roman" w:eastAsia="Times New Roman" w:hAnsi="Times New Roman"/>
          <w:sz w:val="18"/>
          <w:szCs w:val="18"/>
          <w:color w:val="000000"/>
        </w:rPr>
        <w:t>was considered an interim triggering event for the three months ended March 31,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The Company assessed its goodwill as of March 31, 2022, and determined that the Company's goodwill was impaired. As a result, the Company recorded a goodwill impairment </w:t>
      </w:r>
      <w:r>
        <w:rPr>
          <w:rFonts w:ascii="Times New Roman" w:cs="Times New Roman" w:eastAsia="Times New Roman" w:hAnsi="Times New Roman"/>
          <w:sz w:val="18"/>
          <w:szCs w:val="18"/>
          <w:color w:val="202124"/>
        </w:rPr>
        <w:t>charge of $29.0 million in the three months</w:t>
      </w:r>
      <w:r>
        <w:rPr>
          <w:rFonts w:ascii="Times New Roman" w:cs="Times New Roman" w:eastAsia="Times New Roman" w:hAnsi="Times New Roman"/>
          <w:sz w:val="18"/>
          <w:szCs w:val="18"/>
          <w:color w:val="auto"/>
        </w:rPr>
        <w:t xml:space="preserve"> ended March 31, 2022, primarily due to the decrease in its market capitalization.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the Company’s market capitalization.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assumptions and estimates made are reasonable and appropriate, and changes in the assumptions and estimates could have a material impact on its reported financial results. In addition, sustained declines in the Company’s stock price and related market capitalization could impact key assumptions in the overall estimated fair values of its reporting unit and could result in non-cash impairment charges that could be material to the Company's condensed consolidated balance sheet or results of operations.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continue to closely monitor actual results versus expectations as well as whether, and to what extent, any significant changes in current events or conditions, including changes to the impacts of the COVID-19 pandemic on its business, result in corresponding changes to its expectations about future estimated cash flows, discount rates and market multiples. If the Company’s adjusted expectations of the operating results do not materialize, if the discount rate increases (based on increases in interest rates, market rates of return or market volatility) or if market multiples decline, the Company may be required to record additional goodwill impairment charges, which may be material.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believes its conclusions regarding the estimates of fair value of its reporting unit is appropriate, these estimates are subject to uncertainty and by nature include judgments and estimates regarding various factors. These factors include the rate and extent of growth in the markets that its reporting units serve, the realization of future sales price and volume increases, fluctuations in exchange rates, fluctuations in price and availability of key raw materials, future operating efficiencies and, as it pertains to discount rates, the volatility in interest rates and costs of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3" w:name="page14"/>
    <w:bookmarkEnd w:id="13"/>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At March 31, 2022, the carrying amounts of these instruments approximated their fair values because of their short-term nature. The Company’s credit facility is carried at amortized cost at December 31, 2021 and March 31, 2022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the </w:t>
      </w:r>
      <w:r>
        <w:rPr>
          <w:rFonts w:ascii="Times New Roman" w:cs="Times New Roman" w:eastAsia="Times New Roman" w:hAnsi="Times New Roman"/>
          <w:sz w:val="18"/>
          <w:szCs w:val="18"/>
          <w:color w:val="222222"/>
        </w:rPr>
        <w:t>pre-funded warrant and stock purchase warrants</w:t>
      </w:r>
      <w:r>
        <w:rPr>
          <w:rFonts w:ascii="Times New Roman" w:cs="Times New Roman" w:eastAsia="Times New Roman" w:hAnsi="Times New Roman"/>
          <w:sz w:val="18"/>
          <w:szCs w:val="18"/>
          <w:color w:val="auto"/>
        </w:rPr>
        <w:t xml:space="preserve"> in connection with the issuance of common stock offering on March 1, 2022 were measured using the Black-Scholes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w:t>
      </w:r>
      <w:r>
        <w:rPr>
          <w:rFonts w:ascii="Times New Roman" w:cs="Times New Roman" w:eastAsia="Times New Roman" w:hAnsi="Times New Roman"/>
          <w:sz w:val="18"/>
          <w:szCs w:val="18"/>
          <w:color w:val="222222"/>
        </w:rPr>
        <w:t xml:space="preserve">Upon the issuance of the pre-funded warrant and stock purchase warrants, the Company evaluated the terms of each warrant to determine the appropriate accounting and classification pursuant to FASB Accounting Standards Codification Topic 480, </w:t>
      </w:r>
      <w:r>
        <w:rPr>
          <w:rFonts w:ascii="Times New Roman" w:cs="Times New Roman" w:eastAsia="Times New Roman" w:hAnsi="Times New Roman"/>
          <w:sz w:val="18"/>
          <w:szCs w:val="18"/>
          <w:i w:val="1"/>
          <w:iCs w:val="1"/>
          <w:color w:val="222222"/>
        </w:rPr>
        <w:t>Distinguishing Liabilities from Equity (“ASC 480”)</w:t>
      </w:r>
      <w:r>
        <w:rPr>
          <w:rFonts w:ascii="Times New Roman" w:cs="Times New Roman" w:eastAsia="Times New Roman" w:hAnsi="Times New Roman"/>
          <w:sz w:val="18"/>
          <w:szCs w:val="18"/>
          <w:color w:val="222222"/>
        </w:rPr>
        <w:t xml:space="preserve">, and FASB Accounting Standards Codification Topic 815, </w:t>
      </w:r>
      <w:r>
        <w:rPr>
          <w:rFonts w:ascii="Times New Roman" w:cs="Times New Roman" w:eastAsia="Times New Roman" w:hAnsi="Times New Roman"/>
          <w:sz w:val="18"/>
          <w:szCs w:val="18"/>
          <w:i w:val="1"/>
          <w:iCs w:val="1"/>
          <w:color w:val="222222"/>
        </w:rPr>
        <w:t>Derivatives and Hedging (“ASC 815”)</w:t>
      </w:r>
      <w:r>
        <w:rPr>
          <w:rFonts w:ascii="Times New Roman" w:cs="Times New Roman" w:eastAsia="Times New Roman" w:hAnsi="Times New Roman"/>
          <w:sz w:val="18"/>
          <w:szCs w:val="18"/>
          <w:color w:val="222222"/>
        </w:rPr>
        <w:t>. Based on the Company’s evaluation and due to certain terms in the warrant agreements, it concluded the pre-funded warrant and the stock purchase warrants should be classified as liability with subsequent remeasurement as long as such warrants continue to be classified as liabilities.</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“change in fair value of contingent earn-out liabilities” on the statement of operations.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that are measured at fair value as of December 31, 2021 and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49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760" w:type="dxa"/>
            <w:vAlign w:val="bottom"/>
            <w:gridSpan w:val="4"/>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tc>
        <w:tc>
          <w:tcPr>
            <w:tcW w:w="900" w:type="dxa"/>
            <w:vAlign w:val="bottom"/>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21"/>
                <w:szCs w:val="21"/>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6"/>
        </w:trPr>
        <w:tc>
          <w:tcPr>
            <w:tcW w:w="49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30,317</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7,998</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Estimated fair value of contingent earn-out considerations</w:t>
            </w: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9,223</w:t>
            </w:r>
          </w:p>
        </w:tc>
      </w:tr>
      <w:tr>
        <w:trPr>
          <w:trHeight w:val="432"/>
        </w:trPr>
        <w:tc>
          <w:tcPr>
            <w:tcW w:w="4980" w:type="dxa"/>
            <w:vAlign w:val="bottom"/>
          </w:tcPr>
          <w:p>
            <w:pPr>
              <w:spacing w:after="0"/>
              <w:rPr>
                <w:sz w:val="24"/>
                <w:szCs w:val="24"/>
                <w:color w:val="auto"/>
              </w:rPr>
            </w:pPr>
          </w:p>
        </w:tc>
        <w:tc>
          <w:tcPr>
            <w:tcW w:w="26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tc>
        <w:tc>
          <w:tcPr>
            <w:tcW w:w="9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21"/>
                <w:szCs w:val="21"/>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5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44,281</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680" w:type="dxa"/>
            <w:vAlign w:val="bottom"/>
          </w:tcPr>
          <w:p>
            <w:pPr>
              <w:spacing w:after="0"/>
              <w:rPr>
                <w:sz w:val="19"/>
                <w:szCs w:val="19"/>
                <w:color w:val="auto"/>
              </w:rPr>
            </w:pP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2,393</w:t>
            </w:r>
          </w:p>
        </w:tc>
        <w:tc>
          <w:tcPr>
            <w:tcW w:w="360" w:type="dxa"/>
            <w:vAlign w:val="bottom"/>
          </w:tcPr>
          <w:p>
            <w:pPr>
              <w:spacing w:after="0"/>
              <w:rPr>
                <w:sz w:val="19"/>
                <w:szCs w:val="19"/>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warrant liability</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20,861</w:t>
            </w:r>
          </w:p>
        </w:tc>
      </w:tr>
      <w:tr>
        <w:trPr>
          <w:trHeight w:val="229"/>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Estimated fair value of contingent earn-out considerations</w:t>
            </w:r>
          </w:p>
        </w:tc>
        <w:tc>
          <w:tcPr>
            <w:tcW w:w="16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6,448</w:t>
            </w:r>
          </w:p>
        </w:tc>
      </w:tr>
    </w:tbl>
    <w:p>
      <w:pPr>
        <w:spacing w:after="0" w:line="200" w:lineRule="exact"/>
        <w:rPr>
          <w:sz w:val="20"/>
          <w:szCs w:val="20"/>
          <w:color w:val="auto"/>
        </w:rPr>
      </w:pPr>
    </w:p>
    <w:p>
      <w:pPr>
        <w:spacing w:after="0" w:line="21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summary of the activity of the Level 3 liabilities carried at fair value on a recurring basis for the three months ended March 31, 2022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20" w:type="dxa"/>
            <w:vAlign w:val="bottom"/>
            <w:gridSpan w:val="2"/>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tcPr>
          <w:p>
            <w:pPr>
              <w:spacing w:after="0"/>
              <w:rPr>
                <w:sz w:val="20"/>
                <w:szCs w:val="20"/>
                <w:color w:val="auto"/>
              </w:rPr>
            </w:pPr>
          </w:p>
        </w:tc>
      </w:tr>
      <w:tr>
        <w:trPr>
          <w:trHeight w:val="23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(2,775)</w:t>
            </w:r>
          </w:p>
        </w:tc>
      </w:tr>
      <w:tr>
        <w:trPr>
          <w:trHeight w:val="223"/>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9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20" w:type="dxa"/>
            <w:vAlign w:val="bottom"/>
            <w:gridSpan w:val="2"/>
            <w:shd w:val="clear" w:color="auto" w:fill="CFF0FC"/>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in connection with offering</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Pr>
          <w:p>
            <w:pPr>
              <w:spacing w:after="0"/>
              <w:rPr>
                <w:sz w:val="19"/>
                <w:szCs w:val="19"/>
                <w:color w:val="auto"/>
              </w:rPr>
            </w:pPr>
          </w:p>
        </w:tc>
      </w:tr>
      <w:tr>
        <w:trPr>
          <w:trHeight w:val="23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shd w:val="clear" w:color="auto" w:fill="CFF0FC"/>
          </w:tcPr>
          <w:p>
            <w:pPr>
              <w:spacing w:after="0"/>
              <w:rPr>
                <w:sz w:val="19"/>
                <w:szCs w:val="19"/>
                <w:color w:val="auto"/>
              </w:rPr>
            </w:pPr>
          </w:p>
        </w:tc>
      </w:tr>
      <w:tr>
        <w:trPr>
          <w:trHeight w:val="223"/>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2016, the FASB issued ASU 2016-02, Leases (Topic 842) (“ASC 842”), which was amended by</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subsequent ASUs, to enhance the comparability and usefulness of financial reporting around leasing activity. The new standard supersedes the existing authoritative literature for lease accounting under ASC 840, with a focus on applying a “right-of-use model.” The guidance for leases under ASC 842 results in a right-of-use asset ("ROU asset”) and lease liability being reported on the balance sheet for leases with an original lease term greater than twelve months. ASC 842 is effective for the Company for annual reporting periods beginning after December 15, 2021, including interim periods within that fiscal year. The Company elected the standard on January 1, 2022 using the alternative modified retrospective transition approach in accordance with ASU 2018-11, Leases (Topic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842): Targeted Improvements. The cumulative effect of the transition adjustments was recognized as of the date of adoption.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alternative modified retrospective transition approach, the reported results for 2022 reflect the application</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of ASC 842 guidance, whereas comparative periods and the respective disclosures prior to the adoption of ASC 842 are presented using the legacy guidance of ASC 840. The Company recorded an aggregate of approximately $0.7 million of right-of-use assets and corresponding $0.7 million of lease liabilities upon adoption of this standard. Current Right-of-use assets of $0.4 million and corresponding lease liabilities are included in the prepaid and other current assets and accrued and other current liabilities line item respectively on the condensed consolidated balance sheets. Non-current Right-of-Use Assets of $0.3 million and corresponding lease liabilities are included in the prepaid and other non-current assets and accrued and other non-current liabilities line item respectively on the condensed consolidated balance sheets. The adoption of the standard did not have a material impact on the condensed consolidated statements of operations, or condensed consolidated statements of cash flows.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 the exclusions of leases considered to be short-term.</w:t>
      </w:r>
    </w:p>
    <w:p>
      <w:pPr>
        <w:spacing w:after="0" w:line="17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In August 2018, the FASB issued </w:t>
      </w:r>
      <w:r>
        <w:rPr>
          <w:rFonts w:ascii="Times New Roman" w:cs="Times New Roman" w:eastAsia="Times New Roman" w:hAnsi="Times New Roman"/>
          <w:sz w:val="18"/>
          <w:szCs w:val="18"/>
          <w:i w:val="1"/>
          <w:iCs w:val="1"/>
          <w:color w:val="auto"/>
        </w:rPr>
        <w:t>ASU No. 2018-15, “Customer’s Accounting for Implementation Cost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 a Service Contract” </w:t>
      </w:r>
      <w:r>
        <w:rPr>
          <w:rFonts w:ascii="Times New Roman" w:cs="Times New Roman" w:eastAsia="Times New Roman" w:hAnsi="Times New Roman"/>
          <w:sz w:val="18"/>
          <w:szCs w:val="18"/>
          <w:color w:val="auto"/>
        </w:rPr>
        <w:t>(“ASU 2018-15”). Under the new guidance, customers apply the same criteria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5" w:name="page16"/>
    <w:bookmarkEnd w:id="15"/>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for capitalizing implementation costs as they would 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w:t>
      </w:r>
      <w:r>
        <w:rPr>
          <w:rFonts w:ascii="Times New Roman" w:cs="Times New Roman" w:eastAsia="Times New Roman" w:hAnsi="Times New Roman"/>
          <w:sz w:val="18"/>
          <w:szCs w:val="18"/>
          <w:color w:val="202124"/>
        </w:rPr>
        <w:t>The new guidance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effective for public business entities in fiscal years beginning after December 15, 2019, and interim periods within those fiscal years. For all other entities, the amendments in this update are effective for annual reporting periods beginning after December 15, 2020, and interim periods within annual periods beginning after December 15, 2021. </w:t>
      </w:r>
      <w:r>
        <w:rPr>
          <w:rFonts w:ascii="Times New Roman" w:cs="Times New Roman" w:eastAsia="Times New Roman" w:hAnsi="Times New Roman"/>
          <w:sz w:val="18"/>
          <w:szCs w:val="18"/>
          <w:color w:val="000000"/>
        </w:rPr>
        <w:t>The new guidance was adopted on December 15, 2021 with no material impact on the Company’s condensed</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consolidated financial statements.</w:t>
      </w:r>
    </w:p>
    <w:p>
      <w:pPr>
        <w:spacing w:after="0" w:line="18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w:t>
      </w:r>
      <w:r>
        <w:rPr>
          <w:rFonts w:ascii="Times New Roman" w:cs="Times New Roman" w:eastAsia="Times New Roman" w:hAnsi="Times New Roman"/>
          <w:sz w:val="18"/>
          <w:szCs w:val="18"/>
          <w:i w:val="1"/>
          <w:iCs w:val="1"/>
          <w:color w:val="auto"/>
        </w:rPr>
        <w:t>ASU No. 2020-06, “Debt—Debt with Conversion and Other Options (Topic 470)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(Topic 814): Accounting for Convertible Instruments and Contracts in an Entity’s Own Equity” </w:t>
      </w:r>
      <w:r>
        <w:rPr>
          <w:rFonts w:ascii="Times New Roman" w:cs="Times New Roman" w:eastAsia="Times New Roman" w:hAnsi="Times New Roman"/>
          <w:sz w:val="18"/>
          <w:szCs w:val="18"/>
          <w:color w:val="auto"/>
        </w:rPr>
        <w:t>(“ASU 2020-06”).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condensed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 Financial Instruments – Credit Losses (Topic 326).</w:t>
      </w:r>
      <w:r>
        <w:rPr>
          <w:rFonts w:ascii="Times New Roman" w:cs="Times New Roman" w:eastAsia="Times New Roman" w:hAnsi="Times New Roman"/>
          <w:sz w:val="18"/>
          <w:szCs w:val="18"/>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Income Taxes</w:t>
      </w:r>
      <w:r>
        <w:rPr>
          <w:rFonts w:ascii="Times New Roman" w:cs="Times New Roman" w:eastAsia="Times New Roman" w:hAnsi="Times New Roman"/>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interim periods within fiscal years beginning after December 15, 2022. While the Company has not completed its evaluation of the impact of adoption of this standard, the Company does not expect it to have a material impact on its condensed consolidated financial statements and will adopt it as of December 2022.</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ASU 2020-10, the FASB issued </w:t>
      </w:r>
      <w:r>
        <w:rPr>
          <w:rFonts w:ascii="Times New Roman" w:cs="Times New Roman" w:eastAsia="Times New Roman" w:hAnsi="Times New Roman"/>
          <w:sz w:val="18"/>
          <w:szCs w:val="18"/>
          <w:i w:val="1"/>
          <w:iCs w:val="1"/>
          <w:color w:val="auto"/>
        </w:rPr>
        <w:t>ASU 2020-10, Codification Improvements.</w:t>
      </w:r>
      <w:r>
        <w:rPr>
          <w:rFonts w:ascii="Times New Roman" w:cs="Times New Roman" w:eastAsia="Times New Roman" w:hAnsi="Times New Roman"/>
          <w:sz w:val="18"/>
          <w:szCs w:val="18"/>
          <w:color w:val="auto"/>
        </w:rPr>
        <w:t xml:space="preserve"> The amendments in this Update represent changes to clarify the Codification, correct unintended application of guidance, or make minor improvements to the Codification that are not expected to have a significant effect on current accounting practice or create a significant administrative cost to most entities. The amendments are effective for annual periods beginning after December 15, 2020, for public business entities. For all other entities, the amendments are effective for annual periods beginning after December 15, 2021, and interim periods within annual periods beginning after December 15, 2022. While the Company has not completed its evaluation of the impact of adoption of this standard, the Company does not expect it to have a material impact on its condensed consolidated financial statements and will adopt it as of December 2022.</w:t>
      </w:r>
    </w:p>
    <w:p>
      <w:pPr>
        <w:spacing w:after="0" w:line="289"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2021 and March 31, 2022:</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7"/>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56,449</w:t>
            </w:r>
          </w:p>
        </w:tc>
        <w:tc>
          <w:tcPr>
            <w:tcW w:w="8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2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8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$8.4 million and $13.8 million as of December 31, 2021 and March 31, 2022, respectively.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 as of December 31, 2021 and March 31, 2022:</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55"/>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logistics costs</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Right-of-Use-Asset (1)</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hanging="368"/>
        <w:spacing w:after="0" w:line="261" w:lineRule="auto"/>
        <w:tabs>
          <w:tab w:leader="none" w:pos="7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2022, the Company recorded an aggregate of approximately $0.7 million of right-of-use assets and corresponding $0.7 million of lease liabilities adoption of ASC 842 standard. Current Right-of-use assets of $0.4 million and corresponding lease liabilities are included in the prepaid and other current assets and accrued and other current liabilities line item respectively on the condensed consolidated balance sheets. See the discussion for the adoption of the lease accounting standard described in Note 2.</w:t>
      </w:r>
    </w:p>
    <w:p>
      <w:pPr>
        <w:spacing w:after="0" w:line="10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2021 and March 31, 2022:</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55"/>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4"/>
          </w:tcPr>
          <w:p>
            <w:pPr>
              <w:jc w:val="center"/>
              <w:ind w:right="12"/>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and consultants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Right-of-Use-Liabilities (1)</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right="80" w:hanging="368"/>
        <w:spacing w:after="0" w:line="261"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2022, the Company recorded an aggregate of approximately $0.7 million of right-of-use assets and corresponding $0.7 million of lease liabilities adoption of ASC 842 standard. Right-of-Use Liabilities of $0.4 million and corresponding lease liabilities are included in the accrued and other current liabilities line item respectively on the condensed consolidated balance sheets. See the discussion for the adoption of the lease accounting standard described in Note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297" w:lineRule="exact"/>
        <w:rPr>
          <w:sz w:val="20"/>
          <w:szCs w:val="20"/>
          <w:color w:val="auto"/>
        </w:rPr>
      </w:pPr>
    </w:p>
    <w:p>
      <w:pPr>
        <w:ind w:left="800" w:hanging="792"/>
        <w:spacing w:after="0"/>
        <w:tabs>
          <w:tab w:leader="none" w:pos="8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TERM LOANS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Loan - December 2020 Note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1, 2020, the Company refinanced a $15.0 million term loan with Horizon Technology Finance Corporation through the issuance of a senior secured note with an aggregate principal amount of $43.0 million issued on December 1, 2020 (the “December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2020 Note”) to High Trail Investments SA LLC (“High Trail SA”). The Company received gross proceeds of $38.0 million in exchange for the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Note. The December 2020 Note was to be repaid over 24 equal monthly cash payments of $1.8 million.</w:t>
      </w:r>
    </w:p>
    <w:p>
      <w:pPr>
        <w:spacing w:after="0" w:line="31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December 2020 Note was extinguished on April 8, 2021 in exchange for an April 2021 Note (see the discussion under the heading High Trail April 2021 Note 6 below).</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 February 2021 Note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 2021, the Company entered into a second, separate transaction with High Trail Investments ON LLC (“High Trail ON” and, together with High Trail SA, “High Trail”), where it issued to High Trail ON a 0% coupon senior secured promissory note in an aggregate principal amount of $16.5 million (as amended, the “February 2021 Note”) that was to mature on February 1, 2023.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 April 2021 Note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April 8, 2021, the Company refinanced all its existing debt with High Trail and Midcap Funding IV Trust (“Midcap”). As such, the Company entered into a new securities purchase and exchange agreement (the “Securities Purchase Agreement”) with High Trail SA and High Trail ON, pursuant to which, among other things, the Company issued and sold to High Trail, in a private placement transaction (the “2021 Private Placement”), (i) senior secured promissory notes in an aggregate principal amount of $110.0 million (the “April 2021 Notes”) that accrued interest at a rate of 8% per annum and were to mature on April 8, 2024, and (ii) warrants to purchase up to an aggregate of 2,259,166 shares of the Company’s common stock in exchange for: (a) a cash payment by High Trail to the Company of $57.7 million, (b) the cancellation of the December 2020 Note, and (c) the cancellation of the February 2021 Note.</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On April 8, 2021, the Company used $14.8 million of the net proceeds from the 2021 Private Placement to repay all amounts owed under the 2018 $25.0 million credit facility with </w:t>
      </w:r>
      <w:r>
        <w:rPr>
          <w:rFonts w:ascii="Times New Roman" w:cs="Times New Roman" w:eastAsia="Times New Roman" w:hAnsi="Times New Roman"/>
          <w:sz w:val="18"/>
          <w:szCs w:val="18"/>
          <w:color w:val="202124"/>
        </w:rPr>
        <w:t>MidCap</w:t>
      </w:r>
      <w:r>
        <w:rPr>
          <w:rFonts w:ascii="Times New Roman" w:cs="Times New Roman" w:eastAsia="Times New Roman" w:hAnsi="Times New Roman"/>
          <w:sz w:val="18"/>
          <w:szCs w:val="18"/>
          <w:color w:val="auto"/>
        </w:rPr>
        <w:t xml:space="preserve"> (the “2018 Credit Facility”).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ASC Topic 470, Debt, the Company concluded the High Trail April 2021 Note transaction resulted in the extinguishment of the two prior High Trail December 2020 and February 2021 term loans in the amount of $28.2 million of extinguishment of which has been classified within loss on extinguishment of debt on the condensed consolidated statements of operations.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breached its Adjusted EBITDA covenant with its lender, High Trail, and in August 2021, the Company secured a waiver from its lender with the partial repayment of the loan. See the High Trail Letter Agreements and Omnibus Amendment section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April Letter Agreement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would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issued 130,000 shares of its common stock to High Trail SA (the “Restricted Shares”), and (iii) High Trail SA and High Trail ON agreed to waive any Default or Event of Default (as such terms are defined in the December 2020 Note or the February 2021 Note) caused by the Company’s failure to file a resale registration statement by March 26, 2021.</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 The SPA Amendment amended the December 2020 SPA and the February 2021 SPA to, among other things, allow for the issuance of the April 2021 Notes and to waive certain rights of High Trail under the December 2020 SPA and the February 2021 SPA. The Warrant Amendments amended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ind w:right="440"/>
        <w:spacing w:after="0" w:line="282" w:lineRule="auto"/>
        <w:rPr>
          <w:sz w:val="20"/>
          <w:szCs w:val="20"/>
          <w:color w:val="auto"/>
        </w:rPr>
      </w:pPr>
      <w:r>
        <w:rPr>
          <w:rFonts w:ascii="Times New Roman" w:cs="Times New Roman" w:eastAsia="Times New Roman" w:hAnsi="Times New Roman"/>
          <w:sz w:val="18"/>
          <w:szCs w:val="18"/>
          <w:color w:val="auto"/>
        </w:rPr>
        <w:t>The Warrant Amendments to the February Warrant, the Penny Warrant and the Additional Warrant resulted in an $80.0 million reclassification from a liability to a component of equity and resulted in a $21.3 million reclassification from a component of equity to a liability as of December 31, 2021.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Restricted Shares were expensed as part of extinguishment loss, valued based on the fair market value on April 8, 2021 for $4.1 million, with the offset impacting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Letter Agreements and Omnibus Amendment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August 9, 2021, pursuant to those certain Letter Agreements entered into between the Company and High Trail with respect to each of the April 2021 Notes (collectively, the “August Letter Agreements”), High Trail notified the Company that High Trail declared an event of default under the April 2021 Notes as a result of the Company’s Adjusted EBITDA (as defined in the April 2021 Notes) not being equal to at least $12 million for the 12 month period ended June 30, 2021 and further notified the Company that High Trail immediately accelerated a total of $18.7 million of the principal amount of the April 2021 Notes, requiring the Company to immediately pay $21.5 million (such amount equal to 115% of the principal amount that was accelerated, as required under the terms of the April 2021 Notes, plus $0.3 million of accrued but unpaid interest on the principal amount that was accelerated) (the “Current Event of Default Acceleration Amount”).</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August Letter Agreements, the Company agreed, among other things, to pay the Current Event of Default Acceleration Amount in cash by August 9, 2021 and that any portion not paid in cash would be paid in shares of the Company’s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 (2) Daily VWAPs during the ten (10) day VWAP trading period ending on August 9, 2021.</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Pursuant to the August Letter Agreements, High Trail waived the events of default relating to the Company’s failure to satisfy the Adjusted EBITDA covenant under the April 2021 Notes, effective upon the payment in cash of $10.1 million of the Current Event of Default Acceleration Amount and the issuance of the shares of the Company’s common stock for the remaining $11.7 million of the Current Event of Default Acceleration Amount. The Company paid High Trail an aggregate of $10.1 million in cash on August 9, 2021 and in accordance with the April 2021 Notes and the August Letter Agreements, paid the remaining $11.7 million of the Current Event of Default Acceleration Amount by issuing to High Trail an aggregate of 2,841,251 shares of common stock (with the shares issued at a price of $4.1007 per share, which was, in accordance with the April 2021 Notes, equal to 80% of the Daily VWAP on August 9, 2021.</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August Letter Agreements, on August 9, 2021, the Company also entered into an Omnibus Amendment to Senior Secured Notes Due 2024 and Warrants to Purchase Common Stock with High Trail (the “Omnibus Amendment”), whereby: (i) the Company agreed to increase the minimum cash threshold covenant in the April 2021 Notes from $15.0 million to $30.0 million through October 31, 2021; (ii) the Company agreed to add a liquidity covenant to the April 2021 Notes whereby it must have liquidity, on each day through October 31, 2021, calculated as (A) inventory, net, plus (B) accounts receivable, net (each determined in accordance with GAAP) in an aggregate minimum amount equal to $65.0 million less (C) any amount of cash and cash equivalents in excess of $30 million; (iii) the definition of “Permitted Investment” in the April 2021 Notes was modified such that the consent of High Trail is now required for certain merger and acquisition activity; (iv) the Company agreed that the exercise prices of the following warrants to purchase shares of the Company’s common stock previously issued to High Trail will be modified to be equal to the lesser of: (X) the closing price of the Company’s common stock on August 9, 2021 or (Y) the VWAP of the Company’s common stock on August 9, 2021: (1) the February Warrant; (2) the Additional Warrant; and (3) the Warrants (collectively, the “High Trail Warrants”); (v) High Trail agreed that it would not exercise the High Trail Warrants prior to October 17, 2021 (the day that was 60 days after the registration statement registering for resale the 2,666,667 shares of common stock the Company issued on June 15, 2021 was declared effective); and (vi) if, at any time on or after January 7, 2022, High Trail is unable to exercise the High Trail Warrants due to the agreement described in clause (v), the Company agreed to pay High Trail, as liquidated damages, a cash payment that will be equal to (a) the weighted average price of the Company’s common stock on the date High Trail seeks to exercise any of the High Trail Warrants, minus the then-current exercise price of the High Trail Warrants, multiplied by (b) the number of shares subject to the High Trail Warrants that it then desires to exercise.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Debt Repayment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22, 2021, the Company entered into letter agreements (the “September Letter Agreements”) with High Trail with respect to the April 2021 Notes. Pursuant to the September Letter Agreements, (i) High Trail notified the Company that High Trail declared events of default under the April 2021 Notes and further notified the Company that High Trail accelerated an aggregate of $66.3 million of the principal amount of the April 2021 Notes, requiring the Company to pay $76.9 million (such amount equal to 115% of the principal amount that was accelerated, as required under the terms of the April 2021Notes, plus $0.3 million of accrued but unpaid interest on the principal amount that was accelerated) (collectively, the “Acceleration Amount”), (ii) High Trail agreed,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9" w:name="page20"/>
    <w:bookmarkEnd w:id="19"/>
    <w:p>
      <w:pPr>
        <w:ind w:right="100"/>
        <w:spacing w:after="0" w:line="255" w:lineRule="auto"/>
        <w:rPr>
          <w:sz w:val="20"/>
          <w:szCs w:val="20"/>
          <w:color w:val="auto"/>
        </w:rPr>
      </w:pPr>
      <w:r>
        <w:rPr>
          <w:rFonts w:ascii="Times New Roman" w:cs="Times New Roman" w:eastAsia="Times New Roman" w:hAnsi="Times New Roman"/>
          <w:sz w:val="18"/>
          <w:szCs w:val="18"/>
          <w:color w:val="auto"/>
        </w:rPr>
        <w:t>contingent and effective upon the repayment of the Acceleration Amount in shares of the Company’s common stock in accordance with the April 2021 Notes and the September Letter Agreements and the satisfaction of all of the Company’s other obligations under the September Letter Agreements and the Second Omnibus Amendment (as defined below), to waive the events of default, (iii) the Company agreed that until November 1, 2021, the Company would not, subject to certain exceptions, issue, offer, sell or otherwise dispose of any equity security, equity-linked security or related security, and (iv) the Company agreed that, as a result of the occurrence of the events of default, it no longer has the right to require High Trail to exercise the High Trail Warrants if the price of the Company’s common stock exceeds 200% of the exercise price of the High Trail Warrants for 20 consecutive trading days and certain other conditions were satisfied.</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April 2021 Notes, High Trail had the right, by delivering a notice to the Company (each, a “Stock Payment Notice”) to require the Company to satisfy its obligation to repay all or any portion of the Acceleration Amount in shares of the Company’s common stock, with the number of shares issuable determined by dividing the portion of the Acceleration Amount that High Trail requests, pursuant to a Stock Payment Notice, to be repaid in shares of the Company’s common stock, by 80% of the lesser of (A) the Daily VWAP (as defined in the April 2021 Notes) on the date of delivery of the Stock Payment Notice, and (B) the average of the lowest two Daily VWAPs during the ten (10) day VWAP trading period ending on the date of delivery of the Stock Payment Notice. Pursuant to the September Letter Agreements, High Trail agreed to deliver Stock Payment Notices as soon as it was practicable to do so without High Trail and its affiliates collectively beneficially owning in the aggregate in excess of 9.99% of the Company’s outstanding common stock.</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September Letter Agreements, on September 22, 2021, the Company also entered into a Second Omnibus Amendment to Senior Secured Notes Due 2024 and Warrants to Purchase Common Stock with High Trail (the “Second Omnibus Amendment”), whereby: (i) the maturity date of the April 2021 Notes was changed from April 8, 2024 to April 1, 2023; (ii) the definition of “Permitted Investment” in the April 2021 Notes was modified to include an exception for certain acquisitions of all or substantially all of the assets of another person or a majority of the equity interests of another person; (iii) the definition of “Target Adjusted EBITDA” was modified to reflect certain updated projections of the Company; (iv) the liquidity requirements as set forth in the Omnibus Amendment were removed; (v) the minimum cash threshold covenant was changed from $30.0 million to $15.0 million; (vi) the definition of “Adjusted EBITDA” in the April 2021 Notes was modified to be equal to not less than the Target Adjusted EBITDA for the three-month period ending on the last day of each applicable fiscal quarter instead of the 12-month period ending on such day; and (vii) the exercise prices of the High Trail Warrants were modified to be equal to $0.01. High Trail reserved the right to void the term of the Second Omnibus Amendment in full or in part in the event that the Company breached any of the terms of the September Letter Agreements or otherwise failed to timely deliver shares of stock of the Company to High Trail as required thereunder.</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April 2021 Notes and the September Letter Agreements, effective September 22, 2021, the Company issued to High Trail an aggregate of 3,474,814 shares of its common stock, and effective September 23, 2021, the Company issued to High Trail an aggregate of 5,838,096 shares of its common stock, satisfying its obligation to repay the Acceleration Amount in full.</w:t>
      </w:r>
    </w:p>
    <w:p>
      <w:pPr>
        <w:spacing w:after="0" w:line="176" w:lineRule="exact"/>
        <w:rPr>
          <w:sz w:val="20"/>
          <w:szCs w:val="20"/>
          <w:color w:val="auto"/>
        </w:rPr>
      </w:pPr>
    </w:p>
    <w:p>
      <w:pPr>
        <w:ind w:right="340"/>
        <w:spacing w:after="0" w:line="346" w:lineRule="auto"/>
        <w:rPr>
          <w:sz w:val="20"/>
          <w:szCs w:val="20"/>
          <w:color w:val="auto"/>
        </w:rPr>
      </w:pPr>
      <w:r>
        <w:rPr>
          <w:rFonts w:ascii="Times New Roman" w:cs="Times New Roman" w:eastAsia="Times New Roman" w:hAnsi="Times New Roman"/>
          <w:sz w:val="17"/>
          <w:szCs w:val="17"/>
          <w:color w:val="auto"/>
        </w:rPr>
        <w:t>Pursuant to ASC Topic 470, Debt, the Company concluded that as a result of the High Trail Letter Agreements and Omnibus Amendment and the High Trail Debt Repayment, the April 2021 Notes were extinguished on September 22, 2021 in exchange for the $25.0 million of Notes due April 2023.</w:t>
      </w:r>
    </w:p>
    <w:p>
      <w:pPr>
        <w:spacing w:after="0" w:line="1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paid off the remaining $25.0 million High Trail Term Loan as of December 31, 2021 (see the discussion under the heading MidCap Credit Facility December 2021 of this Note 6 below). Pursuant to ASC Topic 470, Debt, the Company concluded the High Trail Term Loan transaction resulted in the extinguishment of the High Trail Term Loan in the amount of $2.5 million of extinguishment, which has been classified within loss on extinguishment of debt on the consolidated statements of operations.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year-ended December 31, 2021, the Company recorded a total of $138.9 million of debt extinguishment loss which includes the $107.0 million from the High Trail Letter Agreements and Omnibus Amendment and the High Trail Debt Repayment, $28.2 million from the High Trail December 2020 and February 2021 term loans as part of the issuance of the April 2021 Notes, of $2.5 million of extinguishment from the remaining $25.0 million of High Trail Term Loan and $1.5 million from the repayment of the 2018 Credit Facility.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MidCap Credit Facility – December 2021</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(the “Lenders”), and Midcap, as administrative agent, pursuant to which, among other things,</w:t>
      </w:r>
    </w:p>
    <w:p>
      <w:pPr>
        <w:ind w:firstLine="8"/>
        <w:spacing w:after="0" w:line="260"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agreed to provide a three year revolving credit facility in a principal amount of up to $40.0 million subject to a borrowing base consisting of, among other things, inventory and sales receivables (subject to certain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8"/>
          <w:szCs w:val="18"/>
          <w:color w:val="auto"/>
        </w:rPr>
        <w:t>reserves), and (ii) the Company agreed to issue to MidCap Funding XXVII Trust a warrant (the “Midcap Warrant”) to purchase up to an aggregate of 200,000 shares of common stock of the Company, par value $0.0001 per share, in exchange for the Lenders extending loans and other extensions of credit to the Company under the Credit Agreement.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22, 2021, the Company used $27.6 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 million, as amended (the “Terminated Notes”).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a senior secured obligation of the Company and rank senior to all indebtedness of the Company. Borrowings under the Credit Agreement bear interest at a rate per annum equal to 5.50%, plus, at the Company’s option, either a base rate or a LIBOR rate.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through and including May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calendar year, $12.5 million and (b) at all other times, $15.0 million. The Credit Agreement includes events of default that are customary for these types of credit facilities, including the occurrence of a change of control. The Company was in compliance with the financial covenants contained within the Credit Agreement as of March 31, 2022. The Company had approximately $0.0 million and $3.6 million of availability on the Midcap Credit Facility as of December 31, 2021 and March 31, 2022, respectively.</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The Midcap Warrant has an exercise price of $4.70 per share, subject to adjustment for stock splits, reverse stock splits, stock dividends and similar transactions, was immediately exercisable, has a term of ten years from the date of issuance and is exercisable on a cash or cashless basis. The Company </w:t>
      </w:r>
      <w:r>
        <w:rPr>
          <w:rFonts w:ascii="Times New Roman" w:cs="Times New Roman" w:eastAsia="Times New Roman" w:hAnsi="Times New Roman"/>
          <w:sz w:val="18"/>
          <w:szCs w:val="18"/>
          <w:color w:val="222222"/>
        </w:rPr>
        <w:t>evaluated the terms of each warrant to determine the appropriate accounting and classification pursuant to ASC 480 and ASC 815</w:t>
      </w:r>
      <w:r>
        <w:rPr>
          <w:rFonts w:ascii="Times New Roman" w:cs="Times New Roman" w:eastAsia="Times New Roman" w:hAnsi="Times New Roman"/>
          <w:sz w:val="18"/>
          <w:szCs w:val="18"/>
          <w:color w:val="000000"/>
        </w:rPr>
        <w:t>. B</w:t>
      </w:r>
      <w:r>
        <w:rPr>
          <w:rFonts w:ascii="Times New Roman" w:cs="Times New Roman" w:eastAsia="Times New Roman" w:hAnsi="Times New Roman"/>
          <w:sz w:val="18"/>
          <w:szCs w:val="18"/>
          <w:color w:val="222222"/>
        </w:rPr>
        <w:t>ased on the Company’s evaluation, it concluded that the Midcap warrant should be classified as equity with no subsequent remeasurement at each quarter so long as such warrants remain to be classified as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December 31, 2021 and March 31, 2022:</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4"/>
          </w:tcPr>
          <w:p>
            <w:pPr>
              <w:jc w:val="center"/>
              <w:ind w:left="998"/>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MidCap Credit Facility – December 2021</w:t>
            </w:r>
          </w:p>
        </w:tc>
        <w:tc>
          <w:tcPr>
            <w:tcW w:w="4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MidCap Credit Facility – December 2021</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vMerge w:val="continue"/>
          </w:tcPr>
          <w:p>
            <w:pPr>
              <w:spacing w:after="0"/>
              <w:rPr>
                <w:sz w:val="21"/>
                <w:szCs w:val="21"/>
                <w:color w:val="auto"/>
              </w:rPr>
            </w:pP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180" w:type="dxa"/>
            <w:vAlign w:val="bottom"/>
          </w:tcPr>
          <w:p>
            <w:pPr>
              <w:spacing w:after="0"/>
              <w:rPr>
                <w:sz w:val="21"/>
                <w:szCs w:val="21"/>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three months ended March 31, 2021 and 2022: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center"/>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4"/>
          </w:tcPr>
          <w:p>
            <w:pPr>
              <w:jc w:val="center"/>
              <w:ind w:left="998"/>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Warrants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6,436,322 shares of the Company’s common stock (the “Shares”), and accompanying warrants to purchase 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aggregate of 4,827,242 shares of common stock, and (ii) pre-funded warrants to purchase up to an aggregate of 3,013,850 shares of common stock</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 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spacing w:after="0" w:line="30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222222"/>
        </w:rPr>
        <w:t>Upon the issuance of the pre-funded warrant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For the three months ended March 31, 2022, the Company recorded a charge of $1.9 million related to the change in fair value of these warrants. As of March 31, 2022, the Company has $20.9 million as the liability related to these warrants.</w:t>
      </w:r>
    </w:p>
    <w:p>
      <w:pPr>
        <w:spacing w:after="0" w:line="201"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equity plans: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March 31, 2022, 60,509 shares were reserved for awards available for future issuance under the Aterian 2014 Plan.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the Aterian, Inc. 2018 Equity Incentive Plan (the “2018 Plan”) on October 11, 2018. The 2018 Plan was approved by its stockholders on May 24, 2019. As of March 31, 2022, 387,943 shares were reserved for awards available for future issuance under the 2018 Plan.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Plan</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board of directors adopted the Aterian, Inc. 2019 Equity Plan (the “2019 Equity Plan”) on March 20, 2019. The 2019 Equity Plan was approved by its stockholders on May 24, 2019. As of March 31, 2022, no shares were reserved for future issuance and there were no longer any awards outstanding under the 2019 Equity Plan.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the vesting date of the shares granted under the 2019 Equity Plan a number of times and the last remaining shares granted under the 2019 Equity Plan vested on March 14, 2022. Awards granted under the 2019 Equity Plan and not previously forfeited upon termination of service carried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 up expense and the remaining expense was recorded under graded vesting. In the event the service of a participant in the 2019 Equity Plan (each, a “Participant”) was terminated due to an “involuntary termination”, then all of such Participant’s unvested shares of restricted common stock were to vest on the date of such involuntary termination unless, within three business days of such termination (1) the Company’s board of directors unanimously determines that such vesting should not occur and (2) the remaining Participants holding restricted share awards covering at least 70% of the shares of restricted common stock issued and outstanding under the 2019 Equity Plan determine that such vesting should not occur. In the event of a forfeiture, voluntary or involuntary, of shares of restricted common stock granted under the 2019 Equity Plan, such shares were automatically reallocated to the remaining Participants in proportion to the number of shares of restricted common stock covered by outstanding awards that each such Participant holds.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three months ended March 31, 2022:</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Balance—January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522,905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Balance—March 31,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March 31, 2022</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520,065</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2022</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520,413</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2022, the total unrecognized compensation expense related to unvested options was less than $0.1 million, which the Company expects to recognize over an estimated weighted-average period of 0.40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222222"/>
        </w:rPr>
        <w:t>A summary of restricted stock award activity within the Company’s equity plans and changes for the three months ended March 31, 2022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2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2,106,180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155,456</w:t>
            </w:r>
          </w:p>
        </w:tc>
        <w:tc>
          <w:tcPr>
            <w:tcW w:w="20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(519,246)</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(193,594)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1,548,796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2022, the total unrecognized compensation expense related to unvested shares of restricted common stock was $16.2 million, which the Company expects to recognize over an estimated weighted-average period of 2.18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22222"/>
        </w:rPr>
        <w:t>Stock-based compensation expense is allocated based on the cost center to which the award holder belongs. The following table summarizes the total stock-based compensation expense by function, including expense related to consultants, for the three months ended March 31, 2021 and 2022:</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4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r>
      <w:tr>
        <w:trPr>
          <w:trHeight w:val="155"/>
        </w:trPr>
        <w:tc>
          <w:tcPr>
            <w:tcW w:w="4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9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5,061</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FF0FC"/>
          </w:tcPr>
          <w:p>
            <w:pPr>
              <w:spacing w:after="0"/>
              <w:rPr>
                <w:sz w:val="19"/>
                <w:szCs w:val="19"/>
                <w:color w:val="auto"/>
              </w:rPr>
            </w:pPr>
          </w:p>
        </w:tc>
      </w:t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tcPr>
          <w:p>
            <w:pPr>
              <w:spacing w:after="0"/>
              <w:rPr>
                <w:sz w:val="19"/>
                <w:szCs w:val="19"/>
                <w:color w:val="auto"/>
              </w:rPr>
            </w:pPr>
          </w:p>
        </w:tc>
        <w:tc>
          <w:tcPr>
            <w:tcW w:w="680" w:type="dxa"/>
            <w:vAlign w:val="bottom"/>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6,899</w:t>
            </w:r>
          </w:p>
        </w:tc>
        <w:tc>
          <w:tcPr>
            <w:tcW w:w="18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Pr>
          <w:p>
            <w:pPr>
              <w:spacing w:after="0"/>
              <w:rPr>
                <w:sz w:val="19"/>
                <w:szCs w:val="19"/>
                <w:color w:val="auto"/>
              </w:rPr>
            </w:pPr>
          </w:p>
        </w:tc>
      </w:tr>
    </w:tbl>
    <w:p>
      <w:pPr>
        <w:spacing w:after="0" w:line="378"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per share data):</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jc w:val="right"/>
              <w:ind w:right="71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(82,553)</w:t>
            </w:r>
          </w:p>
        </w:tc>
        <w:tc>
          <w:tcPr>
            <w:tcW w:w="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(42,776)</w:t>
            </w: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basic and diluted</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26,225,383</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55,141,448</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Anti-dilutive shares excluded from computation of net loss per share (in</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5,943,489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6,009,126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2021 and March 31, 2022, the Company estimates that the potential liability, including current sales tax payable is approximately $</w:t>
      </w:r>
      <w:r>
        <w:rPr>
          <w:rFonts w:ascii="Times New Roman" w:cs="Times New Roman" w:eastAsia="Times New Roman" w:hAnsi="Times New Roman"/>
          <w:sz w:val="18"/>
          <w:szCs w:val="18"/>
          <w:color w:val="auto"/>
          <w:highlight w:val="cyan"/>
        </w:rPr>
        <w:t>0.7</w:t>
      </w:r>
      <w:r>
        <w:rPr>
          <w:rFonts w:ascii="Times New Roman" w:cs="Times New Roman" w:eastAsia="Times New Roman" w:hAnsi="Times New Roman"/>
          <w:sz w:val="18"/>
          <w:szCs w:val="18"/>
          <w:color w:val="auto"/>
        </w:rPr>
        <w:t xml:space="preserve"> million and $</w:t>
      </w:r>
      <w:r>
        <w:rPr>
          <w:rFonts w:ascii="Times New Roman" w:cs="Times New Roman" w:eastAsia="Times New Roman" w:hAnsi="Times New Roman"/>
          <w:sz w:val="18"/>
          <w:szCs w:val="18"/>
          <w:color w:val="auto"/>
          <w:highlight w:val="cyan"/>
        </w:rPr>
        <w:t>0.9</w:t>
      </w:r>
      <w:r>
        <w:rPr>
          <w:rFonts w:ascii="Times New Roman" w:cs="Times New Roman" w:eastAsia="Times New Roman" w:hAnsi="Times New Roman"/>
          <w:sz w:val="18"/>
          <w:szCs w:val="18"/>
          <w:color w:val="auto"/>
        </w:rPr>
        <w:t xml:space="preserve">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U.S. Department of Energy</w:t>
      </w:r>
      <w:r>
        <w:rPr>
          <w:rFonts w:ascii="Times New Roman" w:cs="Times New Roman" w:eastAsia="Times New Roman" w:hAnsi="Times New Roman"/>
          <w:sz w:val="18"/>
          <w:szCs w:val="18"/>
          <w:color w:val="auto"/>
        </w:rPr>
        <w:t>—In September 2019, the Company received a Test Notice from the U.S. Department of Energy (“DOE”) indicating that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standards,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Times New Roman" w:cs="Times New Roman" w:eastAsia="Times New Roman" w:hAnsi="Times New Roman"/>
          <w:sz w:val="18"/>
          <w:szCs w:val="18"/>
          <w:color w:val="222222"/>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Company believes that its products are compliant, and the Company, in conjunction with its manufacturing partner, has disputed the Test Notice received from the DOE. </w:t>
      </w:r>
      <w:r>
        <w:rPr>
          <w:rFonts w:ascii="Times New Roman" w:cs="Times New Roman" w:eastAsia="Times New Roman" w:hAnsi="Times New Roman"/>
          <w:sz w:val="18"/>
          <w:szCs w:val="18"/>
          <w:color w:val="000000"/>
        </w:rPr>
        <w:t>As of the date of the issuance of the accompanying condensed consolidated financial statements, the Company cannot reasonably estimate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what, if any, penalties may be levied.</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U.S. Environmental Protection Agency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In September 2019, the Company received notice from the U.S. Environmental Protection Agency (“EPA”)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placed a hold on the sale of certain of the Company's dehumidifier inventory while it reviews the matter with the Company. As of October 2020, the Company is able to resume selling the products identified by the EPA, and discussions are continuing with the EPA. The Company cannot be certain of the outcome with the EPA, and the Company may incur costs and penalties that cannot presently be calculated in the event that the Company is unable to resolve this matter with the EPA.</w:t>
      </w:r>
    </w:p>
    <w:p>
      <w:pPr>
        <w:spacing w:after="0" w:line="1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highlight w:val="cyan"/>
        </w:rPr>
        <w:t>May 2, 2021</w:t>
      </w:r>
      <w:r>
        <w:rPr>
          <w:rFonts w:ascii="Times New Roman" w:cs="Times New Roman" w:eastAsia="Times New Roman" w:hAnsi="Times New Roman"/>
          <w:sz w:val="18"/>
          <w:szCs w:val="18"/>
          <w:color w:val="222222"/>
        </w:rPr>
        <w:t>, the Company entered into a settlement agreement with one of the Company’s suppliers who agreed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amount of $</w:t>
      </w:r>
      <w:r>
        <w:rPr>
          <w:rFonts w:ascii="Times New Roman" w:cs="Times New Roman" w:eastAsia="Times New Roman" w:hAnsi="Times New Roman"/>
          <w:sz w:val="18"/>
          <w:szCs w:val="18"/>
          <w:color w:val="222222"/>
          <w:highlight w:val="cyan"/>
        </w:rPr>
        <w:t>3.0</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b w:val="1"/>
          <w:bCs w:val="1"/>
          <w:color w:val="000000"/>
        </w:rPr>
        <w:t>million to the Company in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222222"/>
          <w:highlight w:val="cyan"/>
        </w:rPr>
        <w:t>three</w:t>
      </w:r>
      <w:r>
        <w:rPr>
          <w:rFonts w:ascii="Times New Roman" w:cs="Times New Roman" w:eastAsia="Times New Roman" w:hAnsi="Times New Roman"/>
          <w:sz w:val="18"/>
          <w:szCs w:val="18"/>
          <w:color w:val="222222"/>
        </w:rPr>
        <w:t xml:space="preserve"> installments of $</w:t>
      </w:r>
      <w:r>
        <w:rPr>
          <w:rFonts w:ascii="Times New Roman" w:cs="Times New Roman" w:eastAsia="Times New Roman" w:hAnsi="Times New Roman"/>
          <w:sz w:val="18"/>
          <w:szCs w:val="18"/>
          <w:color w:val="222222"/>
          <w:highlight w:val="cyan"/>
        </w:rPr>
        <w:t>1.0</w:t>
      </w:r>
      <w:r>
        <w:rPr>
          <w:rFonts w:ascii="Times New Roman" w:cs="Times New Roman" w:eastAsia="Times New Roman" w:hAnsi="Times New Roman"/>
          <w:sz w:val="18"/>
          <w:szCs w:val="18"/>
          <w:color w:val="222222"/>
        </w:rPr>
        <w:t xml:space="preserve"> 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ind w:right="220"/>
        <w:spacing w:after="0" w:line="261" w:lineRule="auto"/>
        <w:rPr>
          <w:sz w:val="20"/>
          <w:szCs w:val="20"/>
          <w:color w:val="auto"/>
        </w:rPr>
      </w:pPr>
      <w:r>
        <w:rPr>
          <w:rFonts w:ascii="Times New Roman" w:cs="Times New Roman" w:eastAsia="Times New Roman" w:hAnsi="Times New Roman"/>
          <w:sz w:val="18"/>
          <w:szCs w:val="18"/>
          <w:color w:val="222222"/>
        </w:rPr>
        <w:t>2021. Through the date of the accompanying condensed consolidated financial statements, the supplier has not paid in full its required first payment of $</w:t>
      </w:r>
      <w:r>
        <w:rPr>
          <w:rFonts w:ascii="Times New Roman" w:cs="Times New Roman" w:eastAsia="Times New Roman" w:hAnsi="Times New Roman"/>
          <w:sz w:val="18"/>
          <w:szCs w:val="18"/>
          <w:color w:val="222222"/>
          <w:highlight w:val="cyan"/>
        </w:rPr>
        <w:t>1.0</w:t>
      </w:r>
      <w:r>
        <w:rPr>
          <w:rFonts w:ascii="Times New Roman" w:cs="Times New Roman" w:eastAsia="Times New Roman" w:hAnsi="Times New Roman"/>
          <w:sz w:val="18"/>
          <w:szCs w:val="18"/>
          <w:color w:val="222222"/>
        </w:rPr>
        <w:t xml:space="preserve"> million nor has it delivered the required quantity of goods. As such, the Company has fully reserved $</w:t>
      </w:r>
      <w:r>
        <w:rPr>
          <w:rFonts w:ascii="Times New Roman" w:cs="Times New Roman" w:eastAsia="Times New Roman" w:hAnsi="Times New Roman"/>
          <w:sz w:val="18"/>
          <w:szCs w:val="18"/>
          <w:color w:val="222222"/>
          <w:highlight w:val="cyan"/>
        </w:rPr>
        <w:t>4.1</w:t>
      </w:r>
      <w:r>
        <w:rPr>
          <w:rFonts w:ascii="Times New Roman" w:cs="Times New Roman" w:eastAsia="Times New Roman" w:hAnsi="Times New Roman"/>
          <w:sz w:val="18"/>
          <w:szCs w:val="18"/>
          <w:color w:val="222222"/>
        </w:rPr>
        <w:t xml:space="preserve"> million within prepaid and other current assets on its consolidated financial statements during the year-ended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22222"/>
        </w:rPr>
        <w:t>, 2021. The Company has commenced legal action against the supplier and continues to reserve its legal options and rights on this matter as of March 31, 2022.</w:t>
      </w:r>
    </w:p>
    <w:p>
      <w:pPr>
        <w:spacing w:after="0" w:line="17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—The Company is party to various actions and claims arising in the normal course of business. The Company does not believe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7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Securities Class Action</w:t>
      </w:r>
      <w:r>
        <w:rPr>
          <w:rFonts w:ascii="Times New Roman" w:cs="Times New Roman" w:eastAsia="Times New Roman" w:hAnsi="Times New Roman"/>
          <w:sz w:val="18"/>
          <w:szCs w:val="18"/>
          <w:color w:val="auto"/>
        </w:rPr>
        <w:t>—Following a mediation, an initial settlement-in-principle, and further negotiations, on April 22, 2022,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its codefendants Yaniv Sarig, Fabrice Hamaide, and Arturo Rodriguez, entered into a formal settlement agreement to resolve the purported class action lawsuits filed in the U.S. District Court for the Southern District of New York by Andrew Tate on May 13, 2021, and by Jeff Coon, on June 10, 2021, consolidated under the caption Tate v. Aterian, Inc., et. al., 21-cv-04323-VM (the “Action”).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Action, plaintiffs claimed that defendants made false and materially misleading statements and failed to disclose material adverse facts regarding the Company’s business, operations, and prospects, and that this was revealed on May 4, 2021, in a report issued by Culper Research. The Company and its codefendants denied, and continue to deny, that these allegations have any merit. The settlement agreement contains no admission of wrongdoing and expressly states that the Company and its codefendants have entered into a settlement solely to avoid the uncertainties, burden, and expense of further litigation.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settlement class consists of purchasers of Aterian securities during the period from August 24, 2020, through May 3, 2021, inclusive (the “Class Period”). Under the terms of the proposed settlement, members of the settlement class release the Company and its codefendants from, among other things, all claims and causes of action of every nature and description, whether known or unknown, that were asserted in the Action; could have been asserted in the Action; relate in any way to transactions in Aterian securities during the Class Period and any facts, transactions, or occurrences referred to in any of the pleadings or other documents filed in the Action. Under the agreement, the Company will pay $1.3 million, within 10 business days of the Court’s preliminary approval of the settlement, to be distributed to claimants in the settlement class pursuant to the plan of allocation filed with the Court on May 4, 2022. To the extent permitted by the Court, this payment will also fund the legal fees of plaintiffs’ counsel and the costs of administering the settlement.</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proposed settlement was preliminarily approved by the Court on May 6, 2022, but is still subject to final Court approval. The Court has scheduled a hearing regarding final approval for September 9, 2022. Final approval is expected, but could be delayed by appeals, objections, or other proceedings. In addition, the Company has the right to terminate the settlement agreement if more than a certain percentage of class members elect to opt-out of the settlement.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connection with the proposed settlement, the Company recorded approximately $</w:t>
      </w:r>
      <w:r>
        <w:rPr>
          <w:rFonts w:ascii="Times New Roman" w:cs="Times New Roman" w:eastAsia="Times New Roman" w:hAnsi="Times New Roman"/>
          <w:sz w:val="18"/>
          <w:szCs w:val="18"/>
          <w:color w:val="auto"/>
          <w:highlight w:val="cyan"/>
        </w:rPr>
        <w:t>1.3</w:t>
      </w:r>
      <w:r>
        <w:rPr>
          <w:rFonts w:ascii="Times New Roman" w:cs="Times New Roman" w:eastAsia="Times New Roman" w:hAnsi="Times New Roman"/>
          <w:sz w:val="18"/>
          <w:szCs w:val="18"/>
          <w:color w:val="auto"/>
        </w:rPr>
        <w:t xml:space="preserve"> million in the fourth quarter of 2021. The Company will pay for the settlement with available resources and expects the settlement payment to be made within the second quarter of 2022.</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222222"/>
        </w:rPr>
        <w:t xml:space="preserve">Shareholder Derivative Actions Related to the </w:t>
      </w:r>
      <w:r>
        <w:rPr>
          <w:rFonts w:ascii="Times New Roman" w:cs="Times New Roman" w:eastAsia="Times New Roman" w:hAnsi="Times New Roman"/>
          <w:sz w:val="18"/>
          <w:szCs w:val="18"/>
          <w:b w:val="1"/>
          <w:bCs w:val="1"/>
          <w:color w:val="000000"/>
        </w:rPr>
        <w:t>Securities Class Action</w:t>
      </w:r>
      <w:r>
        <w:rPr>
          <w:rFonts w:ascii="Times New Roman" w:cs="Times New Roman" w:eastAsia="Times New Roman" w:hAnsi="Times New Roman"/>
          <w:sz w:val="18"/>
          <w:szCs w:val="18"/>
          <w:color w:val="000000"/>
        </w:rPr>
        <w:t>—On October 21, October25 and November 10, 2021, three</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shareholder</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 xml:space="preserve">derivative actions </w:t>
      </w:r>
      <w:r>
        <w:rPr>
          <w:rFonts w:ascii="Times New Roman" w:cs="Times New Roman" w:eastAsia="Times New Roman" w:hAnsi="Times New Roman"/>
          <w:sz w:val="18"/>
          <w:szCs w:val="18"/>
          <w:color w:val="000000"/>
        </w:rPr>
        <w:t>were filed on behalf of the Company by Shaoxuan Zhang,</w:t>
      </w:r>
      <w:r>
        <w:rPr>
          <w:rFonts w:ascii="Times New Roman" w:cs="Times New Roman" w:eastAsia="Times New Roman" w:hAnsi="Times New Roman"/>
          <w:sz w:val="18"/>
          <w:szCs w:val="18"/>
          <w:color w:val="222222"/>
        </w:rPr>
        <w:t xml:space="preserve"> Michael Sheller and Tyler Magnus in the </w:t>
      </w:r>
      <w:r>
        <w:rPr>
          <w:rFonts w:ascii="Times New Roman" w:cs="Times New Roman" w:eastAsia="Times New Roman" w:hAnsi="Times New Roman"/>
          <w:sz w:val="18"/>
          <w:szCs w:val="18"/>
          <w:color w:val="000000"/>
        </w:rPr>
        <w:t>U.S. District Court for the Southern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District of New York. These actions, collectively, name </w:t>
      </w:r>
      <w:r>
        <w:rPr>
          <w:rFonts w:ascii="Times New Roman" w:cs="Times New Roman" w:eastAsia="Times New Roman" w:hAnsi="Times New Roman"/>
          <w:sz w:val="18"/>
          <w:szCs w:val="18"/>
          <w:color w:val="222222"/>
        </w:rPr>
        <w:t>Yaniv Sarig, Fabrice Hamaide, Arturo Rodriguez, Greg B. Petersen, Bari A. Harlam, Amy von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the Company is held liable in the Securities Class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The Company believes the allegations are without merit and intends to vigorously defend against these actions. </w:t>
      </w:r>
      <w:r>
        <w:rPr>
          <w:rFonts w:ascii="Times New Roman" w:cs="Times New Roman" w:eastAsia="Times New Roman" w:hAnsi="Times New Roman"/>
          <w:sz w:val="18"/>
          <w:szCs w:val="18"/>
          <w:color w:val="000000"/>
        </w:rPr>
        <w:t>The Company and the parties to this action are in negotiations regarding a possible settlement of this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matter, however the outcome of these negotiations are still uncertain. If that process does not succeed, the Company is prepared to continue the full defense of this action.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222222"/>
        </w:rPr>
        <w:t>Based on information available to the Company at present, the Company cannot reasonably estimate a range of loss or income for these actions.</w:t>
      </w:r>
    </w:p>
    <w:p>
      <w:pPr>
        <w:spacing w:after="0" w:line="2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Sabby Contract Action</w:t>
      </w:r>
      <w:r>
        <w:rPr>
          <w:rFonts w:ascii="Times New Roman" w:cs="Times New Roman" w:eastAsia="Times New Roman" w:hAnsi="Times New Roman"/>
          <w:sz w:val="18"/>
          <w:szCs w:val="18"/>
          <w:color w:val="222222"/>
        </w:rPr>
        <w:t>—On September 20, 2021, Sabby Volatility Warrant Master Fund Ltd. (“Sabby”) sued the Company in the Supreme Court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 xml:space="preserve">State of New York, New York County, alleging that the Company breached the Securities Purchase Agreement, dated June 10, 2021 (the “Purchase Agreement”), pursuant to which Sabby purchased </w:t>
      </w:r>
      <w:r>
        <w:rPr>
          <w:rFonts w:ascii="Times New Roman" w:cs="Times New Roman" w:eastAsia="Times New Roman" w:hAnsi="Times New Roman"/>
          <w:sz w:val="18"/>
          <w:szCs w:val="18"/>
          <w:color w:val="222222"/>
          <w:highlight w:val="cyan"/>
        </w:rPr>
        <w:t>400,000</w:t>
      </w:r>
      <w:r>
        <w:rPr>
          <w:rFonts w:ascii="Times New Roman" w:cs="Times New Roman" w:eastAsia="Times New Roman" w:hAnsi="Times New Roman"/>
          <w:sz w:val="18"/>
          <w:szCs w:val="18"/>
          <w:color w:val="222222"/>
        </w:rPr>
        <w:t xml:space="preserve"> shares of the Company’s common stock, for an aggregate price of approximately $</w:t>
      </w:r>
      <w:r>
        <w:rPr>
          <w:rFonts w:ascii="Times New Roman" w:cs="Times New Roman" w:eastAsia="Times New Roman" w:hAnsi="Times New Roman"/>
          <w:sz w:val="18"/>
          <w:szCs w:val="18"/>
          <w:color w:val="222222"/>
          <w:highlight w:val="cyan"/>
        </w:rPr>
        <w:t>6.0</w:t>
      </w:r>
      <w:r>
        <w:rPr>
          <w:rFonts w:ascii="Times New Roman" w:cs="Times New Roman" w:eastAsia="Times New Roman" w:hAnsi="Times New Roman"/>
          <w:sz w:val="18"/>
          <w:szCs w:val="18"/>
          <w:color w:val="222222"/>
        </w:rPr>
        <w:t xml:space="preserve"> million. Sabby contends that certain of the representations and warranties made by the Company in the Purchase Agreement concerning its financial condition and the accuracy of its prior disclosures were untrue and that the Company breached the Purchase Agreement’s anti-dilution and use-of-proceeds covenants on both August 9, 2021 and September 23, 2021, when the Company resolved certain defaults with High Trail. The Company intends to vigorously defend against this action, and, on December 15, 2021, the Company filed a motion to dismiss, which was fully briefed as of February 11, 2022. However, the outcome of this legal proceeding is currently uncertain. Based on information available to the Company at present, the Company cannot reasonably estimate a range of loss for this action</w:t>
      </w:r>
      <w:r>
        <w:rPr>
          <w:rFonts w:ascii="Times New Roman" w:cs="Times New Roman" w:eastAsia="Times New Roman" w:hAnsi="Times New Roman"/>
          <w:sz w:val="18"/>
          <w:szCs w:val="18"/>
          <w:b w:val="1"/>
          <w:bCs w:val="1"/>
          <w:color w:val="000000"/>
        </w:rPr>
        <w:t>.</w:t>
      </w:r>
    </w:p>
    <w:p>
      <w:pPr>
        <w:spacing w:after="0" w:line="18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Mueller Action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In October 2021, the Company received a class action notification and pre-lawsuit demand letter demanding corrective action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marketing, advertising and labeling of certain products under the Mueller Austria brand (the “Mueller Action”). In April 2022, the parties reached an agreement in principle to resolve this potential action for $0.5 million in cash and $0.3 million worth of coupons, which the Company accrued $0.8 million for, subject to negotiation of a formal memorandum of understanding, the execution of final settlement documents and court approval. If that process does not succeed, the Company is prepared to continue the full defense of this action.</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There were no new significant leases or embedded leases identified with the adoption of the lease accounting standard described in Note 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minimum lease liabilities has not changed significantly during the three months ended March 31, 2022.</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Seller Note</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On March 22, 2022, the Company entered into a settlement agreement with Truweo which the Company satisfied seller note for 292,887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recorded $2.0 million gain on extinguishment of debt on the condensed consolidated statement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Healing Solutions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 2021 (the “Closing Date”), the Company entered into and closed the Asset Purchase Agreement with Healing Solutions, LLC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Asset Purchase was accounted for as a business combination using the acquisition method of accounting in accordance with ASC Topic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the Closing Date.</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Healing Solutions will be entitled to receive 170,042 shares of common stock (up to a maximum of 280,000 shares pursuant to certain terms and valuation at the measurement date) in respect of certain inventory. The shares will be issued to Healing Solutions following the final determination of inventory values pursuant to the terms of the Asset Purchase Agreement, which determination is expected to occur approximately nine to ten months following the Closing Date and such shares will be subject to vesting restrictions which will lapse on the date that is the one-year anniversary after the Closing Date. Pursuant to the terms of the Asset Purchase Agreement, Healing Solutions is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the Company or its affiliates, on the one hand, and the New Supplier, on the other hand, for the purchase of such SKUs following the Closing on terms acceptable to the Company in its sole discretion, acting reasonably. If, on or before the date that is 15 months after the Closing Date, an Earn-Out Consideration Event (as defined in the Asset Purchase Agreement) has occurred, then Healing Solutions shall be entitled to receive up to a maximum of 528,670 shares of common stock, which number of shares is subject to reduction in accordance with the terms of the Asset Purchase Agreement based on the time period within which the Earn-Out Consideration Event occurs. See the discussion below under the heading Contingent Earn-Out Liability Considerations of this Note 10 for additional information.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jc w:val="center"/>
              <w:ind w:left="416"/>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jc w:val="center"/>
              <w:ind w:left="416"/>
              <w:spacing w:after="0"/>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600" w:type="dxa"/>
            <w:vAlign w:val="bottom"/>
          </w:tcPr>
          <w:p>
            <w:pPr>
              <w:spacing w:after="0"/>
              <w:rPr>
                <w:sz w:val="20"/>
                <w:szCs w:val="20"/>
                <w:color w:val="auto"/>
              </w:rPr>
            </w:pPr>
          </w:p>
        </w:tc>
        <w:tc>
          <w:tcPr>
            <w:tcW w:w="3020" w:type="dxa"/>
            <w:vAlign w:val="bottom"/>
            <w:gridSpan w:val="2"/>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1,387,759 shares of Common Stock issued at the Closing</w:t>
            </w: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39,454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Seller note for inventory</w:t>
            </w: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to be paid</w:t>
            </w: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gridSpan w:val="2"/>
          </w:tcPr>
          <w:p>
            <w:pPr>
              <w:jc w:val="right"/>
              <w:ind w:right="676"/>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6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39,975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6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71,292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Squatty Potty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5, 2021, the Company acquired the business of e-commerce and retail company Squatty Potty, LLC (“Squatty Potty”), a leading online seller of health and wellness products, in an asset purchase transaction. Currently, Squatty Potty products are sold in thousands of retail locations including Bed, Bath &amp; Beyond, Walmart and Target. As consideration for Squatty Potty’s assets, the Company paid approximately $19.0 million in cash. The Company also paid approximately $1.1 million as consideration related to acquired inventory. In addition, and subject to the achievement of contribution margin metrics for the year-ended December 31, 2021, the Company agreed to pay Squatty Potty a maximum earn-out of approximately $4.0 million, payable in shares of common stock or cash at Squatty Potty’s discretion. The Company also agreed to pay Squatty Potty $8.0 million for transition services, payable in shares of common stock or cash at Squatty Potty’s discretion. See the discussion below under the heading Contingent Earn-Out Liability Considerations of this Note 10 for additional information</w:t>
      </w:r>
      <w:r>
        <w:rPr>
          <w:rFonts w:ascii="Times New Roman" w:cs="Times New Roman" w:eastAsia="Times New Roman" w:hAnsi="Times New Roman"/>
          <w:sz w:val="18"/>
          <w:szCs w:val="18"/>
          <w:i w:val="1"/>
          <w:iCs w:val="1"/>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4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payments</w:t>
            </w:r>
          </w:p>
        </w:tc>
        <w:tc>
          <w:tcPr>
            <w:tcW w:w="4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4100" w:type="dxa"/>
            <w:vAlign w:val="bottom"/>
            <w:shd w:val="clear" w:color="auto" w:fill="CFF0FC"/>
          </w:tcPr>
          <w:p>
            <w:pPr>
              <w:spacing w:after="0"/>
              <w:rPr>
                <w:sz w:val="19"/>
                <w:szCs w:val="19"/>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4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100" w:type="dxa"/>
            <w:vAlign w:val="bottom"/>
            <w:vMerge w:val="restart"/>
          </w:tcPr>
          <w:p>
            <w:pPr>
              <w:jc w:val="right"/>
              <w:ind w:right="2390"/>
              <w:spacing w:after="0"/>
              <w:rPr>
                <w:sz w:val="20"/>
                <w:szCs w:val="20"/>
                <w:color w:val="auto"/>
              </w:rPr>
            </w:pPr>
            <w:r>
              <w:rPr>
                <w:rFonts w:ascii="Times New Roman" w:cs="Times New Roman" w:eastAsia="Times New Roman" w:hAnsi="Times New Roman"/>
                <w:sz w:val="18"/>
                <w:szCs w:val="18"/>
                <w:color w:val="auto"/>
              </w:rPr>
              <w:t>27</w:t>
            </w: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5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9"/>
        </w:trPr>
        <w:tc>
          <w:tcPr>
            <w:tcW w:w="58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8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88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(1)</w:t>
            </w:r>
          </w:p>
        </w:tc>
        <w:tc>
          <w:tcPr>
            <w:tcW w:w="880" w:type="dxa"/>
            <w:vAlign w:val="bottom"/>
            <w:shd w:val="clear" w:color="auto" w:fill="CFF0FC"/>
          </w:tcPr>
          <w:p>
            <w:pPr>
              <w:spacing w:after="0"/>
              <w:rPr>
                <w:sz w:val="19"/>
                <w:szCs w:val="19"/>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8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expected to be deductible for tax purposes. The goodwill is attributable to expected synergies resulting from integrating the Squatty Potty products into the Company’s existing sales channel.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Photo Paper Direct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2021, the Company closed the acquisition of all outstanding stock of e-commerce company Photo Paper Direct Ltd. (“Photo Paper Direct”), a leading online seller of printing supplies. As consideration for Photo Paper Direct’s stock, the Company paid approximately $8.3 million in cash and issued approximately 704,500 shares of the Company’s common stock. The Company also paid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Company’s common stock. See the discussion below under the heading Contingent Earn-Out Liability Considerations of this Note 10 for additional information</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8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704,548 shares of common stock issued</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88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880" w:type="dxa"/>
            <w:vAlign w:val="bottom"/>
            <w:tcBorders>
              <w:bottom w:val="single" w:sz="8" w:color="CFF0FC"/>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8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8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PP&amp;E</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88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88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 (1)</w:t>
            </w:r>
          </w:p>
        </w:tc>
        <w:tc>
          <w:tcPr>
            <w:tcW w:w="8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 (2)</w:t>
            </w:r>
          </w:p>
        </w:tc>
        <w:tc>
          <w:tcPr>
            <w:tcW w:w="88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right="140" w:hanging="368"/>
        <w:spacing w:after="0" w:line="255"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based on preliminary purchase price and most recent book values of tangible assets and prior to any deferred tax assets/liabilities. Subject to change based on the actual closing balance sheet and any purchase accounting adjustments. Goodwill is expected to be deductible for tax purposes. The goodwill is attributable to expected synergies resulting from integrating the Photo Paper Direct products into the Company’s existing sales channels.</w:t>
      </w:r>
    </w:p>
    <w:p>
      <w:pPr>
        <w:spacing w:after="0" w:line="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measurement period adjustment was recorded that resulted in a deferred tax liability of $1.5 million, and corresponding increase in goodwill.</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 Forma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acquisitions for the three months ended March 31, 2022.</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illustrates the impact of the acquisitions on the Company’s net revenue for the three months-ended March 31, 2021. The acquisitions are reflected in the following pro forma information as if the acquisitions had occurred on January 1, 2021.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0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as reported</w:t>
            </w:r>
          </w:p>
        </w:tc>
        <w:tc>
          <w:tcPr>
            <w:tcW w:w="3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Healing Solutions net revenue (1)</w:t>
            </w:r>
          </w:p>
        </w:tc>
        <w:tc>
          <w:tcPr>
            <w:tcW w:w="3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pro forma</w:t>
            </w:r>
          </w:p>
        </w:tc>
        <w:tc>
          <w:tcPr>
            <w:tcW w:w="3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 as reported</w:t>
            </w:r>
          </w:p>
        </w:tc>
        <w:tc>
          <w:tcPr>
            <w:tcW w:w="3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(27,751)</w:t>
            </w:r>
          </w:p>
        </w:tc>
      </w:tr>
      <w:tr>
        <w:trPr>
          <w:trHeight w:val="229"/>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Healing Solutions operating income (1)</w:t>
            </w:r>
          </w:p>
        </w:tc>
        <w:tc>
          <w:tcPr>
            <w:tcW w:w="3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 pro forma</w:t>
            </w:r>
          </w:p>
        </w:tc>
        <w:tc>
          <w:tcPr>
            <w:tcW w:w="3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accompanying condensed consolidated financial statements for the three months-ended March 31, 2021, net revenue, as reported, includes $8.5 million of net revenue from this acquisition. For the three months-ended March 31, 2021, operating income, as reported, includes $1.3 million of operating income from this acquisition.</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engaged a third-party valuation specialist to perform a valuation of the intangible assets acquired for all acquisitions. In performing the valuation, the Company’s management assessed the reasonableness of the projected financial information (“PFI”) by comparing it to the Company’s historical results and financial information for a peer group of the most similar public companies. Based on this review, the Company’s management determined the PFI is reasonable for business and intangible asset valuation purposes.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Liability Considerations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2021 in the first quarter of 2022, and year two, or calendar year 2022, will be due in the first quarter of 2023. For the year-ended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the fair value amount of the earn-out payment was appropriately $5.2 million. As of March 31, 2022, the fair value amount of the earn-out payment with respect to the Smash Assets was approximately $2.5 million, representing a net change of fair value impact of approximately $2.8 million for three months-ended March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acquisition of the Healing Solutions Assets, Healing Solutions was entitled to earn-out payments based on the achievement of certain contribution margin thresholds on certain products of the acquired business. If the earn-out consideration event occurred: (i) prior to the date that is nine months following the Closing Date, the Company will issue 528,670 shares of its common stock to Healing Solutions; (ii) on or after the date that is nine months following the Closing Date but before the date that is 12 months following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Closing Date, the Company was to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was to issue 264,335 shares of common stock to Healing Solutions; or after 15 months, the Company would not had any obligation to issue any shares of its common stock to Healing Solutions.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 2021, the acquisition date, the initial fair value amount of the earn-out payment with respect to the Healing Solutions Assets was appropriately $16.5 million. In November 2021, the Company issued 1.4 million shares of common stock in full settlement of the earn-out. As of December 31, 2021 there is no remaining earn-out liability related to Healing Solutions.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12 months ended December 31, 2021, the maximum payment amount is $3.9 million and if the termination of the transition service agreement is prior to the date that is nine months following the Closing Date, an additional $3.9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5, 2021, the acquisition date, the initial fair value amount of the earn-out payment with respect to the Squatty Potty Assets was appropriately $3.5 million. As of March 31, 2022, the fair value amount of the earn-out payment with respect to the Squatty Potty Assets was approximately $4.0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5, 2021, the acquisition date of Photo Paper Direct Ltd. (“Photo Paper Direct”), the initial fair value amount of the earn-out payment with respect to the Photo Paper Direct acquisition was appropriately $0.9 million. As of December 31, 2021, the fair value amount of the earn-out payment with respect to the Photo Paper Direct acquisition was approximately $0.0 million as the earnout was not achieved.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estimated contingent earn-out liabilities (in thousands) as of December 31, 2021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Smash</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Healing</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Squatty</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Photo Paper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12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Potty</w:t>
            </w: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Balance—January 1, 2021</w:t>
            </w:r>
          </w:p>
        </w:tc>
        <w:tc>
          <w:tcPr>
            <w:tcW w:w="3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100" w:type="dxa"/>
            <w:vAlign w:val="bottom"/>
            <w:shd w:val="clear" w:color="auto" w:fill="CFF0FC"/>
          </w:tcPr>
          <w:p>
            <w:pPr>
              <w:spacing w:after="0"/>
              <w:rPr>
                <w:sz w:val="20"/>
                <w:szCs w:val="20"/>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date fair value of contingent earn-out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and inventory to be settled in 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Pr>
          <w:p>
            <w:pPr>
              <w:spacing w:after="0"/>
              <w:rPr>
                <w:sz w:val="20"/>
                <w:szCs w:val="20"/>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(17,291)</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(12,808)</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(30,529)</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earn-out liability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firstLine="8"/>
        <w:spacing w:after="0" w:line="266"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$3.8 million payment relating to Healing Solutions earn-out was made with 1.4 million of the Company's common stock in November 2021. This resulted in a settlement charge of $4.2 million due to the difference of fair value of the shares issued on the settlement date versus the fair value of the earn-out on the date of the settlement.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estimated contingent earn-out liabilities (in thousands) as of March 31, 2022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Smash</w:t>
            </w:r>
          </w:p>
        </w:tc>
        <w:tc>
          <w:tcPr>
            <w:tcW w:w="120" w:type="dxa"/>
            <w:vAlign w:val="bottom"/>
          </w:tcPr>
          <w:p>
            <w:pPr>
              <w:spacing w:after="0"/>
              <w:rPr>
                <w:sz w:val="17"/>
                <w:szCs w:val="17"/>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Healing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Squatty</w:t>
            </w: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Photo Paper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Potty</w:t>
            </w:r>
          </w:p>
        </w:tc>
        <w:tc>
          <w:tcPr>
            <w:tcW w:w="20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shd w:val="clear" w:color="auto" w:fill="CFF0FC"/>
          </w:tcPr>
          <w:p>
            <w:pPr>
              <w:spacing w:after="0"/>
              <w:rPr>
                <w:sz w:val="20"/>
                <w:szCs w:val="20"/>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Balance—March 31, 2022</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goodwill as of December 31, 2021 and March 31, 2022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line="234" w:lineRule="exact"/>
              <w:rPr>
                <w:sz w:val="20"/>
                <w:szCs w:val="20"/>
                <w:color w:val="auto"/>
              </w:rPr>
            </w:pPr>
            <w:r>
              <w:rPr>
                <w:rFonts w:ascii="Calibri" w:cs="Calibri" w:eastAsia="Calibri" w:hAnsi="Calibri"/>
                <w:sz w:val="20"/>
                <w:szCs w:val="20"/>
                <w:color w:val="auto"/>
              </w:rPr>
              <w: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3"/>
                <w:szCs w:val="13"/>
                <w:color w:val="auto"/>
              </w:rPr>
            </w:pPr>
          </w:p>
        </w:tc>
        <w:tc>
          <w:tcPr>
            <w:tcW w:w="1360" w:type="dxa"/>
            <w:vAlign w:val="bottom"/>
            <w:gridSpan w:val="4"/>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Impairments (1)</w:t>
            </w:r>
          </w:p>
        </w:tc>
        <w:tc>
          <w:tcPr>
            <w:tcW w:w="2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40" w:right="100" w:hanging="368"/>
        <w:spacing w:after="0" w:line="258" w:lineRule="auto"/>
        <w:tabs>
          <w:tab w:leader="none" w:pos="740" w:val="left"/>
        </w:tabs>
        <w:numPr>
          <w:ilvl w:val="0"/>
          <w:numId w:val="20"/>
        </w:numPr>
        <w:rPr>
          <w:rFonts w:ascii="Times New Roman" w:cs="Times New Roman" w:eastAsia="Times New Roman" w:hAnsi="Times New Roman"/>
          <w:sz w:val="18"/>
          <w:szCs w:val="18"/>
          <w:color w:val="202124"/>
        </w:rPr>
      </w:pPr>
      <w:r>
        <w:rPr>
          <w:rFonts w:ascii="Times New Roman" w:cs="Times New Roman" w:eastAsia="Times New Roman" w:hAnsi="Times New Roman"/>
          <w:sz w:val="18"/>
          <w:szCs w:val="18"/>
          <w:color w:val="202124"/>
        </w:rPr>
        <w:t xml:space="preserve">The Company has experienced high volatility in the price of its common stock and a reduction in its market capitalization through March 31, 2022. This </w:t>
      </w:r>
      <w:r>
        <w:rPr>
          <w:rFonts w:ascii="Times New Roman" w:cs="Times New Roman" w:eastAsia="Times New Roman" w:hAnsi="Times New Roman"/>
          <w:sz w:val="18"/>
          <w:szCs w:val="18"/>
          <w:color w:val="000000"/>
        </w:rPr>
        <w:t>was considered an interim triggering event in the three months ended March 31, 2022. The Company assessed its goodwill as of</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March 31, 2022 and determined that the Company's goodwill was impaired. As a result, the Company recorded a goodwill impairment </w:t>
      </w:r>
      <w:r>
        <w:rPr>
          <w:rFonts w:ascii="Times New Roman" w:cs="Times New Roman" w:eastAsia="Times New Roman" w:hAnsi="Times New Roman"/>
          <w:sz w:val="18"/>
          <w:szCs w:val="18"/>
          <w:color w:val="202124"/>
        </w:rPr>
        <w:t>charge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02124"/>
        </w:rPr>
        <w:t>$29.0 million in the three months ended March 31, 2022 primarily due to the decrease in its market capitalization. See Note 2 for goodwill impairment discussion.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intangibles assets as of December 31, 2021 and March 31, 2022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240" w:type="dxa"/>
            <w:vAlign w:val="bottom"/>
            <w:tcBorders>
              <w:top w:val="single" w:sz="8" w:color="auto"/>
            </w:tcBorders>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Pr>
          <w:p>
            <w:pPr>
              <w:spacing w:after="0"/>
              <w:rPr>
                <w:sz w:val="19"/>
                <w:szCs w:val="19"/>
                <w:color w:val="auto"/>
              </w:rPr>
            </w:pPr>
          </w:p>
        </w:tc>
        <w:tc>
          <w:tcPr>
            <w:tcW w:w="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intangibles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540" w:type="dxa"/>
            <w:vAlign w:val="bottom"/>
          </w:tcPr>
          <w:p>
            <w:pPr>
              <w:spacing w:after="0"/>
              <w:rPr>
                <w:sz w:val="24"/>
                <w:szCs w:val="24"/>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240" w:type="dxa"/>
            <w:vAlign w:val="bottom"/>
            <w:tcBorders>
              <w:top w:val="single" w:sz="8" w:color="auto"/>
            </w:tcBorders>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tcPr>
          <w:p>
            <w:pPr>
              <w:spacing w:after="0"/>
              <w:rPr>
                <w:sz w:val="19"/>
                <w:szCs w:val="19"/>
                <w:color w:val="auto"/>
              </w:rPr>
            </w:pPr>
          </w:p>
        </w:tc>
        <w:tc>
          <w:tcPr>
            <w:tcW w:w="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intangibles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2" w:name="page33"/>
    <w:bookmarkEnd w:id="32"/>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aggregate amortization of the Company’s in-place intangible assets and favorable intangible assets for the next five years and thereafter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Remainder of 2022</w:t>
            </w:r>
          </w:p>
        </w:tc>
        <w:tc>
          <w:tcPr>
            <w:tcW w:w="4540" w:type="dxa"/>
            <w:vAlign w:val="bottom"/>
            <w:gridSpan w:val="2"/>
            <w:shd w:val="clear" w:color="auto" w:fill="CFF0FC"/>
          </w:tcPr>
          <w:p>
            <w:pPr>
              <w:jc w:val="right"/>
              <w:ind w:right="110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5,484</w:t>
            </w:r>
          </w:p>
        </w:tc>
        <w:tc>
          <w:tcPr>
            <w:tcW w:w="12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3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7,214</w:t>
            </w:r>
          </w:p>
        </w:tc>
        <w:tc>
          <w:tcPr>
            <w:tcW w:w="120" w:type="dxa"/>
            <w:vAlign w:val="bottom"/>
          </w:tcPr>
          <w:p>
            <w:pPr>
              <w:spacing w:after="0"/>
              <w:rPr>
                <w:sz w:val="21"/>
                <w:szCs w:val="21"/>
                <w:color w:val="auto"/>
              </w:rPr>
            </w:pPr>
          </w:p>
        </w:tc>
      </w:tr>
      <w:tr>
        <w:trPr>
          <w:trHeight w:val="24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2024</w:t>
            </w:r>
          </w:p>
        </w:tc>
        <w:tc>
          <w:tcPr>
            <w:tcW w:w="3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7,171</w:t>
            </w:r>
          </w:p>
        </w:tc>
        <w:tc>
          <w:tcPr>
            <w:tcW w:w="12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3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7,130</w:t>
            </w:r>
          </w:p>
        </w:tc>
        <w:tc>
          <w:tcPr>
            <w:tcW w:w="120" w:type="dxa"/>
            <w:vAlign w:val="bottom"/>
          </w:tcPr>
          <w:p>
            <w:pPr>
              <w:spacing w:after="0"/>
              <w:rPr>
                <w:sz w:val="21"/>
                <w:szCs w:val="21"/>
                <w:color w:val="auto"/>
              </w:rPr>
            </w:pPr>
          </w:p>
        </w:tc>
      </w:tr>
      <w:tr>
        <w:trPr>
          <w:trHeight w:val="24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2026</w:t>
            </w:r>
          </w:p>
        </w:tc>
        <w:tc>
          <w:tcPr>
            <w:tcW w:w="3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7,130</w:t>
            </w:r>
          </w:p>
        </w:tc>
        <w:tc>
          <w:tcPr>
            <w:tcW w:w="120" w:type="dxa"/>
            <w:vAlign w:val="bottom"/>
            <w:shd w:val="clear" w:color="auto" w:fill="CFF0FC"/>
          </w:tcPr>
          <w:p>
            <w:pPr>
              <w:spacing w:after="0"/>
              <w:rPr>
                <w:sz w:val="21"/>
                <w:szCs w:val="21"/>
                <w:color w:val="auto"/>
              </w:rPr>
            </w:pPr>
          </w:p>
        </w:tc>
      </w:tr>
      <w:tr>
        <w:trPr>
          <w:trHeight w:val="257"/>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3240" w:type="dxa"/>
            <w:vAlign w:val="bottom"/>
            <w:tcBorders>
              <w:bottom w:val="single" w:sz="8" w:color="CFF0FC"/>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29,082</w:t>
            </w:r>
          </w:p>
        </w:tc>
        <w:tc>
          <w:tcPr>
            <w:tcW w:w="120" w:type="dxa"/>
            <w:vAlign w:val="bottom"/>
            <w:tcBorders>
              <w:bottom w:val="single" w:sz="8" w:color="CFF0FC"/>
            </w:tcBorders>
          </w:tcPr>
          <w:p>
            <w:pPr>
              <w:spacing w:after="0"/>
              <w:rPr>
                <w:sz w:val="22"/>
                <w:szCs w:val="22"/>
                <w:color w:val="auto"/>
              </w:rPr>
            </w:pPr>
          </w:p>
        </w:tc>
      </w:tr>
      <w:tr>
        <w:trPr>
          <w:trHeight w:val="236"/>
        </w:trPr>
        <w:tc>
          <w:tcPr>
            <w:tcW w:w="47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Total</w:t>
            </w:r>
          </w:p>
        </w:tc>
        <w:tc>
          <w:tcPr>
            <w:tcW w:w="3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63,211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2021 included in our Annual Report on Form 10-K for the year ended December 31, 2021 as filed with the Securities and Exchange Commission (the “SEC”) on March 16, 2022.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72"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“Aterian,” the “Company,” “we,” “us” and “our” in this Quarterly Report on Form 10-Q refer to Aterian, Inc. and our consolidated subsidiaries, including Aterian Group, Inc.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technology-enabled consumer products platform that uses “data science” (which includes but is not limited to, machine learning, natural language processing, and data analytics) to design, develop, market and sell products. We were founded on the premise that if a company selling consumer packaged goods was founded today, it would apply data science,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 Inc.</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launched and sold hundreds of SKUs on e-commerce platforms. Through the success of a number of those products we have incubated our own brands. We also have purchased brands and products when we believe it is advantageous. Today, we own and operate fourteen brands that sell products in multiple categories, including home and kitchen appliances, kitchenware, heating, cooling and air quality appliances (dehumidifiers, humidifiers and air conditioners), health and beauty products and essential oils. Our fourteen brands include, hOmeLabs; Vremi; Squatty Potty; Xtava; RIF6; Aussie Health; Holonix; Truweo; Mueller; Pursteam; Pohl and Schmitt; Spiralizer; Healing Solutions; and Photo Paper Direct.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our products typically goes through the Launch phase and depending on its level of success is moved to one of the other phases as further described below:</w:t>
      </w:r>
    </w:p>
    <w:p>
      <w:pPr>
        <w:spacing w:after="0" w:line="50" w:lineRule="exact"/>
        <w:rPr>
          <w:sz w:val="20"/>
          <w:szCs w:val="20"/>
          <w:color w:val="auto"/>
        </w:rPr>
      </w:pPr>
    </w:p>
    <w:p>
      <w:pPr>
        <w:ind w:left="880" w:right="20" w:hanging="373"/>
        <w:spacing w:after="0" w:line="259"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phase: During this phase, we leverage our technology to target opportunities identified using AIMEE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rtificial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ntelligence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arketplace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8"/>
          <w:szCs w:val="18"/>
          <w:color w:val="auto"/>
        </w:rPr>
        <w:t>-Commerce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8"/>
          <w:szCs w:val="18"/>
          <w:color w:val="auto"/>
        </w:rPr>
        <w:t>ngine) and other sources. During this period of time, due to the combination of discounts and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our net margin for a product could be as low as approximately negative 35%. Net margin is calculated by taking net revenue less the cost of goods sold, less fulfillment, online advertising and selling expenses. These costs primarily reflect the estimated variable costs related to the sale of a product.</w:t>
      </w:r>
    </w:p>
    <w:p>
      <w:pPr>
        <w:spacing w:after="0" w:line="75" w:lineRule="exact"/>
        <w:rPr>
          <w:rFonts w:ascii="Times New Roman" w:cs="Times New Roman" w:eastAsia="Times New Roman" w:hAnsi="Times New Roman"/>
          <w:sz w:val="18"/>
          <w:szCs w:val="18"/>
          <w:color w:val="auto"/>
        </w:rPr>
      </w:pPr>
    </w:p>
    <w:p>
      <w:pPr>
        <w:ind w:left="880" w:hanging="373"/>
        <w:spacing w:after="0" w:line="261"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1" w:lineRule="exact"/>
        <w:rPr>
          <w:rFonts w:ascii="Times New Roman" w:cs="Times New Roman" w:eastAsia="Times New Roman" w:hAnsi="Times New Roman"/>
          <w:sz w:val="18"/>
          <w:szCs w:val="18"/>
          <w:color w:val="auto"/>
        </w:rPr>
      </w:pPr>
    </w:p>
    <w:p>
      <w:pPr>
        <w:ind w:left="880" w:right="120" w:hanging="373"/>
        <w:spacing w:after="0" w:line="258"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Milk phase or Liquidate phase: If a product does not enter the sustain phase or if the customer satisfaction of the product (i.e., ratings) is not satisfactory, then it will go to the liquidate phase and we will sell through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ind w:left="880"/>
        <w:spacing w:after="0"/>
        <w:rPr>
          <w:sz w:val="20"/>
          <w:szCs w:val="20"/>
          <w:color w:val="auto"/>
        </w:rPr>
      </w:pPr>
      <w:r>
        <w:rPr>
          <w:rFonts w:ascii="Times New Roman" w:cs="Times New Roman" w:eastAsia="Times New Roman" w:hAnsi="Times New Roman"/>
          <w:sz w:val="18"/>
          <w:szCs w:val="18"/>
          <w:color w:val="auto"/>
        </w:rPr>
        <w:t>our products have achieved the milk phase and we can provide no assurance that any of our products will do so in the future.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net revenue and profitability at the company level while we continue to invest in growth and technology. Due to the impact of the COVID-19 pandemic on the global supply chain, we have had to increase our inventory on hand to avoid disruption in sales. The unpredictability of container availability, space on vessels and shipping lead times, as well as associated manufacturing lead time, has caused us to secure more inventory upfront. Having more inventory on hand not only impacts our working capital but also requires us to increase our storage capacity, through our warehouse network, which of itself has a capital impact.</w:t>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launches of new products included in our net revenue that have achieved, or are expected to achieve, more than approximately $0.5 million in net revenue per year on average.</w:t>
      </w:r>
    </w:p>
    <w:p>
      <w:pPr>
        <w:spacing w:after="0" w:line="200" w:lineRule="exact"/>
        <w:rPr>
          <w:sz w:val="20"/>
          <w:szCs w:val="20"/>
          <w:color w:val="auto"/>
        </w:rPr>
      </w:pPr>
    </w:p>
    <w:p>
      <w:pPr>
        <w:spacing w:after="0" w:line="27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156"/>
        </w:trPr>
        <w:tc>
          <w:tcPr>
            <w:tcW w:w="474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FF0FC"/>
            </w:tcBorders>
          </w:tcPr>
          <w:p>
            <w:pPr>
              <w:spacing w:after="0"/>
              <w:rPr>
                <w:sz w:val="13"/>
                <w:szCs w:val="13"/>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Launches of new products</w:t>
            </w:r>
          </w:p>
        </w:tc>
        <w:tc>
          <w:tcPr>
            <w:tcW w:w="9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growth in direct revenue can be impacted by the timing and the season in which products are launched and any mergers or acquisitions. There were no new product launches in the quarter ended March 31, 2022, as we paused new product launches due to global supply chain unpredictability.</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the COVID-19 pandemic’s impact on the global supply chain, we have paused the launch of new products. The sharp increase in shipping costs has made our target competitive pricing difficult to achieve and the current unpredictability of shipping container availability makes it more difficult for us to maintain the required inventory levels, which in turn makes the potential and profitable success of product launches even more difficult to achieve in this current environment. Furthermore, we have concerns about the impact of Russia’s invasion of Ukraine on our business including its effects on the global economy, the performance and cost of supply chain and financial markets. We will continue to evaluate the impacts of this, in addition to the impacts of the COVID-19 pandemic,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Net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derive our revenue from the sale of consumer products, primarily in the U.S. We sell products directly to consumers through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 Our Platform as a Service (“Managed PaaS”) currently has nominal net revenue activity and for the near future is expected to be nominal, at best. Currently, we have limited resources at this time to invest in the Managed PaaS business given the pressure of the macro environment as our priority and focus is on our core business.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Cost of Goods Sold—</w:t>
      </w:r>
      <w:r>
        <w:rPr>
          <w:rFonts w:ascii="Times New Roman" w:cs="Times New Roman" w:eastAsia="Times New Roman" w:hAnsi="Times New Roman"/>
          <w:sz w:val="18"/>
          <w:szCs w:val="18"/>
          <w:color w:val="auto"/>
        </w:rPr>
        <w:t>Cost of goods sold consists of the book value of inventory sold to customers during the reporting period and the amortization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 The Office of the U.S. Trade Representative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We can provide no assurances that future tariff increases will not be enacted. These increases may affect the way we order products, as well as the amount of product we order. If tariff increases are enacted in the future, our pricing actions are expected to be intended to offset the full gross margin impact from such tariffs. Further, we have been affected by the COVID-19 pandemic and related global supply chain disruption. Together, these have led to substantial increases in the costs of our supply chain, specifically, increases in the costs of shipping containers, which we rely on to import our goods. We have increased pricing, when possible, to offset the full gross margin impact which at times has led to reduced sales velocity on certain products at certain times of the year. There are no assurances that these pricing actions will not reduce customer orders in the future.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Research and development expenses include compensation and employee benefits for technology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travel-related costs and fees paid to outside consultants related to the development of our intellectual property.</w:t>
      </w:r>
    </w:p>
    <w:p>
      <w:pPr>
        <w:spacing w:after="0" w:line="1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Sales and Distribution Expenses— </w:t>
      </w:r>
      <w:r>
        <w:rPr>
          <w:rFonts w:ascii="Times New Roman" w:cs="Times New Roman" w:eastAsia="Times New Roman" w:hAnsi="Times New Roman"/>
          <w:sz w:val="18"/>
          <w:szCs w:val="18"/>
          <w:color w:val="auto"/>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merchant (“FBM”), or through e-commerce platform service providers, i.e., fulfillment by Amazon or fulfilled by Walmart.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approximately 76% of the U.S., within one day and to over 99% of the U.S. within two days, based on our sales history.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9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compensation and employee benefits for executive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administration, legal, and human resources, facility costs, insurance, travel, professional service fees and other general overhead costs, including the costs of being a public company.</w:t>
      </w:r>
    </w:p>
    <w:p>
      <w:pPr>
        <w:spacing w:after="0" w:line="17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Interest Expense, Net</w:t>
      </w:r>
      <w:r>
        <w:rPr>
          <w:rFonts w:ascii="Times New Roman" w:cs="Times New Roman" w:eastAsia="Times New Roman" w:hAnsi="Times New Roman"/>
          <w:sz w:val="18"/>
          <w:szCs w:val="18"/>
          <w:color w:val="auto"/>
        </w:rPr>
        <w:t>—Interest expense, net includes the interest cost from our credit facility and term loans, and includes amortization of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costs and debt discounts from our credit facility (the “Credit Facility”) with MidCap Funding IV Trust (“MidCap”) during the year ended December 31, 2021 and the three months ended for March 31, 2022, and term loan interest with High Trail Investments SA LLC (“High Trail SA”) and High Trail Investments ON LLC (“High Trail ON” and, together with High Trail SA, “High Trail”) during the year ended December 31, 2021.</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2021 and 2022</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2021 and 2022, together with the changes in those items in dollars and percentages: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180" w:type="dxa"/>
            <w:vAlign w:val="bottom"/>
            <w:tcBorders>
              <w:top w:val="single" w:sz="8" w:color="auto"/>
            </w:tcBorders>
            <w:gridSpan w:val="7"/>
          </w:tcPr>
          <w:p>
            <w:pPr>
              <w:jc w:val="right"/>
              <w:ind w:right="11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(6,463)</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(4,007)</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 (1)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(2,095)</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(1,435)</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(18,420)</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53,814</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(3,618)</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(2,012)</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(28,323)</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(20,147)</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(82,553)</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stock-based compensation expense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20" w:type="dxa"/>
            <w:vAlign w:val="bottom"/>
            <w:gridSpan w:val="3"/>
          </w:tcPr>
          <w:p>
            <w:pPr>
              <w:jc w:val="right"/>
              <w:ind w:right="55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32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14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8"/>
        </w:trPr>
        <w:tc>
          <w:tcPr>
            <w:tcW w:w="5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tcPr>
          <w:p>
            <w:pPr>
              <w:spacing w:after="0"/>
              <w:rPr>
                <w:sz w:val="19"/>
                <w:szCs w:val="19"/>
                <w:color w:val="auto"/>
              </w:rPr>
            </w:pP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20" w:type="dxa"/>
            <w:vAlign w:val="bottom"/>
          </w:tcPr>
          <w:p>
            <w:pPr>
              <w:spacing w:after="0"/>
              <w:rPr>
                <w:sz w:val="19"/>
                <w:szCs w:val="19"/>
                <w:color w:val="auto"/>
              </w:rPr>
            </w:pP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70"/>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3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Pr>
          <w:p>
            <w:pPr>
              <w:spacing w:after="0"/>
              <w:rPr>
                <w:sz w:val="19"/>
                <w:szCs w:val="19"/>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43.4%</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55.1%</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20" w:type="dxa"/>
            <w:vAlign w:val="bottom"/>
            <w:gridSpan w:val="3"/>
            <w:vMerge w:val="continue"/>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Pr>
          <w:p>
            <w:pPr>
              <w:spacing w:after="0"/>
              <w:rPr>
                <w:sz w:val="19"/>
                <w:szCs w:val="19"/>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143.7%</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2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(57.7)%</w:t>
            </w:r>
          </w:p>
        </w:tc>
        <w:tc>
          <w:tcPr>
            <w:tcW w:w="1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9"/>
                <w:szCs w:val="19"/>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GAIN ON EXTINGUISHMENT OF SELLER NOTE</w:t>
            </w: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tcBorders>
              <w:righ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9"/>
                <w:szCs w:val="19"/>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20" w:type="dxa"/>
            <w:vAlign w:val="bottom"/>
            <w:gridSpan w:val="3"/>
            <w:vMerge w:val="continue"/>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jc w:val="right"/>
              <w:ind w:right="96"/>
              <w:spacing w:after="0"/>
              <w:rPr>
                <w:sz w:val="20"/>
                <w:szCs w:val="20"/>
                <w:color w:val="auto"/>
              </w:rPr>
            </w:pPr>
            <w:r>
              <w:rPr>
                <w:rFonts w:ascii="Times New Roman" w:cs="Times New Roman" w:eastAsia="Times New Roman" w:hAnsi="Times New Roman"/>
                <w:sz w:val="18"/>
                <w:szCs w:val="18"/>
                <w:color w:val="auto"/>
              </w:rPr>
              <w:t>(171.5)%</w:t>
            </w:r>
          </w:p>
        </w:tc>
        <w:tc>
          <w:tcPr>
            <w:tcW w:w="1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20" w:type="dxa"/>
            <w:vAlign w:val="bottom"/>
            <w:gridSpan w:val="3"/>
            <w:vMerge w:val="continue"/>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jc w:val="right"/>
              <w:ind w:right="96"/>
              <w:spacing w:after="0"/>
              <w:rPr>
                <w:sz w:val="20"/>
                <w:szCs w:val="20"/>
                <w:color w:val="auto"/>
              </w:rPr>
            </w:pPr>
            <w:r>
              <w:rPr>
                <w:rFonts w:ascii="Times New Roman" w:cs="Times New Roman" w:eastAsia="Times New Roman" w:hAnsi="Times New Roman"/>
                <w:sz w:val="18"/>
                <w:szCs w:val="18"/>
                <w:color w:val="auto"/>
              </w:rPr>
              <w:t>(171.5)%</w:t>
            </w:r>
          </w:p>
        </w:tc>
        <w:tc>
          <w:tcPr>
            <w:tcW w:w="1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90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24"/>
                <w:szCs w:val="24"/>
                <w:color w:val="auto"/>
              </w:rPr>
            </w:pPr>
          </w:p>
        </w:tc>
        <w:tc>
          <w:tcPr>
            <w:tcW w:w="15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320" w:type="dxa"/>
            <w:vAlign w:val="bottom"/>
            <w:gridSpan w:val="2"/>
          </w:tcPr>
          <w:p>
            <w:pPr>
              <w:spacing w:after="0"/>
              <w:rPr>
                <w:sz w:val="13"/>
                <w:szCs w:val="13"/>
                <w:color w:val="auto"/>
              </w:rPr>
            </w:pPr>
          </w:p>
        </w:tc>
        <w:tc>
          <w:tcPr>
            <w:tcW w:w="1220" w:type="dxa"/>
            <w:vAlign w:val="bottom"/>
            <w:tcBorders>
              <w:top w:val="single" w:sz="8" w:color="auto"/>
            </w:tcBorders>
            <w:gridSpan w:val="2"/>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4"/>
          </w:tcPr>
          <w:p>
            <w:pPr>
              <w:jc w:val="right"/>
              <w:ind w:right="9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7"/>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w:t>
            </w:r>
          </w:p>
        </w:tc>
        <w:tc>
          <w:tcPr>
            <w:tcW w:w="4020" w:type="dxa"/>
            <w:vAlign w:val="bottom"/>
            <w:gridSpan w:val="3"/>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46,152</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(6,108)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Wholesale/Other</w:t>
            </w: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320" w:type="dxa"/>
            <w:vAlign w:val="bottom"/>
            <w:gridSpan w:val="2"/>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3320" w:type="dxa"/>
            <w:vAlign w:val="bottom"/>
            <w:gridSpan w:val="2"/>
            <w:vMerge w:val="continue"/>
            <w:shd w:val="clear" w:color="auto" w:fill="CFF0FC"/>
          </w:tcPr>
          <w:p>
            <w:pPr>
              <w:spacing w:after="0"/>
              <w:rPr>
                <w:sz w:val="19"/>
                <w:szCs w:val="19"/>
                <w:color w:val="auto"/>
              </w:rPr>
            </w:pPr>
          </w:p>
        </w:tc>
        <w:tc>
          <w:tcPr>
            <w:tcW w:w="70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2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revenue decreased $6.5 million, or 13.4%, during the three months ended March 31, 2022 to $41.7 million, compared to $48.2 million for the three months ended March 31, 2021. The decrease in net revenue was primarily attributable to a decrease in direct net revenue of $6.1 million, or a 13.2% decrease. Direct net revenue consists of both organic net revenue and net revenue from our mergers and acquisitions (“M&amp;A”). For the three months ended March 31, 2022, organic revenue was $29.8 million and revenue from our M&amp;A businesses was $9.6 million. For the three months ended March 31, 2021, organic revenue was $17.4 million and revenue from our M&amp;A businesses was $28.7 million. Our organic revenue increased by $12.4 million, or 70.8%, during the three months March 31, 2022, as compared to the three months ended March 31, 2021. This increase was primarily driven by prior year M&amp;A revenue moving into organic revenue after one year, offset by increased pricing on our products affected by global supply chain disruption which led to reduced sales velocity, reduced product launches and inventory shorts due to delayed receipt of goods for the three months ended March 31, 2022.</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8" w:name="page39"/>
    <w:bookmarkEnd w:id="38"/>
    <w:tbl>
      <w:tblPr>
        <w:tblLayout w:type="fixed"/>
        <w:tblInd w:w="17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7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gridSpan w:val="4"/>
          </w:tcPr>
          <w:p>
            <w:pPr>
              <w:jc w:val="right"/>
              <w:ind w:right="54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Home office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Housewares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Essential oils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41,673</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Heating, cooling and air quality accounted for $5.9 million in net revenue for the three months ended March 31, 2022, which was essentially flat, compared to $6.1 million for the three months ended March 31, 2021.</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Kitchen appliances accounted for $8.5 million in net revenue for the three months ended March 31, 2022 compared to $12.2 million in net revenue for the corresponding period in 2021, a decrease of $3.7 million primarily due to reduced launches in the current period as well as reduced sales volume, which we attribute to both reduced e-commerce demand due to the reopening of brick &amp; mortar retail, and increased sale prices due to global supply chain disruptions and inventory shorts due to delayed receipt of goods. Cookware, kitchen tools and gadgets accounted for approximately $4.9 million in net revenue for the three months ended March 31, 2022 compared to $6.1 million in net revenue for the corresponding period in 2021, a decrease of $1.2 million primarily driven by reduced sales volume, which we attribute to both reduced e-commerce demand due to the reopening of brick &amp; mortar retail, and increased sale prices due to global supply chain disruptions and inventory shorts due to delayed receipt of goods.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Home office products accounted for $3.7 million in net revenue for the three months ended March 31, 2022 compared to $0.8 million in net revenue for the corresponding period in 2021, an increase of $2.9 million primarily due to growth in our existing products and new products obtained through M&amp;A businesses.</w:t>
      </w:r>
    </w:p>
    <w:p>
      <w:pPr>
        <w:spacing w:after="0" w:line="284"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Essential oils accounted for $5.0 million in net revenue for the three months ended March 31, 2022 compared to $7.4 million in net revenue for the corresponding period in 2021, decrease of a $2.3 million primarily driven by reduced sales volume, which we attribute to both reduced e-commerce demand due to the reopening of brick &amp; mortar retail, and increased sale prices due to global supply chain disruptions and inventory shorts due to manufacturing delays.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Margin</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2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50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940" w:type="dxa"/>
            <w:vAlign w:val="bottom"/>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2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5"/>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22,073</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(4,007)</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26,063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(2,456)</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bl>
    <w:p>
      <w:pPr>
        <w:spacing w:after="0" w:line="1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goods sold decreased by $4.0 million, from $22.1 million for the three months ended March 31, 2021 to $18.1 million for the three months ended March 31, 2022. The decrease in cost of goods sold was primarily attributable to a decrease of $6.0 million in cost of goods sold from our organic business, offset by a $10.1 million increase in cost of goods sold from our M&amp;A businesses.</w:t>
      </w:r>
    </w:p>
    <w:p>
      <w:pPr>
        <w:spacing w:after="0" w:line="2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Gross profit improved from 54.1% for the three-months ended March 31, 2021 to 56.6% for the three months ended March 31, 2022. The improvement in gross margin was due to a change of product mix as our net revenue from our M&amp;A businesses, which have a higher gross margin of 66.8% than our organic business’ gross margin of 54.2%, offset by the impact from increased costs of our supply chain. The majority of our M&amp;A businesses’ net revenue tends to be from smaller products that have higher gross margins versus our organic business’ net revenue, which tends to be oversized goods that have lower gross margins. We expect to see future impacts in our gross margin on both our M&amp;A and organic businesses as the international shipping container crisis continues to drive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9" w:name="page40"/>
    <w:bookmarkEnd w:id="39"/>
    <w:p>
      <w:pPr>
        <w:ind w:right="80"/>
        <w:spacing w:after="0" w:line="282" w:lineRule="auto"/>
        <w:rPr>
          <w:sz w:val="20"/>
          <w:szCs w:val="20"/>
          <w:color w:val="auto"/>
        </w:rPr>
      </w:pPr>
      <w:r>
        <w:rPr>
          <w:rFonts w:ascii="Times New Roman" w:cs="Times New Roman" w:eastAsia="Times New Roman" w:hAnsi="Times New Roman"/>
          <w:sz w:val="18"/>
          <w:szCs w:val="18"/>
          <w:color w:val="auto"/>
        </w:rPr>
        <w:t>shipping container costs higher and cause reductions in delivery reliability and other delays, which also increases related shipping container delivery costs, as well as other inflationary pressures.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3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50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940" w:type="dxa"/>
            <w:vAlign w:val="bottom"/>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5"/>
          </w:tcPr>
          <w:p>
            <w:pPr>
              <w:jc w:val="center"/>
              <w:ind w:left="664"/>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25,069</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(2,095)</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bl>
    <w:p>
      <w:pPr>
        <w:spacing w:after="0" w:line="19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$23.0 million for the three months ended March 31, 2022 from $25.1 million for the three months ended March 31, 2021. This decrease of $2.0 million is primarily attributable to the decrease in the volume of products sold in the three months ended March 31, 2022, as our e-commerce platform commissions, online advertising, selling and logistics expenses decreased to $19.8 million in the three months ended March 31, 2022 as compared to $21.7 million in the prior period.</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sales and distribution fixed costs (e.g., salary and office expenses) including stock based compensation stayed relatively flat at $3.2 million for the three months ended March 31, 2022 from $3.3 million for the three months ended March 31, 2021.</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increased to 55.1% for the three months ended March 31, 2022 from 52.1% for the three months ended March 31, 2021 primarily from an increase in last mile shipping costs. E-commerce platform commissions, online advertising, selling and logistics expenses included within sales and distribution expenses, as a percentage of net revenue, were 47.5% for the three months ended March 31, 2022 as compared to 45.2% for the three months ended March 31, 2021. This increase in sales and distribution expenses is predominantly due to product mix and to the increase in last mile shipping costs, specifically for oversized goods, due to the demand on those third-party providers’ delivery networks. We expect to see these cost increases continue in the near-term.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left="9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2,124</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(980)</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was primarily attributable to a decrease of stock-based compensation expense of approximately $0.6 million and a decrease of headcount expenses of $0.3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50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940" w:type="dxa"/>
            <w:vAlign w:val="bottom"/>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5"/>
          </w:tcPr>
          <w:p>
            <w:pPr>
              <w:jc w:val="center"/>
              <w:ind w:left="664"/>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10,976</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(1,435)</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of stock compensation expenses of $2.8 million offset by an increase of $0.4 million related to the fixed costs expenses related to headcount and an increase of $0.8 million related to the legal settlement of the Mueller Action (see Note 9 of our condensed consolidated financial statements in this Quarterly Report on Form 10-Q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goodwill</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3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648"/>
        </w:trPr>
        <w:tc>
          <w:tcPr>
            <w:tcW w:w="3480" w:type="dxa"/>
            <w:vAlign w:val="bottom"/>
          </w:tcPr>
          <w:p>
            <w:pPr>
              <w:spacing w:after="0"/>
              <w:rPr>
                <w:sz w:val="24"/>
                <w:szCs w:val="24"/>
                <w:color w:val="auto"/>
              </w:rPr>
            </w:pPr>
          </w:p>
        </w:tc>
        <w:tc>
          <w:tcPr>
            <w:tcW w:w="2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We assessed our goodwill as of March 31, 2022 due to an interim triggering event due related to our reduced market capitalization and determined that our goodwill was impaired. As a result, we recorded a goodwill impairment </w:t>
      </w:r>
      <w:r>
        <w:rPr>
          <w:rFonts w:ascii="Times New Roman" w:cs="Times New Roman" w:eastAsia="Times New Roman" w:hAnsi="Times New Roman"/>
          <w:sz w:val="18"/>
          <w:szCs w:val="18"/>
          <w:color w:val="202124"/>
        </w:rPr>
        <w:t>charge of $29.0 million in the three months ended March 31, 2022, primarily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to the decrease in our market capitalization. Refer to Note 2 and critical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liabilities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4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5"/>
          </w:tcPr>
          <w:p>
            <w:pPr>
              <w:jc w:val="center"/>
              <w:ind w:left="664"/>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15,645</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(2,775)</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(18,420)</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(117.7) %</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2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3"/>
                <w:szCs w:val="13"/>
                <w:color w:val="auto"/>
              </w:rPr>
            </w:pPr>
          </w:p>
        </w:tc>
        <w:tc>
          <w:tcPr>
            <w:tcW w:w="102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2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left="9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4,420</w:t>
            </w:r>
          </w:p>
        </w:tc>
        <w:tc>
          <w:tcPr>
            <w:tcW w:w="10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(3,618)</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(81.9)%</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was primarily related to the payment in the High Trail loan in the prior period which had higher borrowings and interest rates compared to this current period which only includes our MidCap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initial issuance of equity</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55"/>
        </w:trPr>
        <w:tc>
          <w:tcPr>
            <w:tcW w:w="3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3"/>
                <w:szCs w:val="13"/>
                <w:color w:val="auto"/>
              </w:rPr>
            </w:pPr>
          </w:p>
        </w:tc>
        <w:tc>
          <w:tcPr>
            <w:tcW w:w="920" w:type="dxa"/>
            <w:vAlign w:val="bottom"/>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r>
      <w:tr>
        <w:trPr>
          <w:trHeight w:val="155"/>
        </w:trPr>
        <w:tc>
          <w:tcPr>
            <w:tcW w:w="3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8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loss on initial issuance of equity is attributable to the issuance of common shares and initial valuation of the pre-funded warrants and common stock warrants from our March 2022 equity raise.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liability</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3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50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940" w:type="dxa"/>
            <w:vAlign w:val="bottom"/>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3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5"/>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30,202</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(28,323)</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20,147</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(20,147)</w:t>
            </w:r>
          </w:p>
        </w:tc>
        <w:tc>
          <w:tcPr>
            <w:tcW w:w="32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expense activity in 2021 is attributable to the issuance of the warrants in connection with the December 2020 Note and the February 2021 Note and related change in the fair value of warrant liability and loss on initial issuance of warrant for the three months ended March 31, 2021, which was primarily driven by the extinguishment of the warrants. The 2022 activity is related to the change in fair market value of the warrant liabilities from the pre-funded warrants and common stock warrants from our March 2022 equity raise.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seller note</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3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gridSpan w:val="5"/>
          </w:tcPr>
          <w:p>
            <w:pPr>
              <w:jc w:val="center"/>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17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gain is attributable to the settlement of the Truweo seller note, which resulted in a $2.0 million in gain on extinguishment of seller note upon the extinguishment of the debt.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2021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2021 and 2022, respectively:</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(8,495)</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(13,170)</w:t>
            </w: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(15,300)</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restricted cash for period</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$8.5 million for the three months ended March 31, 2021, resulting from our net cash losses from operations of $4.6 million, offset by cash from working capital of $3.9 million from changes in accounts receivable, purchase of inventory and insurance and payments of accounts payable.</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$13.2 million for the three months ended March 31, 2022, resulting from our net cash losses from operations of $5.9 million, offset by and impacts from working capital of $7.3 million from changes in accounts receivable, purchases of inventory and insurance and payments of accounts payable.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net cash used in investing activities of $15.3 million was primarily from the acquisition of the assets of Healing Solutions for $15.3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net cash used in investing activities was less than $0.1 million.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2021, cash provided by financing activities of $38.5 million was primarily from proceeds from cancellation of a warrant of $17.0 million, proceeds from warrant exercises of $8.9 million, proceeds from exercise of stock options of $8.7 million, borrowings from our prior credit facility of $14.5 million and borrowings from the February 2021 Note of $14.0 million, offset by repayments of our prior credit facility of $12.3 million and $4.7 million seller note repayments.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cash provided by financing activities of $21.8 million was primarily from proceeds from an equity offering of $27.0 million and borrowings from the Credit Facility of $30.4 million offset by $1.0 million of repayments of notes issued to certain sellers in connection with our M&amp;A activity and repayments of the Credit Facility of $33.8 million.</w:t>
      </w:r>
    </w:p>
    <w:p>
      <w:pPr>
        <w:spacing w:after="0" w:line="2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Sources of Liquidity and Going Concern—</w:t>
      </w:r>
      <w:r>
        <w:rPr>
          <w:rFonts w:ascii="Times New Roman" w:cs="Times New Roman" w:eastAsia="Times New Roman" w:hAnsi="Times New Roman"/>
          <w:sz w:val="18"/>
          <w:szCs w:val="18"/>
          <w:color w:val="auto"/>
        </w:rPr>
        <w:t>As of March 31, 2022, the Company had total cash and cash equivalents of $44.3 million and an accumulated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deficit of $471.7 million. In addition, the Company’s net loss and net cash used in operating activities amounted to $42.8 million and $13.2 million, respectively, for the three months ended March 31, 2022.</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have been dependent on outside capital through the issuance of equity to investors and borrowings from lenders (collectively “outside capital”) since our inception to execute our growth strategy of investing in organic growth at the expense of short-term profitably and investing in incremental growth through mergers and acquisitions (“M&amp;A strategy”). In addition, our recent financial performance has been adversely impacted by the COVID-19 global pandemic and related global shipping disruption, in particular with respect to substantial increases in supply chain costs for shipping containers (See COVID-19 Pandemic and the Supply Chain below for additional details). As a result, we have incurred significant losses and will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ind w:right="200"/>
        <w:spacing w:after="0" w:line="282" w:lineRule="auto"/>
        <w:rPr>
          <w:sz w:val="20"/>
          <w:szCs w:val="20"/>
          <w:color w:val="auto"/>
        </w:rPr>
      </w:pPr>
      <w:r>
        <w:rPr>
          <w:rFonts w:ascii="Times New Roman" w:cs="Times New Roman" w:eastAsia="Times New Roman" w:hAnsi="Times New Roman"/>
          <w:sz w:val="18"/>
          <w:szCs w:val="18"/>
          <w:color w:val="auto"/>
        </w:rPr>
        <w:t>remain dependent on outside capital for the foreseeable future until such time that we can realize our strategy of growth by generating profits through our organic growth and M&amp;A strategy, and reduce our reliance on outside capital.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our growth strategy, as well as the uncertainty associated with the ongoing COVID-19 global pandemic, recent record increases in inflation and related global supply chain disruption, we can provide no assurances that we will be able to obtain sufficient outside capital or generate sufficient cash from operations to fund our obligations as they become due over the next twelve months from the date these condensed consolidated financial statements were issued.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been able to successfully raise a substantial amount of outside capital to fund our growth strategy. However, as of March 31, 2022, we have had no firm commitments of additional outside capital from current or prospective investors or lenders. Furthermore, given the inherent uncertainties associated with our growth strategy, we may be unable to remain in compliance with the financial covenants required by the credit facility agreement over the next twelve months. These uncertainties raise substantial doubt about our ability to continue as a going concern.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alleviate substantial doubt, we plan to continue to closely monitor our operating forecast, pursue additional sources of outside capital, and pursue our M&amp;A strategy. If we are (a) unable to improve our operating results, (b) obtain additional outside capital on terms that are acceptable to us to fund our operations and M&amp;A strategy, and/or (c) secure a waiver or forbearance from the lender if we are unable to remain in compliance with the financial covenants required by the credit facility agreement, we may make significant changes to our operating plan, such as delaying expenditures, reducing investments in new products, delaying the development of our software, reducing our sale and distribution infrastructure, or otherwise significantly reducing the scope of our business. Moreover, if we breach the financial covenants required by the credit facility agreement and fail to secure a waiver or forbearance from the lender, such breach or failure could accelerate the repayment of the outstanding borrowings under the credit facility agreement or the exercise of other rights or remedies the lender may have under applicable law. We can provide no assurance a waiver or forbearance will be granted or the outstanding borrowings under the credit facility will be successfully refinanced on terms that are acceptable to the Company.</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COVID-19 Pandemic and the Supply Chain— </w:t>
      </w:r>
      <w:r>
        <w:rPr>
          <w:rFonts w:ascii="Times New Roman" w:cs="Times New Roman" w:eastAsia="Times New Roman" w:hAnsi="Times New Roman"/>
          <w:sz w:val="18"/>
          <w:szCs w:val="18"/>
          <w:color w:val="auto"/>
        </w:rPr>
        <w:t>The full impact of the COVID-19 pandemic on our supply chain, including the impact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preventive and precautionary measures that we, other businesses and governments are taking, continues to evolve.</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2022 to date, we continue to be impacted by the COVID-19 pandemic and related global shipping disruption. Together these have led to substantial increases in supply chain costs, in particular for shipping containers, which we rely on to import our goods, as reduced reliability and timely delivery of shipping containers and have substantially increased our last mile shipping costs on our oversized goods. These cost increases have been particularly substantial for oversized goods, which is a material part of our business. The reduced reliability and delivery of such shipping containers is forcing us to spend more on premium shipping to ensure goods are delivered, if at all, and the lack of reliability and timely delivery has further down chain impacts as it takes longer for containers to be offloaded and returned. Further, this global shipping disruption is forcing us to increase our inventory on-hand, including by advance ordering and taking possession of inventory earlier than expected, negatively impacting our working capital.</w:t>
      </w:r>
    </w:p>
    <w:p>
      <w:pPr>
        <w:spacing w:after="0" w:line="189"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Third party last mile shipping partners, such as UPS and FedEx, continue to increase the cost of delivering goods to the end consumers as their delivery networks continue to be impacted by the COVID-19 pandemic. The COVID-19 pandemic continues to bring uncertainty to consumer demand as price increases related to raw materials, the importing of goods, including tariffs, and the cost of delivering goods to consumers has led to inflation across the U.S. As such, the Company has noticed changes to consumer buying habits, which may lead to reduced demand for its products. Further, recent record inflation has added additional pressure to the cost of the Company’s supply chain.</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continue to consider the impact of the COVID-19 pandemic on our supply chain on the assumptions and estimates used when preparing our consolidated financial statements including inventory valuation, and the impairment of long-lived assets. These assumptions and estimates may change as the current situation evolves or new events occur, and additional information is obtained. If the economic conditions caused by the COVID-19 pandemic and the negative impact on our supply chain worsen beyond what is currently estimated by management, such future changes may have an adverse impact on our results of operations, financial position, and liquidity.</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MidCap Credit Facility – December 2021—</w:t>
      </w:r>
      <w:r>
        <w:rPr>
          <w:rFonts w:ascii="Times New Roman" w:cs="Times New Roman" w:eastAsia="Times New Roman" w:hAnsi="Times New Roman"/>
          <w:sz w:val="18"/>
          <w:szCs w:val="18"/>
          <w:color w:val="auto"/>
        </w:rPr>
        <w:t>On December 22, 2021, we entered into a Credit Facility with MidCap, pursuant to which, among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200,000 shares of our common stock, in exchange for the Lenders extending loans and other extensions of credit to us under the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facility contains a financial covenant that requires that we maintain a minimum unrestricted cash balance or minimum borrowing availability of</w:t>
      </w:r>
    </w:p>
    <w:p>
      <w:pPr>
        <w:spacing w:after="0" w:line="27" w:lineRule="exact"/>
        <w:rPr>
          <w:sz w:val="20"/>
          <w:szCs w:val="20"/>
          <w:color w:val="auto"/>
        </w:rPr>
      </w:pPr>
    </w:p>
    <w:p>
      <w:pPr>
        <w:jc w:val="both"/>
        <w:ind w:firstLine="8"/>
        <w:spacing w:after="0" w:line="253" w:lineRule="auto"/>
        <w:tabs>
          <w:tab w:leader="none" w:pos="2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during the period from February 1st through and including May 31st of each calendar year, and (b) $15.0 million at all other times thereafter. At our election, we may elect to comply with an alternative financial covenant that would require us to maintain a minimum borrowing availability under the credit facility of $10.0 million at all times. We currently do not anticipate electing the alternative financial covenant over the next twelve months and are in compliance with the minimum liquidity covenant as of the date these condensed consolidated financial statements were issued.</w:t>
      </w:r>
    </w:p>
    <w:p>
      <w:pPr>
        <w:spacing w:after="0" w:line="29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22, 2021, we used $27.6 million of the net proceeds from the initial borrowing under the Credit Facility to repay all amounts owed under those certain senior secured promissory notes issued by us to High Trail in an initial principal amount of $110.0 million, as amended. We expect to use the remaining proceeds of any loans under the Credit Facility for working capital and general corporate purposes.</w:t>
      </w:r>
    </w:p>
    <w:p>
      <w:pPr>
        <w:spacing w:after="0" w:line="17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are in compliance with the financial covenants contained within the Credit Agreement as of March 31, 2022. As of March 31, 2022, we had approximately $29.4 million outstanding on the credit facility and $3.6 million of availability on the credit facility.</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Securities Purchase Agreement and Warrants—</w:t>
      </w:r>
      <w:r>
        <w:rPr>
          <w:rFonts w:ascii="Times New Roman" w:cs="Times New Roman" w:eastAsia="Times New Roman" w:hAnsi="Times New Roman"/>
          <w:sz w:val="18"/>
          <w:szCs w:val="18"/>
          <w:color w:val="auto"/>
        </w:rPr>
        <w:t>On March 1, 2022, we entered into Securities Purchase Agreements (the “Purchase Agreements”)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accredited investors identified on the signature pages to the Purchase Agreements (collectively, the “Purchasers”) pursuant to which, among other things, we issued and sold to the Purchasers, in a private placement transaction (the “Private Placement”), (i) 6,436,322 shares of our common stock (the “Shares”), par value $0.0001 per share (the “Common Stock”),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U.S. (“GAAP”). However, for the reasons discussed below, we have presented certain non-GAAP measures herein.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used herein, Contribution margin represents gross profit less amortization of inventory step-up from acquisitions (included in cost of goods sold) and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earn-outs, amortization of inventory step-up from acquisitions (included in cost of goods sold), changes in fair-market value of warrant liability, professional fees and transition costs related to acquisitions, loss from extinguishment of debt, impairment of goodwill, loss on initial issuance of equity, litigation reserve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right="80"/>
        <w:spacing w:after="0" w:line="258" w:lineRule="auto"/>
        <w:rPr>
          <w:sz w:val="20"/>
          <w:szCs w:val="20"/>
          <w:color w:val="auto"/>
        </w:rPr>
      </w:pPr>
      <w:r>
        <w:rPr>
          <w:rFonts w:ascii="Times New Roman" w:cs="Times New Roman" w:eastAsia="Times New Roman" w:hAnsi="Times New Roman"/>
          <w:sz w:val="18"/>
          <w:szCs w:val="18"/>
          <w:color w:val="auto"/>
        </w:rPr>
        <w:t>In the reconciliation to calculate contribution margin, we add e-commerce platform commissions, online advertising, selling and logistics expenses (“sales and distribution variable expense”), to gross margin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8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EBITDA, Adjusted EBITDA and Adjusted EBITDA as a percentage of net revenue, have limitations as analytical financial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neither EBITDA nor Adjusted EBITDA reflects:</w:t>
      </w:r>
    </w:p>
    <w:p>
      <w:pPr>
        <w:spacing w:after="0" w:line="207" w:lineRule="exact"/>
        <w:rPr>
          <w:sz w:val="20"/>
          <w:szCs w:val="20"/>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or future requirements for capital expenditures or mergers and acquisitions;</w:t>
      </w:r>
    </w:p>
    <w:p>
      <w:pPr>
        <w:spacing w:after="0" w:line="36"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or the cash requirements necessary to service interest expense or principal payments, associated with indebtedness;</w:t>
      </w:r>
    </w:p>
    <w:p>
      <w:pPr>
        <w:spacing w:after="0" w:line="36" w:lineRule="exact"/>
        <w:rPr>
          <w:rFonts w:ascii="Times New Roman" w:cs="Times New Roman" w:eastAsia="Times New Roman" w:hAnsi="Times New Roman"/>
          <w:sz w:val="18"/>
          <w:szCs w:val="18"/>
          <w:color w:val="auto"/>
        </w:rPr>
      </w:pPr>
    </w:p>
    <w:p>
      <w:pPr>
        <w:ind w:left="740" w:hanging="368"/>
        <w:spacing w:after="0" w:line="261"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which are non-cash charges, although the assets being depreciated and amortized will likely have to be replaced in the future, or any cash requirements for the replacement of assets;</w:t>
      </w: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cash requirements for our working capital needs; or</w:t>
      </w:r>
    </w:p>
    <w:p>
      <w:pPr>
        <w:spacing w:after="0" w:line="17"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Adjusted EBITDA excludes non-cash expense for stock-based compensation, which is and is expected to remain a key element of our overall long-term incentive compensation package.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62" w:lineRule="exact"/>
        <w:rPr>
          <w:sz w:val="20"/>
          <w:szCs w:val="20"/>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necessary to operate our business;</w:t>
      </w:r>
    </w:p>
    <w:p>
      <w:pPr>
        <w:spacing w:after="0" w:line="36"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necessary for the development, operation and support of our software platform;</w:t>
      </w:r>
    </w:p>
    <w:p>
      <w:pPr>
        <w:spacing w:after="0" w:line="36"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costs portion of our sales and distribution expenses including stock-based compensation expense; or</w:t>
      </w:r>
    </w:p>
    <w:p>
      <w:pPr>
        <w:spacing w:after="0" w:line="36"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5" w:name="page46"/>
    <w:bookmarkEnd w:id="45"/>
    <w:tbl>
      <w:tblPr>
        <w:tblLayout w:type="fixed"/>
        <w:tblInd w:w="17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47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3"/>
          </w:tcPr>
          <w:p>
            <w:pPr>
              <w:jc w:val="right"/>
              <w:ind w:right="352"/>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13"/>
                <w:szCs w:val="13"/>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26,063</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24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6,134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4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54.1%</w:t>
            </w:r>
          </w:p>
        </w:tc>
        <w:tc>
          <w:tcPr>
            <w:tcW w:w="4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2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(82,553)</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(42,776)</w:t>
            </w: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(76,929)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(40,128)</w:t>
            </w: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(1,194)</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(4,541)</w:t>
            </w: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as a percentage of net revenue</w:t>
            </w:r>
          </w:p>
        </w:tc>
        <w:tc>
          <w:tcPr>
            <w:tcW w:w="24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(171.5)%</w:t>
            </w:r>
          </w:p>
        </w:tc>
        <w:tc>
          <w:tcPr>
            <w:tcW w:w="40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EBITDA represents net loss plus depreciation and amortization, interest expense, net and provision for income taxes. Adjusted EBITDA represents EBITDA plus stock-based compensation expense, changes in fair-market value of earn-outs, amortization of inventory step-up from acquisitions (included in cost of goods sold), change in fair-market value of warrant liability, professional fees and transition costs related to acquisitions, loss from extinguishment of debt, impairment of goodwill, loss on initial issuance of equity, litigation reserve and other expenses, net. As used herein, Adjusted EBITDA as a percentage of net revenue represents Adjusted EBITDA divided by net revenue.</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which is the most directly comparable financial measure presented in accordance with GAAP:</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6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r>
      <w:tr>
        <w:trPr>
          <w:trHeight w:val="156"/>
        </w:trPr>
        <w:tc>
          <w:tcPr>
            <w:tcW w:w="6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gridSpan w:val="6"/>
          </w:tcPr>
          <w:p>
            <w:pPr>
              <w:jc w:val="right"/>
              <w:ind w:right="671"/>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13"/>
                <w:szCs w:val="13"/>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FF0FC"/>
          </w:tcPr>
          <w:p>
            <w:pPr>
              <w:jc w:val="right"/>
              <w:ind w:right="78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(82,553)</w:t>
            </w:r>
          </w:p>
        </w:tc>
        <w:tc>
          <w:tcPr>
            <w:tcW w:w="4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(42,776)</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shd w:val="clear" w:color="auto" w:fill="CFF0FC"/>
          </w:tcPr>
          <w:p>
            <w:pPr>
              <w:spacing w:after="0"/>
              <w:rPr>
                <w:sz w:val="19"/>
                <w:szCs w:val="19"/>
                <w:color w:val="auto"/>
              </w:rPr>
            </w:pPr>
          </w:p>
        </w:tc>
      </w:tr>
      <w:tr>
        <w:trPr>
          <w:trHeight w:val="230"/>
        </w:trPr>
        <w:tc>
          <w:tcPr>
            <w:tcW w:w="6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(76,929)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(40,128)</w:t>
            </w:r>
          </w:p>
        </w:tc>
        <w:tc>
          <w:tcPr>
            <w:tcW w:w="240" w:type="dxa"/>
            <w:vAlign w:val="bottom"/>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29,020</w:t>
            </w:r>
          </w:p>
        </w:tc>
        <w:tc>
          <w:tcPr>
            <w:tcW w:w="24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(2,775)</w:t>
            </w: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inventory step-up from acquisitions (included in cost of goods sold)</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(2,012)</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4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40" w:type="dxa"/>
            <w:vAlign w:val="bottom"/>
          </w:tcPr>
          <w:p>
            <w:pPr>
              <w:spacing w:after="0"/>
              <w:rPr>
                <w:sz w:val="19"/>
                <w:szCs w:val="19"/>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acquisitions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Transition cost from acquisitions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40" w:type="dxa"/>
            <w:vAlign w:val="bottom"/>
            <w:shd w:val="clear" w:color="auto" w:fill="CFF0FC"/>
          </w:tcPr>
          <w:p>
            <w:pPr>
              <w:spacing w:after="0"/>
              <w:rPr>
                <w:sz w:val="19"/>
                <w:szCs w:val="19"/>
                <w:color w:val="auto"/>
              </w:rPr>
            </w:pPr>
          </w:p>
        </w:tc>
      </w:tr>
      <w:tr>
        <w:trPr>
          <w:trHeight w:val="263"/>
        </w:trPr>
        <w:tc>
          <w:tcPr>
            <w:tcW w:w="6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40" w:type="dxa"/>
            <w:vAlign w:val="bottom"/>
            <w:tcBorders>
              <w:bottom w:val="single" w:sz="8" w:color="CFF0FC"/>
            </w:tcBorders>
          </w:tcPr>
          <w:p>
            <w:pPr>
              <w:spacing w:after="0"/>
              <w:rPr>
                <w:sz w:val="22"/>
                <w:szCs w:val="22"/>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as a percentage of net revenue</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Margin</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Contribution margin represents gross profit less amortization of inventory step-up from acquisitions (included in cost of goods sold) and e-commerce platform commissions, online advertising, selling and logistics expenses (included in sales and distribution</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5" w:right="419" w:bottom="1440" w:gutter="0" w:footer="0" w:header="0"/>
        </w:sectPr>
      </w:pPr>
    </w:p>
    <w:bookmarkStart w:id="46" w:name="page47"/>
    <w:bookmarkEnd w:id="46"/>
    <w:p>
      <w:pPr>
        <w:ind w:right="100"/>
        <w:spacing w:after="0" w:line="266" w:lineRule="auto"/>
        <w:rPr>
          <w:sz w:val="20"/>
          <w:szCs w:val="20"/>
          <w:color w:val="auto"/>
        </w:rPr>
      </w:pPr>
      <w:r>
        <w:rPr>
          <w:rFonts w:ascii="Times New Roman" w:cs="Times New Roman" w:eastAsia="Times New Roman" w:hAnsi="Times New Roman"/>
          <w:sz w:val="18"/>
          <w:szCs w:val="18"/>
          <w:color w:val="auto"/>
        </w:rPr>
        <w:t>expenses). Contribution margin as a percentage of net revenue represents Contribution margin divided by net revenue. 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200" w:lineRule="exact"/>
        <w:rPr>
          <w:sz w:val="20"/>
          <w:szCs w:val="20"/>
          <w:color w:val="auto"/>
        </w:rPr>
      </w:pPr>
    </w:p>
    <w:p>
      <w:pPr>
        <w:spacing w:after="0" w:line="29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313"/>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80" w:type="dxa"/>
            <w:vAlign w:val="bottom"/>
          </w:tcPr>
          <w:p>
            <w:pPr>
              <w:spacing w:after="0"/>
              <w:rPr>
                <w:sz w:val="13"/>
                <w:szCs w:val="13"/>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inventory step-up from acquisitions (included in</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E-commerce platform commissions, online advertising, selling</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logistics expenses</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(21,737)</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(19,777)</w:t>
            </w:r>
          </w:p>
        </w:tc>
      </w:tr>
      <w:tr>
        <w:trPr>
          <w:trHeight w:val="26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8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generally accepted accounting principles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compared to the critical accounting policies and significant judgments and estimates as disclosed in our Annual Report on Form 10-K for fiscal year ended December 31, 2021, as filed with the SEC on March 16, 2022 (our “Annual Report”). For additional information, please refer to Note 2 of our condensed consolidated financial statements in this Quarterly Report on Form 10-Q.</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Subsequent Measurement of Goodwill</w:t>
      </w:r>
      <w:r>
        <w:rPr>
          <w:rFonts w:ascii="Times New Roman" w:cs="Times New Roman" w:eastAsia="Times New Roman" w:hAnsi="Times New Roman"/>
          <w:sz w:val="18"/>
          <w:szCs w:val="18"/>
          <w:color w:val="auto"/>
        </w:rPr>
        <w:t>— The Company operates under one business component which is the same as its reporting unit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in ASC Topic 350-20.</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02124"/>
        </w:rPr>
        <w:t xml:space="preserve">The Company has experienced high volatility on its stock and saw its market capitalization reduce through March 31, 2022. This </w:t>
      </w:r>
      <w:r>
        <w:rPr>
          <w:rFonts w:ascii="Times New Roman" w:cs="Times New Roman" w:eastAsia="Times New Roman" w:hAnsi="Times New Roman"/>
          <w:sz w:val="18"/>
          <w:szCs w:val="18"/>
          <w:color w:val="000000"/>
        </w:rPr>
        <w:t>was considered an interim</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triggering event for the three months ended March 31, 2022. The Company assessed its goodwill as of March 31, 2022 and determined that the Company's goodwill was impaired. As a result, the Company recorded a goodwill impairment </w:t>
      </w:r>
      <w:r>
        <w:rPr>
          <w:rFonts w:ascii="Times New Roman" w:cs="Times New Roman" w:eastAsia="Times New Roman" w:hAnsi="Times New Roman"/>
          <w:sz w:val="18"/>
          <w:szCs w:val="18"/>
          <w:color w:val="202124"/>
        </w:rPr>
        <w:t>charge of $29.0 million in the three months ended March 31,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02124"/>
        </w:rPr>
        <w:t>primarily due to the decrease in its market capitalization.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the Company’s market 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$120.0 million and $90.9 million, at December 31, 2021 and March 31, 2022,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believes that the assumptions and estimates made are reasonable and appropriate, and changes in the assumptions and estimates could have a material impact on its reported financial results.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7" w:name="page48"/>
    <w:bookmarkEnd w:id="47"/>
    <w:p>
      <w:pPr>
        <w:ind w:right="20"/>
        <w:spacing w:after="0" w:line="261" w:lineRule="auto"/>
        <w:rPr>
          <w:sz w:val="20"/>
          <w:szCs w:val="20"/>
          <w:color w:val="auto"/>
        </w:rPr>
      </w:pPr>
      <w:r>
        <w:rPr>
          <w:rFonts w:ascii="Times New Roman" w:cs="Times New Roman" w:eastAsia="Times New Roman" w:hAnsi="Times New Roman"/>
          <w:sz w:val="18"/>
          <w:szCs w:val="18"/>
          <w:color w:val="auto"/>
        </w:rPr>
        <w:t>While the Company believes our conclusions regarding the estimates of fair value of its reporting unit is appropriate, these estimates are subject to uncertainty and by nature include judgments and estimates regarding various factors. These factors include the rate and extent of growth in the markets that our reporting unit serves, the realization of future sales price and volume increases, fluctuations in price and availability of key raw materials, future operating efficiencies and, as it pertains to discount rates, the volatility in interest rates and costs of equity.</w:t>
      </w:r>
    </w:p>
    <w:p>
      <w:pPr>
        <w:spacing w:after="0" w:line="180"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7"/>
          <w:szCs w:val="17"/>
          <w:color w:val="auto"/>
        </w:rPr>
        <w:t>Some of the inherent estimates and assumptions used in determining fair value of the Company’s reporting unit are outside the control of management, including interest rates, tax rates, credit ratings and industry growth. Given the current COVID-19 global pandemic and the uncertainties regarding the financial potential impact on the Company's business, there can be no assurance that the Company's estimates and assumptions regarding the impact of COVID-19 and the recovery period made for purposes of the goodwill impairment testing performed will prove to be accurate predictions of the future.</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While the Company believes it has made reasonable estimates and assumptions to calculate the fair values of its reporting unit, it is possible changes could occur. As for the Company’s reporting unit, if in future years, the reporting unit’s actual results are not consistent with the Company’s estimates and assumptions used to calculate fair value, the Company may be required to recognize material impairments to goodwill. The Company will continue to monitor its reporting unit for any triggering events or other signs of impairment. The Company may be required to perform additional impairment testing based on changes in the economic environment, disruptions to the Company’s business, significant declines in operating results of the Company’s reporting unit, further sustained deterioration of the Company’s market capitalization, and other factors, which could result in impairment charges in the future. Although management cannot predict when improvements in macroeconomic conditions will occur, if consumer confidence and consumer spending decline significantly in the future or the market capitalization deteriorates significantly from current levels, it is reasonably likely the Company will be required to record impairment charges in the future that could be material to the Company's consolidated balance sheet or results of operations.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have outstanding debt under the Credit Facility with MidCap that bears interest. As of March 31, 2022, our outstanding indebtedness under the Credit Facility was $29.5 million, which bears interest at a rate of LIBOR plus 5.50%.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1% of our net revenue for each of the three months ended March 31, 2021 and March 31, 2022.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Inflation would generally directly affect us by increasing our cost of labor and overhead costs. We do not believe that inflation had a material effect on our business, financial condition or results of operations for the three months ended March 31, 2021 and 2022, other than with respect to the general impact that inflation has on the supply chain and consumer buying habits.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2022, our Chief Executive Officer and Chief Financial Officer concluded that our disclosure controls and procedures were effective as of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2022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headings “Securities Class Action”, “Shareholder Derivative Actions Related to the Securities Class Action”, “Sabby Contract Action” and “Mueller Action” in Note 9 of our condensed consolidated financial statements in this Quarterly Report on Form 10-Q is incorporated herein by reference.</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party to various actions and claims arising in the normal course of business. We do not believe that the final outcome of these matters will have a material adverse effect on our financial position or results of operations. In addition, we maintain what we believe are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w:t>
      </w:r>
      <w:r>
        <w:rPr>
          <w:rFonts w:ascii="Times New Roman" w:cs="Times New Roman" w:eastAsia="Times New Roman" w:hAnsi="Times New Roman"/>
          <w:sz w:val="18"/>
          <w:szCs w:val="18"/>
          <w:color w:val="212529"/>
        </w:rPr>
        <w:t>Except as presented below, there have been no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changes from the risk factors associated with our business previously disclosed in our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Risks Relating to Our Business</w:t>
      </w:r>
    </w:p>
    <w:p>
      <w:pPr>
        <w:spacing w:after="0" w:line="225"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is capital dependent and due to the impact of the COVID-19 pandemic and related global supply chain disruption, our management has expressed substantial doubt about our ability to continue as a going concern.</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total cash and cash equivalents of $44.3 million and an accumulated deficit of $471.7 million. In addition, the Company’s net loss and net cash used in operating activities amounted to $42.8 million and $13.2 million, respectively, for the three months ended March 31, 2022</w:t>
      </w:r>
    </w:p>
    <w:p>
      <w:pPr>
        <w:spacing w:after="0" w:line="17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As an emerging growth company, the Company has been dependent on outside capital through the issuance of equity to investors and borrowings from lenders (collectively “outside capital”) since its inception to execute its growth strategy of investing in organic growth at the expense of short-term profitably and investing in incremental growth through mergers and acquisitions (“M&amp;A strategy”). In addition, the Company’s recent financial performance has been adversely impacted by the COVID-19 global pandemic and related global shipping disruption, in particular with respect to substantial increases in supply chain costs for shipping containers (See COVID-19 Pandemic and Supply Chain disclosure below). As a result, the Company has incurred significant losses and will remain dependent on outside capital for the foreseeable future until such time that the Company can realize its strategy of growth by generating profits through its organic growth and M&amp;A strategy, and reduce its reliance on outside capital.</w:t>
      </w:r>
    </w:p>
    <w:p>
      <w:pPr>
        <w:spacing w:after="0" w:line="1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the Company’s growth strategy, as well as the uncertainty associated with the ongoing COVID-19 global pandemic, recent record inflation increases and related global supply chain disruption, management can provide no assurance the Company will be able to obtain sufficient outside capital or generate sufficient cash from operations to fund the Company’s obligations as they become due over the next twelve months from the date these consolidated financial statements were issued.</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as disclosed in Note 6, the Company entered into a $50.0 million asset backed credit agreement in December 2021. The credit facility contains a financial covenant that requires the Company to maintain a minimum unrestricted cash balance of (a) $12.5 million during the period from February 1st through and including May 31st of each calendar year, and (b) $15.0 million at all other times thereafter. At its election, the Company may elect to comply with an alternative financial covenant that would require the Company to maintain a minimum borrowing availability under the credit facility of $10.0 million at all times. The Company does not anticipate electing the alternative financial covenant over the next twelve months and was in compliance with the minimum liquidity covenant as of the date these consolidated financial statements were issued.</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been able to successfully raise a substantial amount of outside capital to fund the Company’s growth strategy. However, as of March 31, 2022, the Company had no firm commitments of additional outside capital from current or prospective investors or lenders. While management believes the Company will be able to secure additional outside capital, no assurance can be provided that such capital will be obtained or on terms that are acceptable to the Company. Furthermore, given the inherent uncertainties associated with the Company’s growth strategy, the Company may be unable to remain in compliance with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ind w:right="40"/>
        <w:spacing w:after="0" w:line="282" w:lineRule="auto"/>
        <w:rPr>
          <w:sz w:val="20"/>
          <w:szCs w:val="20"/>
          <w:color w:val="auto"/>
        </w:rPr>
      </w:pPr>
      <w:r>
        <w:rPr>
          <w:rFonts w:ascii="Times New Roman" w:cs="Times New Roman" w:eastAsia="Times New Roman" w:hAnsi="Times New Roman"/>
          <w:sz w:val="18"/>
          <w:szCs w:val="18"/>
          <w:color w:val="auto"/>
        </w:rPr>
        <w:t>financial covenants required by the credit facility agreement over the next twelve months. These uncertainties raise substantial doubt about the Company’s ability to continue as a going concern.</w:t>
      </w:r>
    </w:p>
    <w:p>
      <w:pPr>
        <w:spacing w:after="0" w:line="16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order to alleviate substantial doubt, management plans to continue to closely monitor its operating forecast, pursue additional sources of outside capital, and pursue its M&amp;A strategy. If the Company is (a) unable to improve its operating results, (b) obtain additional outside capital on terms that are acceptable to the Company to fund the Company’s operations and M&amp;A strategy, and/or (c) secure a waiver or forbearance from the lender if the Company is unable to remain in compliance with the financial covenants required by the credit facility agreement, the Company will have to make significant changes to its operating plan, such as delay expenditures, reduce investments in new products, delay the development of its software, reduce its sale and distribution infrastructure, or otherwise significantly reduce the scope of its business. Moreover, if the Company breaches the financial covenants required by the credit facility agreement and fails to secure a waiver or forbearance from the lender, such breach or failure could accelerate the repayment of the outstanding borrowings under the credit facility agreement or the exercise of other rights or remedies the lender may have under applicable law. Management can provide no assurance a waiver or forbearance will be granted or the outstanding borrowings under the credit facility will be successfully refinanced on terms that are acceptable to the Company.</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operational exposure relating to the COVID-19 pandemic and related supply chain issues and the impact from this could have a material adverse impact on our business, financial condition, operating results and prospects.</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COVID-19 pandemic has impacted us in numerous ways since the first quarter of 2020 and we believe it will continue to affect our business moving forward.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Amongst other things, it has affected our efficiency and ability to launch new products, replenish inventory for existing products, forecast demand for our products, ship into or receive inventory in our third-party warehouses, and to ship or sell products to customers. In addition, the majority of our personnel are currently working remotely, which creates challenges in the way we operate our business, including with respect to the manner in which we monitor the quality of our products.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of our key personnel or key personnel at our manufacturing or logistics partners contracts COVID-19, this could affect our ability to execute our operations. In addition, our operations rely on third parties to manufacture our products, to provide logistics and warehousing services and to facilitate sales of our products, and accordingly we rely on the business continuity plans of these third parties to continue to operate during the pandemic and have limited to no ability to influence their plans.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Due to the uncertainty as to the severity and duration of the pandemic, the impact on our future revenues, profitability, liquidity, financial condition, business and results of operations is uncertain at this time. We continue to take steps to preserve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As of the date of this Quarterly Report, Sinosure has reinstated this insurance to levels that we believe are sufficient to fund our operations.</w:t>
      </w:r>
    </w:p>
    <w:p>
      <w:pPr>
        <w:spacing w:after="0" w:line="18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Currently a significant portion of China is in some form of lockdown due to COVID-19. This includes areas with a material percentage of our manufacturers. This has made it more difficult in getting our inventory to and through the ports in these areas.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and operating results have become more difficult to forecast due to the pandemic and we may suffer from future inventory shortages. This makes it more difficult for us to appropriately plan our expenses. We base our current and future expense levels primarily on our operating forecasts and estimates of sales. We may be unable to adjust our spending in a timely manner to compensate for any unexpected shortfall in sales, whether due to lack of inventory or otherwise, and if actual results differ from our estimates, our operating results and financial condition could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recent revenue growth should not be considered indicative of our future performance. Specifically, our net revenue increased by 33.4% for the year ended December 31, 2021 compared to the year ended December 31, 2020. However, our net revenue for the three months ended March 31, 2022 decreased as compared to the three months ended March 31, 2021. As we grow our business, our revenue growth rates may slow in future periods due to a number of reasons, which may include our inability to successfully launch new products that reach our sustain phase and to keep those products in the sustain phase, as well as the maturation of our business. In fact, we have paused the launch of new products. Our revenue growth rates may also slow in future periods to the extent we are unable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1" w:name="page52"/>
    <w:bookmarkEnd w:id="51"/>
    <w:p>
      <w:pPr>
        <w:ind w:right="380"/>
        <w:spacing w:after="0" w:line="282" w:lineRule="auto"/>
        <w:rPr>
          <w:sz w:val="20"/>
          <w:szCs w:val="20"/>
          <w:color w:val="auto"/>
        </w:rPr>
      </w:pPr>
      <w:r>
        <w:rPr>
          <w:rFonts w:ascii="Times New Roman" w:cs="Times New Roman" w:eastAsia="Times New Roman" w:hAnsi="Times New Roman"/>
          <w:sz w:val="18"/>
          <w:szCs w:val="18"/>
          <w:color w:val="auto"/>
        </w:rPr>
        <w:t>to identify and complete acquisitions, or are unable to maintain or grow revenues from such businesses after closing an acquisition. We can provide no assurance that we will continue to be able to maintain or sustain the same levels of historic revenue growth.</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may decide to delay certain investments in order to more quickly achieve profitability, and while such decisions may accelerate net revenue and profitability on a short-term basis, we can provide no assurance that we will continue to be able to maintain or sustain the same levels of historic revenue growth. In addition, we may focus on product opportunities that have larger addressable markets but require increased levels of marketing investment and we can provide no assurances that such a shift will be successful.</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for the year ended December 31, 2021,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 Furthermore, Managed PaaS has in the past generated revenue, we do not anticipate any material revenue being earned through our Managed PaaS business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inventory effectively, our operating results and financial condition could be adversely affected.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w:t>
      </w: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One of our material suppliers recently notified us about a production issue with certain batches of a dehumidifier product we sell. We are working with the supplier to identify which products are affected by the issue and to remedy the situation. Our team is working to manage our inventory situation however we may be faced with stock outs for this dehumidifier which we would anticipate to occur during the third quarter of this year. If this were to occur, our financial performance would be adversely affected.</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our sales and procurement teams do not accurately predict demand or if our algorithms do not help us reorder the right products or write off the products timely, we may not effectively manage our inventory, which could result in inventory excess or shortages, and our operating results and financial condition could be adversely affected.</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Given the long lasting effects of the COVID-19 pandemic, we expect to continue experiencing inventory shortages and our operating results and financial condition could be adversely affected.</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the Russian invasion of Ukraine on the global economy, energy supplies and raw materials is uncertain, but may prove to negatively impact our business and operations.</w:t>
      </w:r>
    </w:p>
    <w:p>
      <w:pPr>
        <w:spacing w:after="0" w:line="15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short and long-term implications of Russia’s invasion of Ukraine are difficult to predict at this time. We continue to monitor any adverse impact that the outbreak of war in Ukraine and the subsequent institution of sanctions against Russia by the United States and several European and Asian countries may have on the global economy in general, on our business and operations and on the businesses and operations of our suppliers and customers. For example, a prolonged conflict may result in increased inflation, escalating energy prices and constrained availability, and thus increasing costs of raw materials. To the extent the war in Ukraine may adversely affect our business as discussed above, it may also have the effect of heightening many of the other risks described herein. Such risks include, but are not limited to, adverse effects on macroeconomic conditions, including inflation; disruptions to our global technology infrastructure, including through cyberattack, ransom attack, or cyber-intrusion; adverse changes in international trade policies and relations; our ability to maintain or increase our product prices; disruptions in global supply chains; our exposure to foreign currency fluctuations; and constraints, volatility, or disruption in the capital markets, any of which could negatively affect our business, financial performance and financial condition.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manufacturers, most of which are located in China.</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A substantial portion of our products are manufactured by unaffiliated companies that are located in China. This concentration of manufacturers in a single country exposes us to risks associated with doing business globally, including: changing international political relations; labor availability and cost; changes in laws, including tax laws, regulations and treaties; changes in labor laws, 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 political, legal and cultural environment in China and other nations is continuously evolving, and any change that impairs our ability to obtain products from manufacturers in that region, or to obtain products at marketable rates, could have a material adverse effect on our business, operating results and financial condition. We rely on one large manufacturer for the manufacture of several of our products, including our dehumidifiers. If we were no longer able to maintain that relationship for any reason, we may not be able to timely find another manufacturer, specifically one that provides the same quality, which would negatively affect our business, sales and results of operations.</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Furthermore, currently a significant portion of China is in some form of lockdown due to COVID-19. This includes areas with a material percentage of our manufacturers. This has made it more difficult in getting our inventory to and through the ports in these areas.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understanding with most of our suppliers do not provide for the long-term availability of merchandise or the continuation of particular pricing practices, nor do they usually restrict such suppliers from selling products to other buyers or directly to consumers themselves. There can be no assurance that our current suppliers will continue to sell us products on current terms or that we will be able to establish new or otherwise extend current supply relationships to ensure product acquisitions in a timely and efficient manner and on acceptable commercial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Cyber Security</w:t>
      </w:r>
    </w:p>
    <w:p>
      <w:pPr>
        <w:spacing w:after="0" w:line="2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and may allow transaction data or other confidential and sensitive information to be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or disruptions that may jeopardize the security of information stored in or transmitted by our websites, networks and systems that we or such third party service providers otherwise maintain, including payment card systems, which may subject us to fines or higher transaction fees or limit or terminate our access to certain payment methods. We and such third party service providers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unintentional breaches by our employees or by third parties. These risks may increase over time as the complexity and number of technical systems and applications we use also increases.</w:t>
      </w:r>
    </w:p>
    <w:p>
      <w:pPr>
        <w:spacing w:after="0" w:line="2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Breaches of our security measures or those of our third-party service providers or other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been the target of social engineering, phishing, malware and similar attacks and threats of denial-of-service attacks. While we have yet to experience any material adverse effects from these attempted attacks, such attacks in the future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right="40"/>
        <w:spacing w:after="0" w:line="312" w:lineRule="auto"/>
        <w:rPr>
          <w:sz w:val="20"/>
          <w:szCs w:val="20"/>
          <w:color w:val="auto"/>
        </w:rPr>
      </w:pPr>
      <w:r>
        <w:rPr>
          <w:rFonts w:ascii="Times New Roman" w:cs="Times New Roman" w:eastAsia="Times New Roman" w:hAnsi="Times New Roman"/>
          <w:sz w:val="17"/>
          <w:szCs w:val="17"/>
          <w:color w:val="auto"/>
        </w:rPr>
        <w:t>cannot guarantee that recovery protocols and backup systems will be sufficient to prevent data loss. Actual or anticipated attacks may cause us to incur increased costs, including costs to deploy additional personnel and protection technologies, train employees and engage third-party experts and consultants.</w:t>
      </w:r>
    </w:p>
    <w:p>
      <w:pPr>
        <w:spacing w:after="0" w:line="1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may experience periodic system interruptions from time to time. In addition, continued growth in our transaction volume, and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such increases, if any, in the use of our sites and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2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may divert resources from the growth and expansion of our business. On April 25, 2022, we were alerted by a payment processor of a potential data security incident regarding one of our UK websites. We are continuing to investigate this potential incident. Depending on the outcome of such investigation we may incur substantial costs and experience other negative consequences that could be material to our business, financial results and/or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Litigation and Government Regulation</w:t>
      </w:r>
    </w:p>
    <w:p>
      <w:pPr>
        <w:spacing w:after="0" w:line="2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general litigation, regulatory disputes and government inquiries. Any failure to comply with current laws, rules and regulations or changes to such laws, rules and regulations and other legal uncertainties may adversely affect our business, financial performance, results of operations or business growth.</w:t>
      </w:r>
    </w:p>
    <w:p>
      <w:pPr>
        <w:spacing w:after="0" w:line="20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 number and significance of these disputes and inquiries have increased as the political and regulatory landscape changes, and as we have grown larger and expanded in scope and geographic reach, and our services have increased in complexity.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we are a party to various actions and claims arising in the normal course of business, certain of which are indicated below:</w:t>
      </w:r>
    </w:p>
    <w:p>
      <w:pPr>
        <w:spacing w:after="0" w:line="2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copy of the energy-efficiency report and certification that were issued for the dehumidifier model at the time of production. We believe this product is compliant, and we, in conjunction with our manufacturing partner, have disputed the Test Notice received from the DOE.</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right="40"/>
        <w:spacing w:after="0" w:line="282" w:lineRule="auto"/>
        <w:rPr>
          <w:sz w:val="20"/>
          <w:szCs w:val="20"/>
          <w:color w:val="auto"/>
        </w:rPr>
      </w:pPr>
      <w:r>
        <w:rPr>
          <w:rFonts w:ascii="Times New Roman" w:cs="Times New Roman" w:eastAsia="Times New Roman" w:hAnsi="Times New Roman"/>
          <w:sz w:val="18"/>
          <w:szCs w:val="18"/>
          <w:color w:val="auto"/>
        </w:rPr>
        <w:t>be certified by AHAM and the EPA, and we may incur costs that cannot presently be calculated in the event that we need to make changes to the manner in which these products are manufactured and sold.</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had placed a hold on the sale of certain of our dehumidifier inventory while it reviewed the matter with us. As of October 2020, we are able to resume selling the products identified by the EPA, and discussions are continuing with the EPA. No penalty has been assessed by the EPA or communicated to us. If we receive a similar notice from the EPA in the future with regards to regulatory compliance of any of our other products, the EPA may place a hold on the sale of our products while it reviews an open matter with us.</w:t>
      </w:r>
    </w:p>
    <w:p>
      <w:pPr>
        <w:spacing w:after="0" w:line="2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May 13, 2021, a securities class action complaint was filed in the U.S. District Court for the Southern District of New York by Andrew Tate naming our company, Yaniv Sarig and Fabrice Hamaide as defendants. On June 10, 2021, a substantially similar securities class action complaint was filed in the same court by Jeff Coon against the same defendants. Thereafter, other stockholders asserted similar claims. On August 10, 2021, the court appointed Joseph Nolff as the lead plaintiff of the putative class action, and on October 12, 2021, he filed an amended complaint, (i) adding Arturo Rodriguez as a defendant,</w:t>
      </w:r>
    </w:p>
    <w:p>
      <w:pPr>
        <w:spacing w:after="0" w:line="3" w:lineRule="exact"/>
        <w:rPr>
          <w:sz w:val="20"/>
          <w:szCs w:val="20"/>
          <w:color w:val="auto"/>
        </w:rPr>
      </w:pPr>
    </w:p>
    <w:p>
      <w:pPr>
        <w:ind w:right="100" w:firstLine="8"/>
        <w:spacing w:after="0" w:line="252"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violations of Sections 10(b) and 20(a) of the Securities Exchange Act of 1934, as amended (the “Exchange Act”), and Rule 10b-5 promulgated thereunder and (iii) claiming that the defendants made false and materially misleading statements and failed to disclose material adverse facts regarding our business, operations, and prospects and that this was revealed on May 4, 2021, when Culper Research published a report allegedly exposing these alleged misrepresentations and omissions. The lead plaintiff has since filed two further amended complaints repeating substantively the same allegations. The Company recently reached an agreement in principle to resolve this action on March 10, 2022 for $1.3 million and has agreed to a formal memorandum of understanding, however the resolution is still subject to the execution of final settlement documents, and court approval. If that process does not succeed, the Company is prepared to continue the full defense of this action.</w:t>
      </w:r>
    </w:p>
    <w:p>
      <w:pPr>
        <w:spacing w:after="0" w:line="2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October 21, October 25 and November 10, 2021, three shareholder derivative actions were filed on behalf of our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our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the Company is held liable in the shareholder derivative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We believe the allegations are without merit and intend to vigorously defend against these actions. The Company and the Plaintiffs are in negotiations regarding a possible settlement of this matter, however the outcome of these negotiations are still uncertain. intends to engage with the parties for a resolution of these matters following finalization of that settlement. If that process does not succeed, the Company is prepared to continue the full defense of this action.</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20, 2021, Sabby Volatility Warrant Master Fund Ltd. (“Sabby”) sued our company in the Supreme Court of the State of New York, New York County, alleging that we breached the Securities Purchase Agreement, dated June 10, 2021 (the “Purchase Agreement”), pursuant to which Sabby purchased 400,000 shares of our common stock, for an aggregate price of approximately $6 million. Sabby contends that certain of the representations and warranties made by us in the Purchase Agreement concerning our financial condition and the accuracy of our prior disclosures were untrue and that we breached the Purchase Agreement’s anti-dilution and use-of-proceeds covenants on both August 9, 2021 and September 23, 2021, when we resolved certain defaults with High Trail. We intend to vigorously defend against this action, and, on December 15, 2021, we filed a motion to dismiss, which was fully briefed as of February 11, 2022.</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2021, the Company received a class action notification and pre-lawsuit demand letter demanding corrective action with respect to the marketing, advertising and labeling of certain products under the Mueller Austria brand. The letter claims that Aterian marketed, advertised, and labeled the products with representations that create the false impression they are made in Austria. The Company intends to vigorously defend against this potential action, which has not reached the stage of litigation yet. The parties are proceeding to mediation in an attempt to reach a reasonable resolution, however the outcome is uncertain at this point. The Company recently reached an agreement in principle to resolve this action on April 13, 2022 for $500,000 in cash and $300,000 worth of coupons, which the Company accrued for, subject to negotiation of a formal memorandum of understanding, the execution of final settlement documents, and court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24, 2022, the Company received a notice disputing the Company’s calculation of the earn-out payment to be paid to Josef Eitan and Ran Nir pursuant to the Stock Purchase Agreement (the “PPD Stock Purchase Agreement”), dated as of May 5, 2021, by and among the Company, Truweo, LLC, Photo Paper Direct Ltd, Josef Eitan and Ran Nir. The Company is in discussions with representatives of Josef Eitan and Ran Nir to resolve the matter as required pursuant to the terms of the PPD Stock Purchase Agreement, however the Company believes its calculations are accurate and intends to vigorously defend itself.</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received informal notice from a third-party alleging patent infringement with respect to certain paper transfer products sold by the Company. The Company is in discussions with representatives of the third party to resolve the matter, does not believe it is infringing any active patents of the third party and intends to defend itself vigorously.</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 claims and regulatory proceedings against us could result in unexpected expenses and liabilities, which could have a material adverse effect on our business, results of operations, financial condition and prospects.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very volatile. Market volatility may affect the value of an investment in our common stock and could subject us to litigation.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approximately $2.14 to $47.66 per share from January 1, 2021 to March 15, 2022 and approximately $2.25 to $6.55 per share from March 15, 2022 to May 9, 2022. The market price of our common stock could be subject to wide fluctuations in response to many risk factors listed in this section, and others beyond our control, including:</w:t>
      </w:r>
    </w:p>
    <w:p>
      <w:pPr>
        <w:spacing w:after="0" w:line="396" w:lineRule="exact"/>
        <w:rPr>
          <w:sz w:val="20"/>
          <w:szCs w:val="20"/>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 and related “short squeezes”;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impact on our business due to the COVID-19 pandemic;</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and any changes in projected operational and financial results;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customers;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offerings by us or our competitors;</w:t>
      </w:r>
    </w:p>
    <w:p>
      <w:pPr>
        <w:spacing w:after="0" w:line="36" w:lineRule="exact"/>
        <w:rPr>
          <w:rFonts w:ascii="Times New Roman" w:cs="Times New Roman" w:eastAsia="Times New Roman" w:hAnsi="Times New Roman"/>
          <w:sz w:val="18"/>
          <w:szCs w:val="18"/>
          <w:color w:val="auto"/>
        </w:rPr>
      </w:pPr>
    </w:p>
    <w:p>
      <w:pPr>
        <w:ind w:left="760" w:right="760" w:hanging="361"/>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 to our press releases and filings with the SEC;</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6" w:name="page57"/>
    <w:bookmarkEnd w:id="56"/>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performance and the valuation of companies perceived by investors to be comparable to us;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periods;</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 and</w:t>
      </w:r>
    </w:p>
    <w:p>
      <w:pPr>
        <w:spacing w:after="0" w:line="36"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200" w:lineRule="exact"/>
        <w:rPr>
          <w:sz w:val="20"/>
          <w:szCs w:val="20"/>
          <w:color w:val="auto"/>
        </w:rPr>
      </w:pPr>
    </w:p>
    <w:p>
      <w:pPr>
        <w:spacing w:after="0" w:line="2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 squeeze” due to a sudden increase in demand for shares of our common stock that largely exceeds supply has led to, and may continue to lead to, extreme price volatility in shares of our common stock.</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large proportion of our common stock has been and may continue to be traded by short sellers which may increase the likelihood that our common stock will be the target of a short squeeze. A short squeeze has previously led and could in the future lead to volatile price movements in shares of our common stock that are unrelated or disproportionate to our operating performance or prospects. Stockholders that purchase shares of our common stock during a short squeeze may lose a significant portion of their investment.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appear on the Regulation SHO Threshold Security list, and this could lead to increased volatility in our common stock.</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appear on, and as of the date of this Quarterly Report we are on the Regulation SHO Threshold Security list, and this could lead to increased volatility in our common stock. As defined in Rule 203(c)(6) of Regulation SHO, a “threshold security” is any equity security of any issuer that is registered under Section 12 of the Exchange Act, or that is required to file reports under Section 15(d) of the Exchange Act (commonly referred to as reporting securities), where, for five consecutive settlement days:</w:t>
      </w:r>
    </w:p>
    <w:p>
      <w:pPr>
        <w:spacing w:after="0" w:line="72" w:lineRule="exact"/>
        <w:rPr>
          <w:sz w:val="20"/>
          <w:szCs w:val="20"/>
          <w:color w:val="auto"/>
        </w:rPr>
      </w:pPr>
    </w:p>
    <w:p>
      <w:pPr>
        <w:ind w:left="1040" w:hanging="357"/>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aggregate fails to deliver at a registered clearing agency of 10,000 shares or more per security;</w:t>
      </w:r>
    </w:p>
    <w:p>
      <w:pPr>
        <w:spacing w:after="0" w:line="36" w:lineRule="exact"/>
        <w:rPr>
          <w:rFonts w:ascii="Times New Roman" w:cs="Times New Roman" w:eastAsia="Times New Roman" w:hAnsi="Times New Roman"/>
          <w:sz w:val="18"/>
          <w:szCs w:val="18"/>
          <w:color w:val="auto"/>
        </w:rPr>
      </w:pPr>
    </w:p>
    <w:p>
      <w:pPr>
        <w:ind w:left="1040" w:hanging="357"/>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fails is equal to at least one-half of one percent of the issuer’s total shares outstanding; and</w:t>
      </w:r>
    </w:p>
    <w:p>
      <w:pPr>
        <w:spacing w:after="0" w:line="36" w:lineRule="exact"/>
        <w:rPr>
          <w:rFonts w:ascii="Times New Roman" w:cs="Times New Roman" w:eastAsia="Times New Roman" w:hAnsi="Times New Roman"/>
          <w:sz w:val="18"/>
          <w:szCs w:val="18"/>
          <w:color w:val="auto"/>
        </w:rPr>
      </w:pPr>
    </w:p>
    <w:p>
      <w:pPr>
        <w:ind w:left="1040" w:hanging="357"/>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is included on a list published by a self-regulatory organization (SRO).</w:t>
      </w:r>
    </w:p>
    <w:p>
      <w:pPr>
        <w:spacing w:after="0" w:line="31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available in public media that is published by third parties, including blogs, articles, message boards and social and other media may include statements not attributable to the Company and may not be reliable or accurate.</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received, and may continue to receive, a high degree of media coverage that is published or otherwise disseminated by third parties, including blogs, articles, message boards and social and other media. This includes coverage that is not attributable to statements made by our officers or associates. Information provided by third parties may not be reliable or accurate and could materially impact the trading price of our common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7" w:name="page58"/>
    <w:bookmarkEnd w:id="5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markets by our insiders, or the perception that these sales may occur, may cause the market price of our common stock to decline.</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employees, directors and officers, and their affiliates, hold substantial amounts of shares of our common stock. Sales of a substantial number of such shares by these stockholders, or the perception that such sales will occur, may cause the market price of our common stock to decline. Other than our stock ownership guidelines and our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the perception that such sales may occur, could cause our stock price to decline.</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issue additional securities following the date of this quarterly report on Form 10-Q.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 market perceives that those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intends to use an inducement plan of approximately 2.7 million shares that would have terms and conditions substantially the same as the 2018 Equity Incentive Plan that would be used exclusively for grants to individuals who were not previously our employees or directors, as a material inducement to such individual’s entry into employment with us within the meaning of the Rule 5635(c)(4) of the NASDAQ Listing Rules.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Accounting adjustments due to changes in circumstances or estimates may require us to write down intangible assets, such as goodwill and may have a material impact on our financial reporting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under one business component which is the same as its reporting unit based on the guidance in ASC Topic 350-20.</w:t>
      </w:r>
    </w:p>
    <w:p>
      <w:pPr>
        <w:spacing w:after="0" w:line="26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02124"/>
        </w:rPr>
        <w:t xml:space="preserve">The Company has experienced high volatility in the price of its common stock and a reduction in its market capitalization through March 31, 2022. This </w:t>
      </w:r>
      <w:r>
        <w:rPr>
          <w:rFonts w:ascii="Times New Roman" w:cs="Times New Roman" w:eastAsia="Times New Roman" w:hAnsi="Times New Roman"/>
          <w:sz w:val="18"/>
          <w:szCs w:val="18"/>
          <w:color w:val="000000"/>
        </w:rPr>
        <w:t>was considered an interim triggering event for the three months ended March 31, 2022.</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The Company assessed its goodwill as of March 31, 2022, and determined that the Company's goodwill was impaired. As a result, the Company recorded a goodwill impairment </w:t>
      </w:r>
      <w:r>
        <w:rPr>
          <w:rFonts w:ascii="Times New Roman" w:cs="Times New Roman" w:eastAsia="Times New Roman" w:hAnsi="Times New Roman"/>
          <w:sz w:val="18"/>
          <w:szCs w:val="18"/>
          <w:color w:val="202124"/>
        </w:rPr>
        <w:t>charge of $29.0 million in the three months</w:t>
      </w:r>
      <w:r>
        <w:rPr>
          <w:rFonts w:ascii="Times New Roman" w:cs="Times New Roman" w:eastAsia="Times New Roman" w:hAnsi="Times New Roman"/>
          <w:sz w:val="18"/>
          <w:szCs w:val="18"/>
          <w:color w:val="auto"/>
        </w:rPr>
        <w:t xml:space="preserve"> ended March 31, 2022, primarily due to the decrease in its market capitalization.</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the Company’s market capitalization.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believes that the assumptions and estimates made are reasonable and appropriate, and changes in the assumptions and estimates could have a material impact on its reported financial results. In addition, sustained declines in the Company’s stock price and related market capitalization could impact key assumptions in the overall estimated fair values of its reporting unit and could result in non-cash impairment charges that could be material to the Company's condensed consolidated balance sheet or results of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continue to closely monitor actual results versus expectations as well as whether, and to what extent, any significant changes in current events or conditions, including changes to the impacts of the COVID-19 pandemic on its business, result in corresponding changes to its expectations about future estimated cash flows, discount rates and market multiples. If the Company’s adjusted expectations of the operating results do not materialize, if the discount rate increases (based on increases in interest rates, market rates of return or market volatility) or if market multiples decline, the Company may be required to record additional goodwill impairment charges, which may be material.</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believes its conclusions regarding the estimates of fair value of its reporting unit is appropriate, these estimates are subject to uncertainty and by nature include judgments and estimates regarding various factors. These factors include the rate and extent of growth in the markets that its reporting units serve, the realization of future sales price and volume increases, fluctuations in exchange rates, fluctuations in price and availability of key raw materials, future operating efficiencies and, as it pertains to discount rates, the volatility in interest rates and costs of equity.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360" w:type="dxa"/>
            <w:vAlign w:val="bottom"/>
            <w:gridSpan w:val="4"/>
            <w:vMerge w:val="restart"/>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360" w:type="dxa"/>
            <w:vAlign w:val="bottom"/>
            <w:gridSpan w:val="4"/>
            <w:vMerge w:val="continue"/>
          </w:tcPr>
          <w:p>
            <w:pPr>
              <w:spacing w:after="0"/>
              <w:rPr>
                <w:sz w:val="9"/>
                <w:szCs w:val="9"/>
                <w:color w:val="auto"/>
              </w:rPr>
            </w:pPr>
          </w:p>
        </w:tc>
        <w:tc>
          <w:tcPr>
            <w:tcW w:w="42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vMerge w:val="restart"/>
          </w:tcPr>
          <w:p>
            <w:pPr>
              <w:spacing w:after="0"/>
              <w:rPr>
                <w:sz w:val="9"/>
                <w:szCs w:val="9"/>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vMerge w:val="restart"/>
          </w:tcPr>
          <w:p>
            <w:pPr>
              <w:spacing w:after="0"/>
              <w:rPr>
                <w:sz w:val="9"/>
                <w:szCs w:val="9"/>
                <w:color w:val="auto"/>
              </w:rPr>
            </w:pP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0" w:type="dxa"/>
            <w:vAlign w:val="bottom"/>
            <w:vMerge w:val="restart"/>
          </w:tcPr>
          <w:p>
            <w:pPr>
              <w:spacing w:after="0"/>
              <w:rPr>
                <w:sz w:val="9"/>
                <w:szCs w:val="9"/>
                <w:color w:val="auto"/>
              </w:rPr>
            </w:pPr>
          </w:p>
        </w:tc>
        <w:tc>
          <w:tcPr>
            <w:tcW w:w="17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0" w:type="dxa"/>
            <w:vAlign w:val="bottom"/>
            <w:vMerge w:val="restart"/>
          </w:tcPr>
          <w:p>
            <w:pPr>
              <w:spacing w:after="0"/>
              <w:rPr>
                <w:sz w:val="9"/>
                <w:szCs w:val="9"/>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81">
        <w:r>
          <w:rPr>
            <w:rFonts w:ascii="Times New Roman" w:cs="Times New Roman" w:eastAsia="Times New Roman" w:hAnsi="Times New Roman"/>
            <w:sz w:val="18"/>
            <w:szCs w:val="18"/>
            <w:u w:val="single" w:color="auto"/>
            <w:color w:val="0000EE"/>
          </w:rPr>
          <w:t>Asset Purchase Agreement, dated December 1, 2020, by and among</w:t>
        </w:r>
      </w:hyperlink>
    </w:p>
    <w:p>
      <w:pPr>
        <w:spacing w:after="0" w:line="27" w:lineRule="exact"/>
        <w:rPr>
          <w:sz w:val="20"/>
          <w:szCs w:val="20"/>
          <w:color w:val="auto"/>
        </w:rPr>
      </w:pPr>
    </w:p>
    <w:p>
      <w:pPr>
        <w:ind w:left="960" w:right="4720" w:firstLine="6"/>
        <w:spacing w:after="0" w:line="250" w:lineRule="auto"/>
        <w:tabs>
          <w:tab w:leader="none" w:pos="1210" w:val="left"/>
        </w:tabs>
        <w:numPr>
          <w:ilvl w:val="0"/>
          <w:numId w:val="30"/>
        </w:numPr>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Aterian, Inc. and Truweo, LLC, as Purchaser, (ii) 9830 Macarthur LLC,</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Reliance Equities Group, LLC and ZN Direct LLC, as Sellers and (iii) Jelena</w:t>
        </w:r>
      </w:hyperlink>
    </w:p>
    <w:tbl>
      <w:tblPr>
        <w:tblLayout w:type="fixed"/>
        <w:tblInd w:w="0" w:type="dxa"/>
        <w:tblCellMar>
          <w:top w:w="0" w:type="dxa"/>
          <w:left w:w="0" w:type="dxa"/>
          <w:bottom w:w="0" w:type="dxa"/>
          <w:right w:w="0" w:type="dxa"/>
        </w:tblCellMar>
      </w:tblPr>
      <w:tr>
        <w:trPr>
          <w:trHeight w:val="176"/>
        </w:trPr>
        <w:tc>
          <w:tcPr>
            <w:tcW w:w="960" w:type="dxa"/>
            <w:vAlign w:val="bottom"/>
          </w:tcPr>
          <w:p>
            <w:pPr>
              <w:spacing w:after="0"/>
              <w:rPr>
                <w:sz w:val="15"/>
                <w:szCs w:val="15"/>
                <w:color w:val="auto"/>
              </w:rPr>
            </w:pPr>
          </w:p>
        </w:tc>
        <w:tc>
          <w:tcPr>
            <w:tcW w:w="5700" w:type="dxa"/>
            <w:vAlign w:val="bottom"/>
            <w:gridSpan w:val="20"/>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Puzovic, as Founder.</w:t>
              </w:r>
            </w:hyperlink>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12/1/2020</w:t>
            </w:r>
          </w:p>
        </w:tc>
        <w:tc>
          <w:tcPr>
            <w:tcW w:w="90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5700" w:type="dxa"/>
            <w:vAlign w:val="bottom"/>
            <w:gridSpan w:val="20"/>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Asset Purchase Agreement, dated February 2, 2021, by and among (i)</w:t>
              </w:r>
            </w:hyperlink>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Aterian, Inc. and Truweo, LLC, as Purchaser, (ii) Healing Solutions, LLC,</w:t>
              </w:r>
            </w:hyperlink>
          </w:p>
        </w:tc>
        <w:tc>
          <w:tcPr>
            <w:tcW w:w="34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700" w:type="dxa"/>
            <w:vAlign w:val="bottom"/>
            <w:gridSpan w:val="2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(iii) Jason R. Hope, and (iv) for the purposes of Section 5.11 and Article VII,</w:t>
              </w:r>
            </w:hyperlink>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5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Super Transcontinental Holdings LLC.</w:t>
              </w:r>
            </w:hyperlink>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2/3/2020</w:t>
            </w:r>
          </w:p>
        </w:tc>
        <w:tc>
          <w:tcPr>
            <w:tcW w:w="9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49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Asset Purchase Agreement, dated May 5, 2021, by and among (i) the</w:t>
              </w:r>
            </w:hyperlink>
          </w:p>
        </w:tc>
        <w:tc>
          <w:tcPr>
            <w:tcW w:w="72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Company and Truweo, LLC, as Purchaser, (ii) Squatty Potty, LLC, and (iii)</w:t>
              </w:r>
            </w:hyperlink>
          </w:p>
        </w:tc>
        <w:tc>
          <w:tcPr>
            <w:tcW w:w="26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4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for the purposes of Section 5.7, Section 5.8, Section 5.11, Section 5.13 and</w:t>
              </w:r>
            </w:hyperlink>
          </w:p>
        </w:tc>
        <w:tc>
          <w:tcPr>
            <w:tcW w:w="30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Article VII, Edwards SP Holdings, LLC, Team Lindsey, LLC, SLEKT</w:t>
              </w:r>
            </w:hyperlink>
          </w:p>
        </w:tc>
        <w:tc>
          <w:tcPr>
            <w:tcW w:w="62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5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Investments, LLC, Sachs Capital Fund II, LLC, Sachs Capital-Squatty, LLC</w:t>
              </w:r>
            </w:hyperlink>
          </w:p>
        </w:tc>
        <w:tc>
          <w:tcPr>
            <w:tcW w:w="2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and Bevel Acquisition II, LLC.</w:t>
              </w:r>
            </w:hyperlink>
          </w:p>
        </w:tc>
        <w:tc>
          <w:tcPr>
            <w:tcW w:w="3440" w:type="dxa"/>
            <w:vAlign w:val="bottom"/>
            <w:gridSpan w:val="16"/>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5/11/2021</w:t>
            </w:r>
          </w:p>
        </w:tc>
        <w:tc>
          <w:tcPr>
            <w:tcW w:w="9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1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5700" w:type="dxa"/>
            <w:vAlign w:val="bottom"/>
            <w:gridSpan w:val="20"/>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Stock Purchase Agreement, dated May 5, 2021, by and among (i) the</w:t>
              </w:r>
            </w:hyperlink>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Compay and Truweo, LLC, as Purchaser, (ii) Photo Paper Direct Ltd, (iii)</w:t>
              </w:r>
            </w:hyperlink>
          </w:p>
        </w:tc>
        <w:tc>
          <w:tcPr>
            <w:tcW w:w="3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Josef Eitan, and (iv) Ran Nir.</w:t>
              </w:r>
            </w:hyperlink>
          </w:p>
        </w:tc>
        <w:tc>
          <w:tcPr>
            <w:tcW w:w="3580" w:type="dxa"/>
            <w:vAlign w:val="bottom"/>
            <w:gridSpan w:val="17"/>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5/11/2021</w:t>
            </w:r>
          </w:p>
        </w:tc>
        <w:tc>
          <w:tcPr>
            <w:tcW w:w="9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3.1</w:t>
            </w:r>
          </w:p>
        </w:tc>
        <w:tc>
          <w:tcPr>
            <w:tcW w:w="5700" w:type="dxa"/>
            <w:vAlign w:val="bottom"/>
            <w:gridSpan w:val="20"/>
          </w:tcPr>
          <w:p>
            <w:pPr>
              <w:spacing w:after="0"/>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Certificate of Amendment to Amended and Restated Certificate of Incorporation</w:t>
              </w:r>
            </w:hyperlink>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4/30/2021</w:t>
            </w: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60" w:type="dxa"/>
            <w:vAlign w:val="bottom"/>
            <w:tcBorders>
              <w:top w:val="single" w:sz="8" w:color="0000EE"/>
              <w:bottom w:val="single" w:sz="8" w:color="0000EE"/>
            </w:tcBorders>
          </w:tcPr>
          <w:p>
            <w:pPr>
              <w:spacing w:after="0" w:line="183" w:lineRule="exact"/>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of Aterian, Inc.</w:t>
              </w:r>
            </w:hyperlink>
          </w:p>
        </w:tc>
        <w:tc>
          <w:tcPr>
            <w:tcW w:w="4460" w:type="dxa"/>
            <w:vAlign w:val="bottom"/>
            <w:tcBorders>
              <w:top w:val="single" w:sz="8" w:color="0000EE"/>
            </w:tcBorders>
            <w:gridSpan w:val="17"/>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3.2</w:t>
            </w:r>
          </w:p>
        </w:tc>
        <w:tc>
          <w:tcPr>
            <w:tcW w:w="51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Certificate of Correction of Certificate of Amendment to the Amended and</w:t>
              </w:r>
            </w:hyperlink>
          </w:p>
        </w:tc>
        <w:tc>
          <w:tcPr>
            <w:tcW w:w="560" w:type="dxa"/>
            <w:vAlign w:val="bottom"/>
            <w:gridSpan w:val="8"/>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4/30/2021</w:t>
            </w: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5700" w:type="dxa"/>
            <w:vAlign w:val="bottom"/>
            <w:gridSpan w:val="20"/>
          </w:tcPr>
          <w:p>
            <w:pPr>
              <w:spacing w:after="0" w:line="183" w:lineRule="exact"/>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Restated Certificate of Incorporation of Aterian, Inc.</w:t>
              </w:r>
            </w:hyperlink>
          </w:p>
        </w:tc>
        <w:tc>
          <w:tcPr>
            <w:tcW w:w="7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3.3</w:t>
            </w:r>
          </w:p>
        </w:tc>
        <w:tc>
          <w:tcPr>
            <w:tcW w:w="5700" w:type="dxa"/>
            <w:vAlign w:val="bottom"/>
            <w:gridSpan w:val="20"/>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Certificate of Incorporation of Aterian,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4/30/2021</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3.4</w:t>
            </w:r>
          </w:p>
        </w:tc>
        <w:tc>
          <w:tcPr>
            <w:tcW w:w="48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Amended and Restated Bylaws of Aterian, Inc.</w:t>
              </w:r>
            </w:hyperlink>
          </w:p>
        </w:tc>
        <w:tc>
          <w:tcPr>
            <w:tcW w:w="860" w:type="dxa"/>
            <w:vAlign w:val="bottom"/>
            <w:gridSpan w:val="11"/>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6/14/2019</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4.1</w:t>
            </w:r>
          </w:p>
        </w:tc>
        <w:tc>
          <w:tcPr>
            <w:tcW w:w="26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Common Stock Certificate.</w:t>
              </w:r>
            </w:hyperlink>
          </w:p>
        </w:tc>
        <w:tc>
          <w:tcPr>
            <w:tcW w:w="780" w:type="dxa"/>
            <w:vAlign w:val="bottom"/>
            <w:tcBorders>
              <w:top w:val="single" w:sz="8" w:color="0000EE"/>
            </w:tcBorders>
            <w:gridSpan w:val="2"/>
          </w:tcPr>
          <w:p>
            <w:pPr>
              <w:spacing w:after="0"/>
              <w:rPr>
                <w:sz w:val="24"/>
                <w:szCs w:val="24"/>
                <w:color w:val="auto"/>
              </w:rPr>
            </w:pPr>
          </w:p>
        </w:tc>
        <w:tc>
          <w:tcPr>
            <w:tcW w:w="2300" w:type="dxa"/>
            <w:vAlign w:val="bottom"/>
            <w:gridSpan w:val="13"/>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333-231381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5/24/2019</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4840" w:type="dxa"/>
            <w:vAlign w:val="bottom"/>
            <w:gridSpan w:val="9"/>
          </w:tcPr>
          <w:p>
            <w:pPr>
              <w:ind w:left="458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3"/>
        </w:trPr>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960" w:type="dxa"/>
            <w:vAlign w:val="bottom"/>
            <w:gridSpan w:val="2"/>
            <w:vMerge w:val="continue"/>
          </w:tcPr>
          <w:p>
            <w:pPr>
              <w:spacing w:after="0"/>
              <w:rPr>
                <w:sz w:val="9"/>
                <w:szCs w:val="9"/>
                <w:color w:val="auto"/>
              </w:rPr>
            </w:pPr>
          </w:p>
        </w:tc>
        <w:tc>
          <w:tcPr>
            <w:tcW w:w="564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vMerge w:val="restart"/>
          </w:tcPr>
          <w:p>
            <w:pPr>
              <w:spacing w:after="0"/>
              <w:rPr>
                <w:sz w:val="9"/>
                <w:szCs w:val="9"/>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vMerge w:val="restart"/>
          </w:tcPr>
          <w:p>
            <w:pPr>
              <w:spacing w:after="0"/>
              <w:rPr>
                <w:sz w:val="9"/>
                <w:szCs w:val="9"/>
                <w:color w:val="auto"/>
              </w:rPr>
            </w:pP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0" w:type="dxa"/>
            <w:vAlign w:val="bottom"/>
            <w:vMerge w:val="restart"/>
          </w:tcPr>
          <w:p>
            <w:pPr>
              <w:spacing w:after="0"/>
              <w:rPr>
                <w:sz w:val="9"/>
                <w:szCs w:val="9"/>
                <w:color w:val="auto"/>
              </w:rPr>
            </w:pPr>
          </w:p>
        </w:tc>
        <w:tc>
          <w:tcPr>
            <w:tcW w:w="17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0" w:type="dxa"/>
            <w:vAlign w:val="bottom"/>
            <w:vMerge w:val="restart"/>
          </w:tcPr>
          <w:p>
            <w:pPr>
              <w:spacing w:after="0"/>
              <w:rPr>
                <w:sz w:val="9"/>
                <w:szCs w:val="9"/>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56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4.2+</w:t>
            </w:r>
          </w:p>
        </w:tc>
        <w:tc>
          <w:tcPr>
            <w:tcW w:w="53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Registration Rights Agreement, dated as of April 6, 2018, among</w:t>
              </w:r>
            </w:hyperlink>
          </w:p>
        </w:tc>
        <w:tc>
          <w:tcPr>
            <w:tcW w:w="28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Aterian, Inc. and the purchasers party thereto.</w:t>
              </w:r>
            </w:hyperlink>
          </w:p>
        </w:tc>
        <w:tc>
          <w:tcPr>
            <w:tcW w:w="2320" w:type="dxa"/>
            <w:vAlign w:val="bottom"/>
            <w:gridSpan w:val="18"/>
          </w:tcPr>
          <w:p>
            <w:pPr>
              <w:spacing w:after="0"/>
              <w:rPr>
                <w:sz w:val="17"/>
                <w:szCs w:val="17"/>
                <w:color w:val="auto"/>
              </w:rPr>
            </w:pPr>
          </w:p>
        </w:tc>
      </w:tr>
      <w:tr>
        <w:trPr>
          <w:trHeight w:val="31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4.3</w:t>
            </w:r>
          </w:p>
        </w:tc>
        <w:tc>
          <w:tcPr>
            <w:tcW w:w="56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Warrant to Purchase Stock, issued to MidCap Financial Trust on September 4,</w:t>
              </w:r>
            </w:hyperlink>
          </w:p>
        </w:tc>
      </w:tr>
      <w:tr>
        <w:trPr>
          <w:trHeight w:val="196"/>
        </w:trPr>
        <w:tc>
          <w:tcPr>
            <w:tcW w:w="8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2018.</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4.4</w:t>
            </w:r>
          </w:p>
        </w:tc>
        <w:tc>
          <w:tcPr>
            <w:tcW w:w="5620" w:type="dxa"/>
            <w:vAlign w:val="bottom"/>
            <w:gridSpan w:val="26"/>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Warrant, issued to Katalyst Securities LLC and its assigns on</w:t>
              </w:r>
            </w:hyperlink>
          </w:p>
        </w:tc>
      </w:tr>
      <w:tr>
        <w:trPr>
          <w:trHeight w:val="196"/>
        </w:trPr>
        <w:tc>
          <w:tcPr>
            <w:tcW w:w="860" w:type="dxa"/>
            <w:vAlign w:val="bottom"/>
          </w:tcPr>
          <w:p>
            <w:pPr>
              <w:spacing w:after="0"/>
              <w:rPr>
                <w:sz w:val="17"/>
                <w:szCs w:val="17"/>
                <w:color w:val="auto"/>
              </w:rPr>
            </w:pPr>
          </w:p>
        </w:tc>
        <w:tc>
          <w:tcPr>
            <w:tcW w:w="50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September 4, 2018.</w:t>
              </w:r>
            </w:hyperlink>
          </w:p>
        </w:tc>
        <w:tc>
          <w:tcPr>
            <w:tcW w:w="600" w:type="dxa"/>
            <w:vAlign w:val="bottom"/>
            <w:gridSpan w:val="11"/>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4.5</w:t>
            </w:r>
          </w:p>
        </w:tc>
        <w:tc>
          <w:tcPr>
            <w:tcW w:w="5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Warrant, issued to Horizon Technology Finance Corporation on</w:t>
              </w:r>
            </w:hyperlink>
          </w:p>
        </w:tc>
        <w:tc>
          <w:tcPr>
            <w:tcW w:w="40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620" w:type="dxa"/>
            <w:vAlign w:val="bottom"/>
            <w:gridSpan w:val="2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December 31, 2019.</w:t>
              </w:r>
            </w:hyperlink>
          </w:p>
        </w:tc>
      </w:tr>
      <w:tr>
        <w:trPr>
          <w:trHeight w:val="20"/>
        </w:trPr>
        <w:tc>
          <w:tcPr>
            <w:tcW w:w="8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4.6</w:t>
            </w:r>
          </w:p>
        </w:tc>
        <w:tc>
          <w:tcPr>
            <w:tcW w:w="5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Amendment No. 1 to Registration Rights Agreement, dated as of March 2,</w:t>
              </w:r>
            </w:hyperlink>
          </w:p>
        </w:tc>
        <w:tc>
          <w:tcPr>
            <w:tcW w:w="240" w:type="dxa"/>
            <w:vAlign w:val="bottom"/>
            <w:gridSpan w:val="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620" w:type="dxa"/>
            <w:vAlign w:val="bottom"/>
            <w:gridSpan w:val="2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2019, among Aterian, Inc. and the investors party thereto.</w:t>
              </w:r>
            </w:hyperlink>
          </w:p>
        </w:tc>
      </w:tr>
      <w:tr>
        <w:trPr>
          <w:trHeight w:val="20"/>
        </w:trPr>
        <w:tc>
          <w:tcPr>
            <w:tcW w:w="8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4.7</w:t>
            </w:r>
          </w:p>
        </w:tc>
        <w:tc>
          <w:tcPr>
            <w:tcW w:w="5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Warrant to Purchase Shares of Common Stock, issued to Third Creek</w:t>
              </w:r>
            </w:hyperlink>
          </w:p>
        </w:tc>
        <w:tc>
          <w:tcPr>
            <w:tcW w:w="620" w:type="dxa"/>
            <w:vAlign w:val="bottom"/>
            <w:gridSpan w:val="1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Advisors, LLC on August 18, 2020.</w:t>
              </w:r>
            </w:hyperlink>
          </w:p>
        </w:tc>
        <w:tc>
          <w:tcPr>
            <w:tcW w:w="3020" w:type="dxa"/>
            <w:vAlign w:val="bottom"/>
            <w:gridSpan w:val="21"/>
          </w:tcPr>
          <w:p>
            <w:pPr>
              <w:spacing w:after="0"/>
              <w:rPr>
                <w:sz w:val="17"/>
                <w:szCs w:val="17"/>
                <w:color w:val="auto"/>
              </w:rPr>
            </w:pPr>
          </w:p>
        </w:tc>
      </w:tr>
      <w:tr>
        <w:trPr>
          <w:trHeight w:val="31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4.8</w:t>
            </w:r>
          </w:p>
        </w:tc>
        <w:tc>
          <w:tcPr>
            <w:tcW w:w="5620" w:type="dxa"/>
            <w:vAlign w:val="bottom"/>
            <w:gridSpan w:val="2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Warrant to Purchase Stock, dated December 22, 2021.</w:t>
              </w:r>
            </w:hyperlink>
          </w:p>
        </w:tc>
      </w:tr>
      <w:tr>
        <w:trPr>
          <w:trHeight w:val="331"/>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4.9</w:t>
            </w:r>
          </w:p>
        </w:tc>
        <w:tc>
          <w:tcPr>
            <w:tcW w:w="40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20"/>
                <w:szCs w:val="20"/>
                <w:color w:val="0000EE"/>
              </w:rPr>
            </w:pPr>
            <w:hyperlink r:id="rId99">
              <w:r>
                <w:rPr>
                  <w:rFonts w:ascii="Times New Roman" w:cs="Times New Roman" w:eastAsia="Times New Roman" w:hAnsi="Times New Roman"/>
                  <w:sz w:val="20"/>
                  <w:szCs w:val="20"/>
                  <w:color w:val="0000EE"/>
                </w:rPr>
                <w:t>F</w:t>
              </w:r>
              <w:r>
                <w:rPr>
                  <w:rFonts w:ascii="Times New Roman" w:cs="Times New Roman" w:eastAsia="Times New Roman" w:hAnsi="Times New Roman"/>
                  <w:sz w:val="17"/>
                  <w:szCs w:val="17"/>
                  <w:color w:val="0000EE"/>
                </w:rPr>
                <w:t>orm of Pre-Funded Common Stock Purchase Warrant.</w:t>
              </w:r>
            </w:hyperlink>
          </w:p>
        </w:tc>
        <w:tc>
          <w:tcPr>
            <w:tcW w:w="500" w:type="dxa"/>
            <w:vAlign w:val="bottom"/>
            <w:tcBorders>
              <w:top w:val="single" w:sz="8" w:color="0000EE"/>
            </w:tcBorders>
            <w:gridSpan w:val="2"/>
          </w:tcPr>
          <w:p>
            <w:pPr>
              <w:spacing w:after="0"/>
              <w:rPr>
                <w:sz w:val="24"/>
                <w:szCs w:val="24"/>
                <w:color w:val="auto"/>
              </w:rPr>
            </w:pPr>
          </w:p>
        </w:tc>
        <w:tc>
          <w:tcPr>
            <w:tcW w:w="1100" w:type="dxa"/>
            <w:vAlign w:val="bottom"/>
            <w:gridSpan w:val="13"/>
          </w:tcPr>
          <w:p>
            <w:pPr>
              <w:spacing w:after="0"/>
              <w:rPr>
                <w:sz w:val="24"/>
                <w:szCs w:val="24"/>
                <w:color w:val="auto"/>
              </w:rPr>
            </w:pPr>
          </w:p>
        </w:tc>
      </w:tr>
      <w:tr>
        <w:trPr>
          <w:trHeight w:val="318"/>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4.10</w:t>
            </w:r>
          </w:p>
        </w:tc>
        <w:tc>
          <w:tcPr>
            <w:tcW w:w="5620" w:type="dxa"/>
            <w:vAlign w:val="bottom"/>
            <w:gridSpan w:val="26"/>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Common Stock Purchase Warrant.</w:t>
              </w:r>
            </w:hyperlink>
          </w:p>
        </w:tc>
      </w:tr>
      <w:tr>
        <w:trPr>
          <w:trHeight w:val="20"/>
        </w:trPr>
        <w:tc>
          <w:tcPr>
            <w:tcW w:w="8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w:t>
            </w:r>
          </w:p>
        </w:tc>
        <w:tc>
          <w:tcPr>
            <w:tcW w:w="5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Securities Purchase Agreement, dated March 1, 2022, by and</w:t>
              </w:r>
            </w:hyperlink>
          </w:p>
        </w:tc>
        <w:tc>
          <w:tcPr>
            <w:tcW w:w="580" w:type="dxa"/>
            <w:vAlign w:val="bottom"/>
            <w:gridSpan w:val="10"/>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5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between Aterian, Inc. and the Purchasers identified on the signature pages to</w:t>
              </w:r>
            </w:hyperlink>
          </w:p>
        </w:tc>
        <w:tc>
          <w:tcPr>
            <w:tcW w:w="1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620" w:type="dxa"/>
            <w:vAlign w:val="bottom"/>
            <w:gridSpan w:val="2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 Securities Purchase Agreement.</w:t>
              </w:r>
            </w:hyperlink>
          </w:p>
        </w:tc>
      </w:tr>
      <w:tr>
        <w:trPr>
          <w:trHeight w:val="20"/>
        </w:trPr>
        <w:tc>
          <w:tcPr>
            <w:tcW w:w="8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10.2</w:t>
            </w:r>
          </w:p>
        </w:tc>
        <w:tc>
          <w:tcPr>
            <w:tcW w:w="5620" w:type="dxa"/>
            <w:vAlign w:val="bottom"/>
            <w:gridSpan w:val="2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Registration Rights Agreement, dated March 4, 2022, by and among Aterian,</w:t>
              </w:r>
            </w:hyperlink>
          </w:p>
        </w:tc>
      </w:tr>
      <w:tr>
        <w:trPr>
          <w:trHeight w:val="196"/>
        </w:trPr>
        <w:tc>
          <w:tcPr>
            <w:tcW w:w="86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Inc. and the Purchasers identified on the signature pages to the Registration</w:t>
              </w:r>
            </w:hyperlink>
          </w:p>
        </w:tc>
        <w:tc>
          <w:tcPr>
            <w:tcW w:w="12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620" w:type="dxa"/>
            <w:vAlign w:val="bottom"/>
            <w:gridSpan w:val="2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Rights Agreement.</w:t>
              </w:r>
            </w:hyperlink>
          </w:p>
        </w:tc>
      </w:tr>
      <w:tr>
        <w:trPr>
          <w:trHeight w:val="20"/>
        </w:trPr>
        <w:tc>
          <w:tcPr>
            <w:tcW w:w="8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31.1*</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pursuant to Rule 13a-14(a)</w:t>
            </w:r>
          </w:p>
        </w:tc>
      </w:tr>
      <w:tr>
        <w:trPr>
          <w:trHeight w:val="196"/>
        </w:trPr>
        <w:tc>
          <w:tcPr>
            <w:tcW w:w="860" w:type="dxa"/>
            <w:vAlign w:val="bottom"/>
          </w:tcPr>
          <w:p>
            <w:pPr>
              <w:spacing w:after="0"/>
              <w:rPr>
                <w:sz w:val="17"/>
                <w:szCs w:val="17"/>
                <w:color w:val="auto"/>
              </w:rPr>
            </w:pPr>
          </w:p>
        </w:tc>
        <w:tc>
          <w:tcPr>
            <w:tcW w:w="54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or 15d-14(a) of the Securities Exchange Act of 1934.</w:t>
            </w:r>
          </w:p>
        </w:tc>
        <w:tc>
          <w:tcPr>
            <w:tcW w:w="180" w:type="dxa"/>
            <w:vAlign w:val="bottom"/>
            <w:gridSpan w:val="4"/>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31.2*</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Certifications of the Principal Financial Officer pursuant to Rule 13a-14(a) or</w:t>
            </w:r>
          </w:p>
        </w:tc>
      </w:tr>
      <w:tr>
        <w:trPr>
          <w:trHeight w:val="196"/>
        </w:trPr>
        <w:tc>
          <w:tcPr>
            <w:tcW w:w="86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of the Securities Exchange Act of 1934.</w:t>
            </w:r>
          </w:p>
        </w:tc>
        <w:tc>
          <w:tcPr>
            <w:tcW w:w="194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32.1**</w:t>
            </w:r>
          </w:p>
        </w:tc>
        <w:tc>
          <w:tcPr>
            <w:tcW w:w="5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Certifications of the Principal Executive Officer and Principal Financial</w:t>
            </w:r>
          </w:p>
        </w:tc>
        <w:tc>
          <w:tcPr>
            <w:tcW w:w="440" w:type="dxa"/>
            <w:vAlign w:val="bottom"/>
            <w:gridSpan w:val="9"/>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6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18 U.S.C. Section 1350, as adopted pursuant to Section</w:t>
            </w:r>
          </w:p>
        </w:tc>
      </w:tr>
      <w:tr>
        <w:trPr>
          <w:trHeight w:val="196"/>
        </w:trPr>
        <w:tc>
          <w:tcPr>
            <w:tcW w:w="8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2520" w:type="dxa"/>
            <w:vAlign w:val="bottom"/>
            <w:tcBorders>
              <w:top w:val="single" w:sz="8" w:color="0000EE"/>
            </w:tcBorders>
            <w:gridSpan w:val="15"/>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358"/>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101.INS</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101.SCH</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101.CAL</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101.LAB</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101.PRE</w:t>
            </w:r>
          </w:p>
        </w:tc>
        <w:tc>
          <w:tcPr>
            <w:tcW w:w="56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960" w:hanging="862"/>
        <w:spacing w:after="0"/>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333-231381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4.2</w:t>
            </w:r>
          </w:p>
        </w:tc>
      </w:tr>
      <w:tr>
        <w:trPr>
          <w:trHeight w:val="55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333-231381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4.3</w:t>
            </w:r>
          </w:p>
        </w:tc>
      </w:tr>
      <w:tr>
        <w:trPr>
          <w:trHeight w:val="55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333-231381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4.4</w:t>
            </w:r>
          </w:p>
        </w:tc>
      </w:tr>
      <w:tr>
        <w:trPr>
          <w:trHeight w:val="55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333-231381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4.5</w:t>
            </w:r>
          </w:p>
        </w:tc>
      </w:tr>
      <w:tr>
        <w:trPr>
          <w:trHeight w:val="554"/>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333-231381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4.6</w:t>
            </w:r>
          </w:p>
        </w:tc>
      </w:tr>
      <w:tr>
        <w:trPr>
          <w:trHeight w:val="55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001-38937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11/9/2020</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4.7</w:t>
            </w:r>
          </w:p>
        </w:tc>
      </w:tr>
      <w:tr>
        <w:trPr>
          <w:trHeight w:val="338"/>
        </w:trPr>
        <w:tc>
          <w:tcPr>
            <w:tcW w:w="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001-38937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12/27/2021</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4.1</w:t>
            </w:r>
          </w:p>
        </w:tc>
      </w:tr>
      <w:tr>
        <w:trPr>
          <w:trHeight w:val="351"/>
        </w:trPr>
        <w:tc>
          <w:tcPr>
            <w:tcW w:w="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001-38937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3/4/2022</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4.1</w:t>
            </w:r>
          </w:p>
        </w:tc>
      </w:tr>
      <w:tr>
        <w:trPr>
          <w:trHeight w:val="338"/>
        </w:trPr>
        <w:tc>
          <w:tcPr>
            <w:tcW w:w="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001-38937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3/4/2022</w:t>
            </w:r>
          </w:p>
        </w:tc>
        <w:tc>
          <w:tcPr>
            <w:tcW w:w="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4.2</w:t>
            </w:r>
          </w:p>
        </w:tc>
      </w:tr>
      <w:tr>
        <w:trPr>
          <w:trHeight w:val="891"/>
        </w:trPr>
        <w:tc>
          <w:tcPr>
            <w:tcW w:w="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001-38937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3/4/2022</w:t>
            </w:r>
          </w:p>
        </w:tc>
        <w:tc>
          <w:tcPr>
            <w:tcW w:w="7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10.1</w:t>
            </w:r>
          </w:p>
        </w:tc>
      </w:tr>
      <w:tr>
        <w:trPr>
          <w:trHeight w:val="769"/>
        </w:trPr>
        <w:tc>
          <w:tcPr>
            <w:tcW w:w="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001-38937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3/4/2022</w:t>
            </w:r>
          </w:p>
        </w:tc>
        <w:tc>
          <w:tcPr>
            <w:tcW w:w="7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10.2</w:t>
            </w:r>
          </w:p>
        </w:tc>
      </w:tr>
    </w:tbl>
    <w:p>
      <w:pPr>
        <w:sectPr>
          <w:pgSz w:w="11900" w:h="16838" w:orient="portrait"/>
          <w:cols w:equalWidth="0" w:num="2">
            <w:col w:w="6580" w:space="240"/>
            <w:col w:w="4420"/>
          </w:cols>
          <w:pgMar w:left="320" w:top="331" w:right="339" w:bottom="1440" w:gutter="0" w:footer="0" w:header="0"/>
          <w:type w:val="continuous"/>
        </w:sectPr>
      </w:pPr>
    </w:p>
    <w:bookmarkStart w:id="61" w:name="page62"/>
    <w:bookmarkEnd w:id="61"/>
    <w:p>
      <w:pPr>
        <w:ind w:left="492" w:right="20" w:hanging="492"/>
        <w:spacing w:after="0" w:line="261" w:lineRule="auto"/>
        <w:tabs>
          <w:tab w:leader="none" w:pos="4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ind w:left="492" w:hanging="492"/>
        <w:spacing w:after="0" w:line="260" w:lineRule="auto"/>
        <w:tabs>
          <w:tab w:leader="none" w:pos="4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181"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553" w:right="5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ATERIAN,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By: /s/ Yaniv Sarig</w:t>
            </w:r>
          </w:p>
        </w:tc>
      </w:tr>
      <w:tr>
        <w:trPr>
          <w:trHeight w:val="189"/>
        </w:trPr>
        <w:tc>
          <w:tcPr>
            <w:tcW w:w="3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Yaniv Sarig</w:t>
            </w:r>
          </w:p>
        </w:tc>
      </w:tr>
      <w:tr>
        <w:trPr>
          <w:trHeight w:val="216"/>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36"/>
        </w:trPr>
        <w:tc>
          <w:tcPr>
            <w:tcW w:w="3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By: /s/ Arturo Rodriguez</w:t>
            </w:r>
          </w:p>
        </w:tc>
      </w:tr>
      <w:tr>
        <w:trPr>
          <w:trHeight w:val="189"/>
        </w:trPr>
        <w:tc>
          <w:tcPr>
            <w:tcW w:w="3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16"/>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tc>
      </w:tr>
      <w:tr>
        <w:trPr>
          <w:trHeight w:val="648"/>
        </w:trPr>
        <w:tc>
          <w:tcPr>
            <w:tcW w:w="3500" w:type="dxa"/>
            <w:vAlign w:val="bottom"/>
          </w:tcPr>
          <w:p>
            <w:pPr>
              <w:spacing w:after="0"/>
              <w:rPr>
                <w:sz w:val="24"/>
                <w:szCs w:val="24"/>
                <w:color w:val="auto"/>
              </w:rPr>
            </w:pPr>
          </w:p>
        </w:tc>
        <w:tc>
          <w:tcPr>
            <w:tcW w:w="36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62</w:t>
            </w:r>
          </w:p>
        </w:tc>
        <w:tc>
          <w:tcPr>
            <w:tcW w:w="412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90" w:lineRule="exact"/>
        <w:rPr>
          <w:rFonts w:ascii="Times New Roman" w:cs="Times New Roman" w:eastAsia="Times New Roman" w:hAnsi="Times New Roman"/>
          <w:sz w:val="18"/>
          <w:szCs w:val="18"/>
          <w:color w:val="auto"/>
        </w:rPr>
      </w:pPr>
    </w:p>
    <w:p>
      <w:pPr>
        <w:ind w:left="560" w:right="40" w:hanging="1"/>
        <w:spacing w:after="0" w:line="266"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60" w:right="260" w:hanging="1"/>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jc w:val="both"/>
        <w:ind w:left="560" w:right="200" w:hanging="1"/>
        <w:spacing w:after="0" w:line="266" w:lineRule="auto"/>
        <w:tabs>
          <w:tab w:leader="none" w:pos="7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20" w:right="320" w:hanging="7"/>
        <w:spacing w:after="0" w:line="266"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20" w:right="140" w:hanging="7"/>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1120" w:right="260" w:hanging="7"/>
        <w:spacing w:after="0" w:line="312" w:lineRule="auto"/>
        <w:tabs>
          <w:tab w:leader="none" w:pos="129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20" w:right="100" w:hanging="7"/>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60" w:right="180" w:hanging="1"/>
        <w:spacing w:after="0" w:line="282" w:lineRule="auto"/>
        <w:tabs>
          <w:tab w:leader="none" w:pos="7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20" w:right="480" w:hanging="7"/>
        <w:spacing w:after="0" w:line="282" w:lineRule="auto"/>
        <w:tabs>
          <w:tab w:leader="none" w:pos="1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20" w:right="160" w:hanging="7"/>
        <w:spacing w:after="0" w:line="282"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Yaniv Sarig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77" w:lineRule="exact"/>
        <w:rPr>
          <w:sz w:val="20"/>
          <w:szCs w:val="20"/>
          <w:color w:val="auto"/>
        </w:rPr>
      </w:pPr>
    </w:p>
    <w:p>
      <w:pPr>
        <w:ind w:left="740" w:hanging="181"/>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90" w:lineRule="exact"/>
        <w:rPr>
          <w:rFonts w:ascii="Times New Roman" w:cs="Times New Roman" w:eastAsia="Times New Roman" w:hAnsi="Times New Roman"/>
          <w:sz w:val="18"/>
          <w:szCs w:val="18"/>
          <w:color w:val="auto"/>
        </w:rPr>
      </w:pPr>
    </w:p>
    <w:p>
      <w:pPr>
        <w:ind w:left="560" w:right="40" w:hanging="1"/>
        <w:spacing w:after="0" w:line="266"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60" w:right="260" w:hanging="1"/>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jc w:val="both"/>
        <w:ind w:left="560" w:right="200" w:hanging="1"/>
        <w:spacing w:after="0" w:line="266" w:lineRule="auto"/>
        <w:tabs>
          <w:tab w:leader="none" w:pos="7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20" w:right="320" w:hanging="7"/>
        <w:spacing w:after="0" w:line="266"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20" w:right="140" w:hanging="7"/>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1120" w:right="260" w:hanging="7"/>
        <w:spacing w:after="0" w:line="312" w:lineRule="auto"/>
        <w:tabs>
          <w:tab w:leader="none" w:pos="129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20" w:right="100" w:hanging="7"/>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60" w:right="180" w:hanging="1"/>
        <w:spacing w:after="0" w:line="282" w:lineRule="auto"/>
        <w:tabs>
          <w:tab w:leader="none" w:pos="7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20" w:right="480" w:hanging="7"/>
        <w:spacing w:after="0" w:line="282" w:lineRule="auto"/>
        <w:tabs>
          <w:tab w:leader="none" w:pos="12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20" w:right="160" w:hanging="7"/>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320" w:firstLine="55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Aterian, Inc. (the “Company”) for the period ended March 31, 2022 as filed with the Securities and Exchange Commission on the date hereof (the “Report”), the undersigned hereby certify, pursuant to 18 U.S.C. Section 1350, as adopted pursuant to Section 906 of the Sarbanes-Oxley Act of 2002, to their knowledge that:</w:t>
      </w:r>
    </w:p>
    <w:p>
      <w:pPr>
        <w:spacing w:after="0" w:line="27" w:lineRule="exact"/>
        <w:rPr>
          <w:sz w:val="20"/>
          <w:szCs w:val="20"/>
          <w:color w:val="auto"/>
        </w:rPr>
      </w:pPr>
    </w:p>
    <w:p>
      <w:pPr>
        <w:ind w:left="820" w:hanging="261"/>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560" w:right="760" w:hanging="1"/>
        <w:spacing w:after="0" w:line="282" w:lineRule="auto"/>
        <w:tabs>
          <w:tab w:leader="none" w:pos="8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Yaniv Sarig</w:t>
            </w:r>
          </w:p>
        </w:tc>
        <w:tc>
          <w:tcPr>
            <w:tcW w:w="20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 Arturo Rodriguez</w:t>
            </w:r>
          </w:p>
        </w:tc>
      </w:tr>
      <w:tr>
        <w:trPr>
          <w:trHeight w:val="22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Yaniv Sarig</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r>
      <w:tr>
        <w:trPr>
          <w:trHeight w:val="241"/>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10, 2022</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10, 2022</w:t>
            </w:r>
          </w:p>
        </w:tc>
      </w:tr>
    </w:tbl>
    <w:p>
      <w:pPr>
        <w:spacing w:after="0" w:line="171" w:lineRule="exact"/>
        <w:rPr>
          <w:sz w:val="20"/>
          <w:szCs w:val="20"/>
          <w:color w:val="auto"/>
        </w:rPr>
      </w:pPr>
    </w:p>
    <w:p>
      <w:pPr>
        <w:ind w:right="320" w:firstLine="55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1"/>
    </w:lvl>
    <w:lvl w:ilvl="1">
      <w:lvlJc w:val="left"/>
      <w:lvlText w:val="(%2)"/>
      <w:numFmt w:val="decimal"/>
      <w:start w:val="1"/>
    </w:lvl>
  </w:abstractNum>
  <w:abstractNum w:abstractNumId="8">
    <w:nsid w:val="6763845E"/>
    <w:multiLevelType w:val="hybridMultilevel"/>
    <w:lvl w:ilvl="0">
      <w:lvlJc w:val="left"/>
      <w:lvlText w:val="%1."/>
      <w:numFmt w:val="decimal"/>
      <w:start w:val="5"/>
    </w:lvl>
    <w:lvl w:ilvl="1">
      <w:lvlJc w:val="left"/>
      <w:lvlText w:val="%2"/>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Roman"/>
      <w:start w:val="2"/>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
      <w:numFmt w:val="bullet"/>
      <w:start w:val="1"/>
    </w:lvl>
    <w:lvl w:ilvl="1">
      <w:lvlJc w:val="left"/>
      <w:lvlText w:val="%2"/>
      <w:numFmt w:val="decimal"/>
      <w:start w:val="104"/>
    </w:lvl>
  </w:abstractNum>
  <w:abstractNum w:abstractNumId="31">
    <w:nsid w:val="5577F8E1"/>
    <w:multiLevelType w:val="hybridMultilevel"/>
    <w:lvl w:ilvl="0">
      <w:lvlJc w:val="left"/>
      <w:lvlText w:val="**"/>
      <w:numFmt w:val="bullet"/>
      <w:start w:val="1"/>
    </w:lvl>
    <w:lvl w:ilvl="1">
      <w:lvlJc w:val="left"/>
      <w:lvlText w:val="%2"/>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81" Type="http://schemas.openxmlformats.org/officeDocument/2006/relationships/hyperlink" Target="http://www.sec.gov/Archives/edgar/data/1757715/000119312520307364/d61785dex21.htm" TargetMode="External"/><Relationship Id="rId82" Type="http://schemas.openxmlformats.org/officeDocument/2006/relationships/hyperlink" Target="http://www.sec.gov/Archives/edgar/data/1757715/000119312521026328/d101467dex21.htm" TargetMode="External"/><Relationship Id="rId83" Type="http://schemas.openxmlformats.org/officeDocument/2006/relationships/hyperlink" Target="http://www.sec.gov/Archives/edgar/data/1757715/000119312521156839/d404633dex21.htm" TargetMode="External"/><Relationship Id="rId84" Type="http://schemas.openxmlformats.org/officeDocument/2006/relationships/hyperlink" Target="http://www.sec.gov/Archives/edgar/data/1757715/000119312521156839/d404633dex22.htm" TargetMode="External"/><Relationship Id="rId85" Type="http://schemas.openxmlformats.org/officeDocument/2006/relationships/hyperlink" Target="http://www.sec.gov/Archives/edgar/data/1757715/000119312521142247/d180974dex31.htm" TargetMode="External"/><Relationship Id="rId86" Type="http://schemas.openxmlformats.org/officeDocument/2006/relationships/hyperlink" Target="http://www.sec.gov/Archives/edgar/data/1757715/000119312521142247/d180974dex32.htm" TargetMode="External"/><Relationship Id="rId87" Type="http://schemas.openxmlformats.org/officeDocument/2006/relationships/hyperlink" Target="http://www.sec.gov/Archives/edgar/data/1757715/000119312521142247/d180974dex33.htm" TargetMode="External"/><Relationship Id="rId88" Type="http://schemas.openxmlformats.org/officeDocument/2006/relationships/hyperlink" Target="http://www.sec.gov/Archives/edgar/data/1757715/000119312519173667/d826688dex32.htm" TargetMode="External"/><Relationship Id="rId89" Type="http://schemas.openxmlformats.org/officeDocument/2006/relationships/hyperlink" Target="http://www.sec.gov/Archives/edgar/data/1757715/000119312519157090/d639806dex41.htm" TargetMode="External"/><Relationship Id="rId92" Type="http://schemas.openxmlformats.org/officeDocument/2006/relationships/hyperlink" Target="http://www.sec.gov/Archives/edgar/data/1757715/000119312519144273/d639806dex42.htm" TargetMode="External"/><Relationship Id="rId93" Type="http://schemas.openxmlformats.org/officeDocument/2006/relationships/hyperlink" Target="http://www.sec.gov/Archives/edgar/data/1757715/000119312519144273/d639806dex43.htm" TargetMode="External"/><Relationship Id="rId94" Type="http://schemas.openxmlformats.org/officeDocument/2006/relationships/hyperlink" Target="http://www.sec.gov/Archives/edgar/data/1757715/000119312519144273/d639806dex44.htm" TargetMode="External"/><Relationship Id="rId95" Type="http://schemas.openxmlformats.org/officeDocument/2006/relationships/hyperlink" Target="http://www.sec.gov/Archives/edgar/data/1757715/000119312519144273/d639806dex45.htm" TargetMode="External"/><Relationship Id="rId96" Type="http://schemas.openxmlformats.org/officeDocument/2006/relationships/hyperlink" Target="http://www.sec.gov/Archives/edgar/data/1757715/000119312519144273/d639806dex46.htm" TargetMode="External"/><Relationship Id="rId97" Type="http://schemas.openxmlformats.org/officeDocument/2006/relationships/hyperlink" Target="http://www.sec.gov/Archives/edgar/data/1757715/000156459020052585/mwk-ex47_108.htm" TargetMode="External"/><Relationship Id="rId98" Type="http://schemas.openxmlformats.org/officeDocument/2006/relationships/hyperlink" Target="http://www.sec.gov/Archives/edgar/data/1757715/000119312521367017/d280987dex41.htm" TargetMode="External"/><Relationship Id="rId99" Type="http://schemas.openxmlformats.org/officeDocument/2006/relationships/hyperlink" Target="http://www.sec.gov/Archives/edgar/data/0001757715/000156459022008816/d302157dex41.htm" TargetMode="External"/><Relationship Id="rId100" Type="http://schemas.openxmlformats.org/officeDocument/2006/relationships/hyperlink" Target="http://www.sec.gov/Archives/edgar/data/0001757715/000156459022008816/d302157dex42.htm" TargetMode="External"/><Relationship Id="rId101" Type="http://schemas.openxmlformats.org/officeDocument/2006/relationships/hyperlink" Target="http://www.sec.gov/Archives/edgar/data/0001757715/000156459022008816/exhibits101.htm" TargetMode="External"/><Relationship Id="rId102" Type="http://schemas.openxmlformats.org/officeDocument/2006/relationships/hyperlink" Target="http://www.sec.gov/Archives/edgar/data/0001757715/000156459022008816/d30215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2022-05-10T17:08:43Z</dcterms:created>
  <dcterms:modified xsi:type="dcterms:W3CDTF">2022-05-10T17:08:43Z</dcterms:modified>
</cp:coreProperties>
</file>