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-95885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2019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4" w:lineRule="exact"/>
        <w:rPr>
          <w:sz w:val="24"/>
          <w:szCs w:val="24"/>
          <w:color w:val="auto"/>
        </w:rPr>
      </w:pPr>
    </w:p>
    <w:p>
      <w:pPr>
        <w:ind w:left="460" w:right="440" w:hanging="452"/>
        <w:spacing w:after="0" w:line="237"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001-38937</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Mohawk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jc w:val="center"/>
              <w:ind w:left="1521"/>
              <w:spacing w:after="0"/>
              <w:rPr>
                <w:sz w:val="20"/>
                <w:szCs w:val="20"/>
                <w:color w:val="auto"/>
              </w:rPr>
            </w:pPr>
            <w:r>
              <w:rPr>
                <w:rFonts w:ascii="Arial" w:cs="Arial" w:eastAsia="Arial" w:hAnsi="Arial"/>
                <w:sz w:val="18"/>
                <w:szCs w:val="18"/>
                <w:b w:val="1"/>
                <w:bCs w:val="1"/>
                <w:color w:val="auto"/>
                <w:w w:val="93"/>
              </w:rPr>
              <w:t>Delaware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20" w:type="dxa"/>
            <w:vAlign w:val="bottom"/>
          </w:tcPr>
          <w:p>
            <w:pPr>
              <w:jc w:val="right"/>
              <w:ind w:right="2283"/>
              <w:spacing w:after="0"/>
              <w:rPr>
                <w:sz w:val="20"/>
                <w:szCs w:val="20"/>
                <w:color w:val="auto"/>
              </w:rPr>
            </w:pPr>
            <w:r>
              <w:rPr>
                <w:rFonts w:ascii="Arial" w:cs="Arial" w:eastAsia="Arial" w:hAnsi="Arial"/>
                <w:sz w:val="18"/>
                <w:szCs w:val="18"/>
                <w:b w:val="1"/>
                <w:bCs w:val="1"/>
                <w:color w:val="auto"/>
              </w:rPr>
              <w:t>83-1739858</w:t>
            </w:r>
          </w:p>
        </w:tc>
        <w:tc>
          <w:tcPr>
            <w:tcW w:w="0" w:type="dxa"/>
            <w:vAlign w:val="bottom"/>
          </w:tcPr>
          <w:p>
            <w:pPr>
              <w:spacing w:after="0"/>
              <w:rPr>
                <w:sz w:val="1"/>
                <w:szCs w:val="1"/>
                <w:color w:val="auto"/>
              </w:rPr>
            </w:pPr>
          </w:p>
        </w:tc>
      </w:tr>
      <w:tr>
        <w:trPr>
          <w:trHeight w:val="149"/>
        </w:trPr>
        <w:tc>
          <w:tcPr>
            <w:tcW w:w="40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20" w:type="dxa"/>
            <w:vAlign w:val="bottom"/>
          </w:tcPr>
          <w:p>
            <w:pPr>
              <w:jc w:val="center"/>
              <w:ind w:right="170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020" w:type="dxa"/>
            <w:vAlign w:val="bottom"/>
          </w:tcPr>
          <w:p>
            <w:pPr>
              <w:jc w:val="center"/>
              <w:ind w:left="1521"/>
              <w:spacing w:after="0"/>
              <w:rPr>
                <w:sz w:val="20"/>
                <w:szCs w:val="20"/>
                <w:color w:val="auto"/>
              </w:rPr>
            </w:pPr>
            <w:r>
              <w:rPr>
                <w:rFonts w:ascii="Arial" w:cs="Arial" w:eastAsia="Arial" w:hAnsi="Arial"/>
                <w:sz w:val="14"/>
                <w:szCs w:val="14"/>
                <w:b w:val="1"/>
                <w:bCs w:val="1"/>
                <w:color w:val="auto"/>
                <w:w w:val="93"/>
              </w:rPr>
              <w:t>incorporation or organization)</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20" w:type="dxa"/>
            <w:vAlign w:val="bottom"/>
          </w:tcPr>
          <w:p>
            <w:pPr>
              <w:jc w:val="center"/>
              <w:ind w:right="1683"/>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99"/>
        </w:trPr>
        <w:tc>
          <w:tcPr>
            <w:tcW w:w="4020" w:type="dxa"/>
            <w:vAlign w:val="bottom"/>
          </w:tcPr>
          <w:p>
            <w:pPr>
              <w:jc w:val="center"/>
              <w:ind w:left="1521"/>
              <w:spacing w:after="0"/>
              <w:rPr>
                <w:sz w:val="20"/>
                <w:szCs w:val="20"/>
                <w:color w:val="auto"/>
              </w:rPr>
            </w:pPr>
            <w:r>
              <w:rPr>
                <w:rFonts w:ascii="Arial" w:cs="Arial" w:eastAsia="Arial" w:hAnsi="Arial"/>
                <w:sz w:val="18"/>
                <w:szCs w:val="18"/>
                <w:b w:val="1"/>
                <w:bCs w:val="1"/>
                <w:color w:val="auto"/>
                <w:w w:val="91"/>
              </w:rPr>
              <w:t>37 East 18th Street, 7th Floor</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tcPr>
          <w:p>
            <w:pPr>
              <w:jc w:val="center"/>
              <w:ind w:left="1521"/>
              <w:spacing w:after="0"/>
              <w:rPr>
                <w:sz w:val="20"/>
                <w:szCs w:val="20"/>
                <w:color w:val="auto"/>
              </w:rPr>
            </w:pPr>
            <w:r>
              <w:rPr>
                <w:rFonts w:ascii="Arial" w:cs="Arial" w:eastAsia="Arial" w:hAnsi="Arial"/>
                <w:sz w:val="18"/>
                <w:szCs w:val="18"/>
                <w:b w:val="1"/>
                <w:bCs w:val="1"/>
                <w:color w:val="auto"/>
                <w:w w:val="93"/>
              </w:rPr>
              <w:t>New York, NY</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20" w:type="dxa"/>
            <w:vAlign w:val="bottom"/>
          </w:tcPr>
          <w:p>
            <w:pPr>
              <w:jc w:val="right"/>
              <w:ind w:right="2503"/>
              <w:spacing w:after="0"/>
              <w:rPr>
                <w:sz w:val="20"/>
                <w:szCs w:val="20"/>
                <w:color w:val="auto"/>
              </w:rPr>
            </w:pPr>
            <w:r>
              <w:rPr>
                <w:rFonts w:ascii="Arial" w:cs="Arial" w:eastAsia="Arial" w:hAnsi="Arial"/>
                <w:sz w:val="18"/>
                <w:szCs w:val="18"/>
                <w:b w:val="1"/>
                <w:bCs w:val="1"/>
                <w:color w:val="auto"/>
              </w:rPr>
              <w:t>10003</w:t>
            </w:r>
          </w:p>
        </w:tc>
        <w:tc>
          <w:tcPr>
            <w:tcW w:w="0" w:type="dxa"/>
            <w:vAlign w:val="bottom"/>
          </w:tcPr>
          <w:p>
            <w:pPr>
              <w:spacing w:after="0"/>
              <w:rPr>
                <w:sz w:val="1"/>
                <w:szCs w:val="1"/>
                <w:color w:val="auto"/>
              </w:rPr>
            </w:pPr>
          </w:p>
        </w:tc>
      </w:tr>
      <w:tr>
        <w:trPr>
          <w:trHeight w:val="164"/>
        </w:trPr>
        <w:tc>
          <w:tcPr>
            <w:tcW w:w="4020" w:type="dxa"/>
            <w:vAlign w:val="bottom"/>
          </w:tcPr>
          <w:p>
            <w:pPr>
              <w:jc w:val="center"/>
              <w:ind w:left="1521"/>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20" w:type="dxa"/>
            <w:vAlign w:val="bottom"/>
          </w:tcPr>
          <w:p>
            <w:pPr>
              <w:jc w:val="center"/>
              <w:ind w:right="168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36"/>
        </w:trPr>
        <w:tc>
          <w:tcPr>
            <w:tcW w:w="4020" w:type="dxa"/>
            <w:vAlign w:val="bottom"/>
          </w:tcPr>
          <w:p>
            <w:pPr>
              <w:spacing w:after="0"/>
              <w:rPr>
                <w:sz w:val="20"/>
                <w:szCs w:val="20"/>
                <w:color w:val="auto"/>
              </w:rPr>
            </w:pPr>
          </w:p>
        </w:tc>
        <w:tc>
          <w:tcPr>
            <w:tcW w:w="2840" w:type="dxa"/>
            <w:vAlign w:val="bottom"/>
            <w:gridSpan w:val="4"/>
          </w:tcPr>
          <w:p>
            <w:pPr>
              <w:jc w:val="center"/>
              <w:ind w:left="468"/>
              <w:spacing w:after="0"/>
              <w:rPr>
                <w:sz w:val="20"/>
                <w:szCs w:val="20"/>
                <w:color w:val="auto"/>
              </w:rPr>
            </w:pPr>
            <w:r>
              <w:rPr>
                <w:rFonts w:ascii="Arial" w:cs="Arial" w:eastAsia="Arial" w:hAnsi="Arial"/>
                <w:sz w:val="14"/>
                <w:szCs w:val="14"/>
                <w:b w:val="1"/>
                <w:bCs w:val="1"/>
                <w:color w:val="auto"/>
                <w:w w:val="93"/>
              </w:rPr>
              <w:t>(347) 676-1681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35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46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600" w:type="dxa"/>
            <w:vAlign w:val="bottom"/>
            <w:gridSpan w:val="7"/>
          </w:tcPr>
          <w:p>
            <w:pPr>
              <w:ind w:left="620"/>
              <w:spacing w:after="0"/>
              <w:rPr>
                <w:sz w:val="20"/>
                <w:szCs w:val="20"/>
                <w:color w:val="auto"/>
              </w:rPr>
            </w:pPr>
            <w:r>
              <w:rPr>
                <w:rFonts w:ascii="Arial" w:cs="Arial" w:eastAsia="Arial" w:hAnsi="Arial"/>
                <w:sz w:val="16"/>
                <w:szCs w:val="16"/>
                <w:color w:val="auto"/>
              </w:rPr>
              <w:t>Securities registered pursuant to Section 12(b) of the Act:</w:t>
            </w: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020" w:type="dxa"/>
            <w:vAlign w:val="bottom"/>
            <w:vMerge w:val="restart"/>
          </w:tcPr>
          <w:p>
            <w:pPr>
              <w:jc w:val="center"/>
              <w:ind w:left="381"/>
              <w:spacing w:after="0"/>
              <w:rPr>
                <w:sz w:val="20"/>
                <w:szCs w:val="20"/>
                <w:color w:val="auto"/>
              </w:rPr>
            </w:pPr>
            <w:r>
              <w:rPr>
                <w:rFonts w:ascii="Arial" w:cs="Arial" w:eastAsia="Arial" w:hAnsi="Arial"/>
                <w:sz w:val="14"/>
                <w:szCs w:val="14"/>
                <w:b w:val="1"/>
                <w:bCs w:val="1"/>
                <w:color w:val="auto"/>
                <w:w w:val="89"/>
              </w:rPr>
              <w:t>Title of each class</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7"/>
              </w:rPr>
              <w:t>Trading</w:t>
            </w:r>
          </w:p>
        </w:tc>
        <w:tc>
          <w:tcPr>
            <w:tcW w:w="3820" w:type="dxa"/>
            <w:vAlign w:val="bottom"/>
            <w:vMerge w:val="restart"/>
          </w:tcPr>
          <w:p>
            <w:pPr>
              <w:jc w:val="center"/>
              <w:ind w:right="543"/>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0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Symbol(s)</w:t>
            </w:r>
          </w:p>
        </w:tc>
        <w:tc>
          <w:tcPr>
            <w:tcW w:w="3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20" w:type="dxa"/>
            <w:vAlign w:val="bottom"/>
            <w:tcBorders>
              <w:top w:val="single" w:sz="8" w:color="auto"/>
            </w:tcBorders>
          </w:tcPr>
          <w:p>
            <w:pPr>
              <w:jc w:val="center"/>
              <w:ind w:left="381"/>
              <w:spacing w:after="0"/>
              <w:rPr>
                <w:sz w:val="20"/>
                <w:szCs w:val="20"/>
                <w:color w:val="auto"/>
              </w:rPr>
            </w:pPr>
            <w:r>
              <w:rPr>
                <w:rFonts w:ascii="Arial" w:cs="Arial" w:eastAsia="Arial" w:hAnsi="Arial"/>
                <w:sz w:val="16"/>
                <w:szCs w:val="16"/>
                <w:color w:val="auto"/>
                <w:w w:val="90"/>
              </w:rPr>
              <w:t>Common Stock, $0.0001 par value per share</w:t>
            </w: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MWK</w:t>
            </w: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jc w:val="center"/>
              <w:ind w:right="543"/>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1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6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2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24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3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5, 2019, the registrant had 17,710,659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574675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40" w:type="dxa"/>
            <w:vAlign w:val="bottom"/>
            <w:gridSpan w:val="5"/>
          </w:tcPr>
          <w:p>
            <w:pPr>
              <w:ind w:left="1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7100" w:type="dxa"/>
            <w:vAlign w:val="bottom"/>
            <w:gridSpan w:val="10"/>
            <w:vMerge w:val="restart"/>
          </w:tcPr>
          <w:p>
            <w:pPr>
              <w:spacing w:after="0"/>
              <w:rPr>
                <w:sz w:val="24"/>
                <w:szCs w:val="24"/>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6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100" w:type="dxa"/>
            <w:vAlign w:val="bottom"/>
            <w:gridSpan w:val="10"/>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94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42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70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w:t>
              </w:r>
            </w:hyperlink>
          </w:p>
        </w:tc>
        <w:tc>
          <w:tcPr>
            <w:tcW w:w="660" w:type="dxa"/>
            <w:vAlign w:val="bottom"/>
            <w:tcBorders>
              <w:top w:val="single" w:sz="8" w:color="0000EE"/>
            </w:tcBorders>
            <w:gridSpan w:val="2"/>
          </w:tcPr>
          <w:p>
            <w:pPr>
              <w:spacing w:after="0"/>
              <w:rPr>
                <w:sz w:val="18"/>
                <w:szCs w:val="18"/>
                <w:color w:val="auto"/>
              </w:rPr>
            </w:pPr>
          </w:p>
        </w:tc>
        <w:tc>
          <w:tcPr>
            <w:tcW w:w="498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6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498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Controls and Procedures</w:t>
              </w:r>
            </w:hyperlink>
          </w:p>
        </w:tc>
        <w:tc>
          <w:tcPr>
            <w:tcW w:w="7580" w:type="dxa"/>
            <w:vAlign w:val="bottom"/>
            <w:gridSpan w:val="1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6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480" w:type="dxa"/>
            <w:vAlign w:val="bottom"/>
            <w:gridSpan w:val="11"/>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6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Defaults Upon Senior Securities</w:t>
              </w:r>
            </w:hyperlink>
          </w:p>
        </w:tc>
        <w:tc>
          <w:tcPr>
            <w:tcW w:w="502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704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8"/>
                <w:szCs w:val="18"/>
                <w:color w:val="auto"/>
              </w:rPr>
            </w:pPr>
          </w:p>
        </w:tc>
        <w:tc>
          <w:tcPr>
            <w:tcW w:w="760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1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7" w:lineRule="exact"/>
        <w:rPr>
          <w:sz w:val="20"/>
          <w:szCs w:val="20"/>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costs of goods sold and operating expenses;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grow profitability;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to meet our liquidity needs and to execute our growth strategies;</w:t>
      </w:r>
    </w:p>
    <w:p>
      <w:pPr>
        <w:spacing w:after="0" w:line="113" w:lineRule="exact"/>
        <w:rPr>
          <w:rFonts w:ascii="Arial" w:cs="Arial" w:eastAsia="Arial" w:hAnsi="Arial"/>
          <w:sz w:val="18"/>
          <w:szCs w:val="18"/>
          <w:color w:val="auto"/>
        </w:rPr>
      </w:pPr>
    </w:p>
    <w:p>
      <w:pPr>
        <w:ind w:left="900" w:hanging="379"/>
        <w:spacing w:after="0" w:line="282"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technology platform, including our AIMEE (</w:t>
      </w:r>
      <w:r>
        <w:rPr>
          <w:rFonts w:ascii="Arial" w:cs="Arial" w:eastAsia="Arial" w:hAnsi="Arial"/>
          <w:sz w:val="18"/>
          <w:szCs w:val="18"/>
          <w:b w:val="1"/>
          <w:bCs w:val="1"/>
          <w:color w:val="auto"/>
        </w:rPr>
        <w:t>A</w:t>
      </w:r>
      <w:r>
        <w:rPr>
          <w:rFonts w:ascii="Arial" w:cs="Arial" w:eastAsia="Arial" w:hAnsi="Arial"/>
          <w:sz w:val="18"/>
          <w:szCs w:val="18"/>
          <w:color w:val="auto"/>
        </w:rPr>
        <w:t xml:space="preserve">rtificial </w:t>
      </w:r>
      <w:r>
        <w:rPr>
          <w:rFonts w:ascii="Arial" w:cs="Arial" w:eastAsia="Arial" w:hAnsi="Arial"/>
          <w:sz w:val="18"/>
          <w:szCs w:val="18"/>
          <w:b w:val="1"/>
          <w:bCs w:val="1"/>
          <w:color w:val="auto"/>
        </w:rPr>
        <w:t>I</w:t>
      </w:r>
      <w:r>
        <w:rPr>
          <w:rFonts w:ascii="Arial" w:cs="Arial" w:eastAsia="Arial" w:hAnsi="Arial"/>
          <w:sz w:val="18"/>
          <w:szCs w:val="18"/>
          <w:color w:val="auto"/>
        </w:rPr>
        <w:t xml:space="preserve">ntelligence </w:t>
      </w:r>
      <w:r>
        <w:rPr>
          <w:rFonts w:ascii="Arial" w:cs="Arial" w:eastAsia="Arial" w:hAnsi="Arial"/>
          <w:sz w:val="18"/>
          <w:szCs w:val="18"/>
          <w:b w:val="1"/>
          <w:bCs w:val="1"/>
          <w:color w:val="auto"/>
        </w:rPr>
        <w:t>M</w:t>
      </w:r>
      <w:r>
        <w:rPr>
          <w:rFonts w:ascii="Arial" w:cs="Arial" w:eastAsia="Arial" w:hAnsi="Arial"/>
          <w:sz w:val="18"/>
          <w:szCs w:val="18"/>
          <w:color w:val="auto"/>
        </w:rPr>
        <w:t xml:space="preserve">ohawk </w:t>
      </w:r>
      <w:r>
        <w:rPr>
          <w:rFonts w:ascii="Arial" w:cs="Arial" w:eastAsia="Arial" w:hAnsi="Arial"/>
          <w:sz w:val="18"/>
          <w:szCs w:val="18"/>
          <w:b w:val="1"/>
          <w:bCs w:val="1"/>
          <w:color w:val="auto"/>
        </w:rPr>
        <w:t>e</w:t>
      </w:r>
      <w:r>
        <w:rPr>
          <w:rFonts w:ascii="Arial" w:cs="Arial" w:eastAsia="Arial" w:hAnsi="Arial"/>
          <w:sz w:val="18"/>
          <w:szCs w:val="18"/>
          <w:color w:val="auto"/>
        </w:rPr>
        <w:t xml:space="preserve">-Commerce </w:t>
      </w:r>
      <w:r>
        <w:rPr>
          <w:rFonts w:ascii="Arial" w:cs="Arial" w:eastAsia="Arial" w:hAnsi="Arial"/>
          <w:sz w:val="18"/>
          <w:szCs w:val="18"/>
          <w:b w:val="1"/>
          <w:bCs w:val="1"/>
          <w:color w:val="auto"/>
        </w:rPr>
        <w:t>E</w:t>
      </w:r>
      <w:r>
        <w:rPr>
          <w:rFonts w:ascii="Arial" w:cs="Arial" w:eastAsia="Arial" w:hAnsi="Arial"/>
          <w:sz w:val="18"/>
          <w:szCs w:val="18"/>
          <w:color w:val="auto"/>
        </w:rPr>
        <w:t>ngine) software platform;</w:t>
      </w:r>
    </w:p>
    <w:p>
      <w:pPr>
        <w:spacing w:after="0" w:line="5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launch new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complete merger and acquisition transactions;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internationally;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future expenses;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total addressable market;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including our AIMEE software platform;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modified or new laws and regulations applying to our business;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and obligations associated with being a public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the forward-looking statements made in this Quarterly Report on Form 10-Q.</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described in the forward-looking statements.</w:t>
      </w:r>
    </w:p>
    <w:p>
      <w:pPr>
        <w:spacing w:after="0" w:line="1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December 31, 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2019</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20,029</w:t>
            </w:r>
          </w:p>
        </w:tc>
        <w:tc>
          <w:tcPr>
            <w:tcW w:w="3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INTANGIBLES—net</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58,007</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14,451</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TERM LOANS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52,638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11,534,190 shares outstanding at December 31, 2018; 500,000,000 shares authorized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17,710,659 shares outstanding at September 30, 2019</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76,348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(71,020)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(98,351)</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(INCOME)—net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(23,230)</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(23,233)</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15,134,422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9,687,078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12,971,641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(11,304)</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(23,176)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jc w:val="right"/>
              <w:ind w:right="21"/>
              <w:spacing w:after="0"/>
              <w:rPr>
                <w:sz w:val="20"/>
                <w:szCs w:val="20"/>
                <w:color w:val="auto"/>
              </w:rPr>
            </w:pPr>
            <w:r>
              <w:rPr>
                <w:rFonts w:ascii="Arial" w:cs="Arial" w:eastAsia="Arial" w:hAnsi="Arial"/>
                <w:sz w:val="14"/>
                <w:szCs w:val="14"/>
                <w:b w:val="1"/>
                <w:bCs w:val="1"/>
                <w:color w:val="auto"/>
              </w:rPr>
              <w:t>Three Months Ended September 30, 2018</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7"/>
            <w:vMerge w:val="restart"/>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110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BALANCE—July 1, 2018</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10,117,017</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68,741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(57,303</w:t>
            </w:r>
          </w:p>
        </w:tc>
        <w:tc>
          <w:tcPr>
            <w:tcW w:w="200" w:type="dxa"/>
            <w:vAlign w:val="bottom"/>
            <w:tcBorders>
              <w:top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5,992,750 shares of series C preferred</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in April 2018 which converted at 0.2564</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 share into 1,536,602 shares of common</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as part of the Merger (see Note 1)</w:t>
            </w:r>
          </w:p>
        </w:tc>
        <w:tc>
          <w:tcPr>
            <w:tcW w:w="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60"/>
              <w:spacing w:after="0"/>
              <w:rPr>
                <w:sz w:val="20"/>
                <w:szCs w:val="20"/>
                <w:color w:val="auto"/>
              </w:rPr>
            </w:pPr>
            <w:r>
              <w:rPr>
                <w:rFonts w:ascii="Arial" w:cs="Arial" w:eastAsia="Arial" w:hAnsi="Arial"/>
                <w:sz w:val="18"/>
                <w:szCs w:val="18"/>
                <w:color w:val="auto"/>
              </w:rPr>
              <w:t>Issuance of 1,915,916 shares of series C-1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preferred stock in September 2018 which</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converted at 0.2564 per share into 491,260</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shares of common stock as part of the Merger</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(see Note 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491,260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as part of the Merger</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(see Note 1)</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897,435</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60"/>
              <w:spacing w:after="0"/>
              <w:rPr>
                <w:sz w:val="20"/>
                <w:szCs w:val="20"/>
                <w:color w:val="auto"/>
              </w:rPr>
            </w:pPr>
            <w:r>
              <w:rPr>
                <w:rFonts w:ascii="Arial" w:cs="Arial" w:eastAsia="Arial" w:hAnsi="Arial"/>
                <w:sz w:val="18"/>
                <w:szCs w:val="18"/>
                <w:color w:val="auto"/>
              </w:rPr>
              <w:t>Issuance of common stock to holders of series B</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preferred stock for anti-dilution rights as part of</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the Merger (see Note 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28,478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BALANCE—September 30, 2018</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11,534,190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(62,430</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2"/>
          </w:tcPr>
          <w:p>
            <w:pPr>
              <w:jc w:val="right"/>
              <w:ind w:right="21"/>
              <w:spacing w:after="0"/>
              <w:rPr>
                <w:sz w:val="20"/>
                <w:szCs w:val="20"/>
                <w:color w:val="auto"/>
              </w:rPr>
            </w:pPr>
            <w:r>
              <w:rPr>
                <w:rFonts w:ascii="Arial" w:cs="Arial" w:eastAsia="Arial" w:hAnsi="Arial"/>
                <w:sz w:val="14"/>
                <w:szCs w:val="14"/>
                <w:b w:val="1"/>
                <w:bCs w:val="1"/>
                <w:color w:val="auto"/>
              </w:rPr>
              <w:t>Three Months Ended September 30, 2019</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bottom w:val="single" w:sz="8" w:color="auto"/>
            </w:tcBorders>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110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BALANCE—July 1, 2019</w:t>
            </w: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17,625,241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110,094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(87,034</w:t>
            </w:r>
          </w:p>
        </w:tc>
        <w:tc>
          <w:tcPr>
            <w:tcW w:w="200" w:type="dxa"/>
            <w:vAlign w:val="bottom"/>
            <w:tcBorders>
              <w:top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costs from Initial Public Offering</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60"/>
              <w:spacing w:after="0"/>
              <w:rPr>
                <w:sz w:val="20"/>
                <w:szCs w:val="20"/>
                <w:color w:val="auto"/>
              </w:rPr>
            </w:pPr>
            <w:r>
              <w:rPr>
                <w:rFonts w:ascii="Arial" w:cs="Arial" w:eastAsia="Arial" w:hAnsi="Arial"/>
                <w:sz w:val="18"/>
                <w:szCs w:val="18"/>
                <w:color w:val="auto"/>
              </w:rPr>
              <w:t>Issuance of 84,975 share of restricted common</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stock in August 2019 (see Note 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84,975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BALANCE—September 30, 2019</w:t>
            </w:r>
          </w:p>
        </w:tc>
        <w:tc>
          <w:tcPr>
            <w:tcW w:w="2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17,710,659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(98,351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61"/>
              <w:spacing w:after="0"/>
              <w:rPr>
                <w:sz w:val="20"/>
                <w:szCs w:val="20"/>
                <w:color w:val="auto"/>
              </w:rPr>
            </w:pPr>
            <w:r>
              <w:rPr>
                <w:rFonts w:ascii="Arial" w:cs="Arial" w:eastAsia="Arial" w:hAnsi="Arial"/>
                <w:sz w:val="14"/>
                <w:szCs w:val="14"/>
                <w:b w:val="1"/>
                <w:bCs w:val="1"/>
                <w:color w:val="auto"/>
                <w:w w:val="92"/>
              </w:rPr>
              <w:t>Nine Months Ended September 30, 2018</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020" w:type="dxa"/>
            <w:vAlign w:val="bottom"/>
            <w:gridSpan w:val="4"/>
            <w:vMerge w:val="restart"/>
          </w:tcPr>
          <w:p>
            <w:pPr>
              <w:jc w:val="right"/>
              <w:ind w:right="4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1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74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54"/>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110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8,575,950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(39,197</w:t>
            </w:r>
          </w:p>
        </w:tc>
        <w:tc>
          <w:tcPr>
            <w:tcW w:w="200" w:type="dxa"/>
            <w:vAlign w:val="bottom"/>
            <w:tcBorders>
              <w:top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5,992,750 shares of series C preferred</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in April 2018 which converted at 0.2564</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 share into 1,536,602 shares of common</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as part of the Merger (see Note 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1,536,602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60"/>
              <w:spacing w:after="0"/>
              <w:rPr>
                <w:sz w:val="20"/>
                <w:szCs w:val="20"/>
                <w:color w:val="auto"/>
              </w:rPr>
            </w:pPr>
            <w:r>
              <w:rPr>
                <w:rFonts w:ascii="Arial" w:cs="Arial" w:eastAsia="Arial" w:hAnsi="Arial"/>
                <w:sz w:val="18"/>
                <w:szCs w:val="18"/>
                <w:color w:val="auto"/>
              </w:rPr>
              <w:t>Issuance of 1,915,916 shares of series C-1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preferred stock in September 2018 which</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converted at 0.2564 per share into 491,260</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shares of common stock as part of the Merger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(see Note 1)</w:t>
            </w:r>
          </w:p>
        </w:tc>
        <w:tc>
          <w:tcPr>
            <w:tcW w:w="940" w:type="dxa"/>
            <w:vAlign w:val="bottom"/>
          </w:tcPr>
          <w:p>
            <w:pPr>
              <w:jc w:val="right"/>
              <w:spacing w:after="0"/>
              <w:rPr>
                <w:sz w:val="20"/>
                <w:szCs w:val="20"/>
                <w:color w:val="auto"/>
              </w:rPr>
            </w:pPr>
            <w:r>
              <w:rPr>
                <w:rFonts w:ascii="Arial" w:cs="Arial" w:eastAsia="Arial" w:hAnsi="Arial"/>
                <w:sz w:val="18"/>
                <w:szCs w:val="18"/>
                <w:color w:val="auto"/>
              </w:rPr>
              <w:t>491,260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as part of the Merger</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(see Note 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897,435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60"/>
              <w:spacing w:after="0"/>
              <w:rPr>
                <w:sz w:val="20"/>
                <w:szCs w:val="20"/>
                <w:color w:val="auto"/>
              </w:rPr>
            </w:pPr>
            <w:r>
              <w:rPr>
                <w:rFonts w:ascii="Arial" w:cs="Arial" w:eastAsia="Arial" w:hAnsi="Arial"/>
                <w:sz w:val="18"/>
                <w:szCs w:val="18"/>
                <w:color w:val="auto"/>
              </w:rPr>
              <w:t>Issuance of common stock to holders of series B</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preferred stock for anti-dilution rights as part of</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the Merger (see Note 1)</w:t>
            </w:r>
          </w:p>
        </w:tc>
        <w:tc>
          <w:tcPr>
            <w:tcW w:w="940" w:type="dxa"/>
            <w:vAlign w:val="bottom"/>
          </w:tcPr>
          <w:p>
            <w:pPr>
              <w:jc w:val="right"/>
              <w:spacing w:after="0"/>
              <w:rPr>
                <w:sz w:val="20"/>
                <w:szCs w:val="20"/>
                <w:color w:val="auto"/>
              </w:rPr>
            </w:pPr>
            <w:r>
              <w:rPr>
                <w:rFonts w:ascii="Arial" w:cs="Arial" w:eastAsia="Arial" w:hAnsi="Arial"/>
                <w:sz w:val="18"/>
                <w:szCs w:val="18"/>
                <w:color w:val="auto"/>
              </w:rPr>
              <w:t>28,478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4,465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BALANCE—September 30,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11,534,190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75,282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(62,430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61"/>
              <w:spacing w:after="0"/>
              <w:rPr>
                <w:sz w:val="20"/>
                <w:szCs w:val="20"/>
                <w:color w:val="auto"/>
              </w:rPr>
            </w:pPr>
            <w:r>
              <w:rPr>
                <w:rFonts w:ascii="Arial" w:cs="Arial" w:eastAsia="Arial" w:hAnsi="Arial"/>
                <w:sz w:val="14"/>
                <w:szCs w:val="14"/>
                <w:b w:val="1"/>
                <w:bCs w:val="1"/>
                <w:color w:val="auto"/>
                <w:w w:val="92"/>
              </w:rPr>
              <w:t>Nine Months Ended September 30, 2019</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020" w:type="dxa"/>
            <w:vAlign w:val="bottom"/>
            <w:gridSpan w:val="4"/>
            <w:vMerge w:val="restart"/>
          </w:tcPr>
          <w:p>
            <w:pPr>
              <w:jc w:val="right"/>
              <w:ind w:right="45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1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74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54"/>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Deficit</w:t>
            </w:r>
          </w:p>
        </w:tc>
        <w:tc>
          <w:tcPr>
            <w:tcW w:w="110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2"/>
              </w:rPr>
              <w:t>Income/(Loss)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11,534,190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76,348</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(71,020</w:t>
            </w:r>
          </w:p>
        </w:tc>
        <w:tc>
          <w:tcPr>
            <w:tcW w:w="200" w:type="dxa"/>
            <w:vAlign w:val="bottom"/>
            <w:tcBorders>
              <w:top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2,406,618 shares of restricted common</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on March 20, 2019 (see Note 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2,406,618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60"/>
              <w:spacing w:after="0"/>
              <w:rPr>
                <w:sz w:val="20"/>
                <w:szCs w:val="20"/>
                <w:color w:val="auto"/>
              </w:rPr>
            </w:pPr>
            <w:r>
              <w:rPr>
                <w:rFonts w:ascii="Arial" w:cs="Arial" w:eastAsia="Arial" w:hAnsi="Arial"/>
                <w:sz w:val="18"/>
                <w:szCs w:val="18"/>
                <w:color w:val="auto"/>
              </w:rPr>
              <w:t>Issuance of 88,548 shares of restricted common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80"/>
              <w:spacing w:after="0"/>
              <w:rPr>
                <w:sz w:val="20"/>
                <w:szCs w:val="20"/>
                <w:color w:val="auto"/>
              </w:rPr>
            </w:pPr>
            <w:r>
              <w:rPr>
                <w:rFonts w:ascii="Arial" w:cs="Arial" w:eastAsia="Arial" w:hAnsi="Arial"/>
                <w:sz w:val="18"/>
                <w:szCs w:val="18"/>
                <w:color w:val="auto"/>
              </w:rPr>
              <w:t>stock on May 17, 2019 and forfeiture of 69,141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shares of restricted common stock (see Note 7)</w:t>
            </w:r>
          </w:p>
        </w:tc>
        <w:tc>
          <w:tcPr>
            <w:tcW w:w="940" w:type="dxa"/>
            <w:vAlign w:val="bottom"/>
          </w:tcPr>
          <w:p>
            <w:pPr>
              <w:jc w:val="right"/>
              <w:spacing w:after="0"/>
              <w:rPr>
                <w:sz w:val="20"/>
                <w:szCs w:val="20"/>
                <w:color w:val="auto"/>
              </w:rPr>
            </w:pPr>
            <w:r>
              <w:rPr>
                <w:rFonts w:ascii="Arial" w:cs="Arial" w:eastAsia="Arial" w:hAnsi="Arial"/>
                <w:sz w:val="18"/>
                <w:szCs w:val="18"/>
                <w:color w:val="auto"/>
              </w:rPr>
              <w:t>19,407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64,982 shares of restricted common</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on June 12, 2019 (see Note 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tcPr>
          <w:p>
            <w:pPr>
              <w:ind w:left="260"/>
              <w:spacing w:after="0"/>
              <w:rPr>
                <w:sz w:val="20"/>
                <w:szCs w:val="20"/>
                <w:color w:val="auto"/>
              </w:rPr>
            </w:pPr>
            <w:r>
              <w:rPr>
                <w:rFonts w:ascii="Arial" w:cs="Arial" w:eastAsia="Arial" w:hAnsi="Arial"/>
                <w:sz w:val="18"/>
                <w:szCs w:val="18"/>
                <w:color w:val="auto"/>
              </w:rPr>
              <w:t>Issuance of 3,600,000 shares of common stock</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on June 14, 2019 (see Note 1)</w:t>
            </w:r>
          </w:p>
        </w:tc>
        <w:tc>
          <w:tcPr>
            <w:tcW w:w="940" w:type="dxa"/>
            <w:vAlign w:val="bottom"/>
          </w:tcPr>
          <w:p>
            <w:pPr>
              <w:jc w:val="right"/>
              <w:spacing w:after="0"/>
              <w:rPr>
                <w:sz w:val="20"/>
                <w:szCs w:val="20"/>
                <w:color w:val="auto"/>
              </w:rPr>
            </w:pPr>
            <w:r>
              <w:rPr>
                <w:rFonts w:ascii="Arial" w:cs="Arial" w:eastAsia="Arial" w:hAnsi="Arial"/>
                <w:sz w:val="18"/>
                <w:szCs w:val="18"/>
                <w:color w:val="auto"/>
              </w:rPr>
              <w:t>3,600,000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29,606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84,975 share of restricted common</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in August 2019 (see Note 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BALANCE—September 30,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17,710,659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117,791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(98,351</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5"/>
              </w:rPr>
              <w:t>Nine Months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ind w:left="62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OPERATING ACTIVITIES:</w:t>
            </w:r>
          </w:p>
        </w:tc>
        <w:tc>
          <w:tcPr>
            <w:tcW w:w="128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5"/>
                <w:szCs w:val="15"/>
                <w:color w:val="auto"/>
              </w:rPr>
              <w:t>Net loss</w:t>
            </w:r>
          </w:p>
        </w:tc>
        <w:tc>
          <w:tcPr>
            <w:tcW w:w="2280" w:type="dxa"/>
            <w:vAlign w:val="bottom"/>
            <w:gridSpan w:val="2"/>
          </w:tcPr>
          <w:p>
            <w:pPr>
              <w:jc w:val="right"/>
              <w:ind w:right="848"/>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(23,233)</w:t>
            </w:r>
          </w:p>
        </w:tc>
        <w:tc>
          <w:tcPr>
            <w:tcW w:w="112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(27,331)</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Provision for sales returns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Amortization of deferred financing costs and debt discounts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337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Other</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assets and liabilities: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(1,784)</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Inventory</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(515)</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500"/>
              <w:spacing w:after="0"/>
              <w:rPr>
                <w:sz w:val="20"/>
                <w:szCs w:val="20"/>
                <w:color w:val="auto"/>
              </w:rPr>
            </w:pPr>
            <w:r>
              <w:rPr>
                <w:rFonts w:ascii="Arial" w:cs="Arial" w:eastAsia="Arial" w:hAnsi="Arial"/>
                <w:sz w:val="15"/>
                <w:szCs w:val="15"/>
                <w:color w:val="auto"/>
              </w:rPr>
              <w:t>Prepaid and other current assets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(2,757)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(2,307)</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 accrued and other liabilities</w:t>
            </w:r>
          </w:p>
        </w:tc>
        <w:tc>
          <w:tcPr>
            <w:tcW w:w="128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5,731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740"/>
              <w:spacing w:after="0" w:line="169" w:lineRule="exact"/>
              <w:rPr>
                <w:sz w:val="20"/>
                <w:szCs w:val="20"/>
                <w:color w:val="auto"/>
              </w:rPr>
            </w:pPr>
            <w:r>
              <w:rPr>
                <w:rFonts w:ascii="Arial" w:cs="Arial" w:eastAsia="Arial" w:hAnsi="Arial"/>
                <w:sz w:val="15"/>
                <w:szCs w:val="15"/>
                <w:color w:val="auto"/>
              </w:rPr>
              <w:t>Cash used in operating activities</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(19,529)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(13,146)</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color w:val="auto"/>
              </w:rPr>
              <w:t>INVESTING ACTIVITIES: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Purchase of fixed assets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 of Aussie Health Co. assets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(1,105)</w:t>
            </w:r>
          </w:p>
        </w:tc>
        <w:tc>
          <w:tcPr>
            <w:tcW w:w="0" w:type="dxa"/>
            <w:vAlign w:val="bottom"/>
          </w:tcPr>
          <w:p>
            <w:pPr>
              <w:spacing w:after="0"/>
              <w:rPr>
                <w:sz w:val="1"/>
                <w:szCs w:val="1"/>
                <w:color w:val="auto"/>
              </w:rPr>
            </w:pPr>
          </w:p>
        </w:tc>
      </w:tr>
      <w:tr>
        <w:trPr>
          <w:trHeight w:val="176"/>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Proceeds on sale of fixed assets</w:t>
            </w:r>
          </w:p>
        </w:tc>
        <w:tc>
          <w:tcPr>
            <w:tcW w:w="12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color w:val="auto"/>
              </w:rPr>
              <w:t>Cash provided by (used in) investing activities</w:t>
            </w:r>
          </w:p>
        </w:tc>
        <w:tc>
          <w:tcPr>
            <w:tcW w:w="1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(1,147)</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5"/>
                <w:szCs w:val="15"/>
                <w:color w:val="auto"/>
              </w:rPr>
              <w:t>FINANCING ACTIVITIES: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Proceeds from issuance of Series C preferred stock - converted to common stock</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23,061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Series C-1 preferred stock - converted to common stock</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8,364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Proceeds from Initial Public Offering</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36,000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received from exercise of stock options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Issuance costs of Series C preferred stock - converted to common stock</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(3,000)</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Issuance costs of Series C-1 preferred stock - converted to common stock</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(1,036)</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Issuance costs from initial public offering</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(5,446)</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Borrowings from Mid Cap credit facility</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37,048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69,740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Repayments from Mid Cap credit facility</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(32,519)</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(71,082)</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Repayments from Mid Cap term loan</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(1,344)</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Debt issuance costs from Mid Cap credit facility</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(369)</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(581)</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Debt issuance costs from Horizon term loan</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Deferred offering costs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 financing proceeds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Insurance obligation payments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lease financing proceeds</w:t>
            </w:r>
          </w:p>
        </w:tc>
        <w:tc>
          <w:tcPr>
            <w:tcW w:w="1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Capital lease obligation payments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9"/>
        </w:trPr>
        <w:tc>
          <w:tcPr>
            <w:tcW w:w="662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color w:val="auto"/>
              </w:rPr>
              <w:t>Cash provided by financing activities</w:t>
            </w:r>
          </w:p>
        </w:tc>
        <w:tc>
          <w:tcPr>
            <w:tcW w:w="128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30,186</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29,706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5"/>
                <w:szCs w:val="15"/>
                <w:color w:val="auto"/>
              </w:rPr>
              <w:t>EFFECT OF EXCHANGE RATE ON CASH</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NET CHANGE IN CASH AND RESTRICTED CASH FOR PERIOD</w:t>
            </w:r>
          </w:p>
        </w:tc>
        <w:tc>
          <w:tcPr>
            <w:tcW w:w="128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10,667</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15,414</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AND RESTRICTED CASH AT BEGINNING OF PERIOD</w:t>
            </w:r>
          </w:p>
        </w:tc>
        <w:tc>
          <w:tcPr>
            <w:tcW w:w="12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5,797</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20,708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RESTRICTED CASH AT END OF PERIOD</w:t>
            </w:r>
          </w:p>
        </w:tc>
        <w:tc>
          <w:tcPr>
            <w:tcW w:w="2280" w:type="dxa"/>
            <w:vAlign w:val="bottom"/>
            <w:gridSpan w:val="2"/>
            <w:shd w:val="clear" w:color="auto" w:fill="CFF0FC"/>
          </w:tcPr>
          <w:p>
            <w:pPr>
              <w:jc w:val="right"/>
              <w:ind w:right="848"/>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16,464</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940"/>
              <w:spacing w:after="0" w:line="169" w:lineRule="exact"/>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36,122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RECONCILIATION OF CASH AND RESTRICTED CASH</w:t>
            </w:r>
          </w:p>
        </w:tc>
        <w:tc>
          <w:tcPr>
            <w:tcW w:w="1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color w:val="auto"/>
              </w:rPr>
              <w:t>CASH</w:t>
            </w:r>
          </w:p>
        </w:tc>
        <w:tc>
          <w:tcPr>
            <w:tcW w:w="2280" w:type="dxa"/>
            <w:vAlign w:val="bottom"/>
            <w:gridSpan w:val="2"/>
            <w:shd w:val="clear" w:color="auto" w:fill="CFF0FC"/>
          </w:tcPr>
          <w:p>
            <w:pPr>
              <w:jc w:val="right"/>
              <w:ind w:right="848"/>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15,785</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5"/>
                <w:szCs w:val="15"/>
                <w:color w:val="auto"/>
              </w:rPr>
              <w:t>RESTRICTED CASH—Prepaid and other assets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CASH—Other non-current assets</w:t>
            </w:r>
          </w:p>
        </w:tc>
        <w:tc>
          <w:tcPr>
            <w:tcW w:w="128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line="169" w:lineRule="exact"/>
              <w:rPr>
                <w:sz w:val="20"/>
                <w:szCs w:val="20"/>
                <w:color w:val="auto"/>
              </w:rPr>
            </w:pPr>
            <w:r>
              <w:rPr>
                <w:rFonts w:ascii="Arial" w:cs="Arial" w:eastAsia="Arial" w:hAnsi="Arial"/>
                <w:sz w:val="15"/>
                <w:szCs w:val="15"/>
                <w:color w:val="auto"/>
              </w:rPr>
              <w:t>TOTAL CASH AND RESTRICTED CASH</w:t>
            </w:r>
          </w:p>
        </w:tc>
        <w:tc>
          <w:tcPr>
            <w:tcW w:w="2280" w:type="dxa"/>
            <w:vAlign w:val="bottom"/>
            <w:gridSpan w:val="2"/>
          </w:tcPr>
          <w:p>
            <w:pPr>
              <w:jc w:val="right"/>
              <w:ind w:right="848"/>
              <w:spacing w:after="0" w:line="169"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16,464</w:t>
            </w:r>
          </w:p>
        </w:tc>
        <w:tc>
          <w:tcPr>
            <w:tcW w:w="160" w:type="dxa"/>
            <w:vAlign w:val="bottom"/>
          </w:tcPr>
          <w:p>
            <w:pPr>
              <w:spacing w:after="0"/>
              <w:rPr>
                <w:sz w:val="18"/>
                <w:szCs w:val="18"/>
                <w:color w:val="auto"/>
              </w:rPr>
            </w:pPr>
          </w:p>
        </w:tc>
        <w:tc>
          <w:tcPr>
            <w:tcW w:w="1120" w:type="dxa"/>
            <w:vAlign w:val="bottom"/>
            <w:gridSpan w:val="2"/>
          </w:tcPr>
          <w:p>
            <w:pPr>
              <w:jc w:val="right"/>
              <w:ind w:right="940"/>
              <w:spacing w:after="0" w:line="169"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36,122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SUPPLEMENTAL DISCLOSURES OF CASH FLOW INFORMATION</w:t>
            </w:r>
          </w:p>
        </w:tc>
        <w:tc>
          <w:tcPr>
            <w:tcW w:w="128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5"/>
                <w:szCs w:val="15"/>
                <w:color w:val="auto"/>
              </w:rPr>
              <w:t>Cash paid for interest</w:t>
            </w:r>
          </w:p>
        </w:tc>
        <w:tc>
          <w:tcPr>
            <w:tcW w:w="2280" w:type="dxa"/>
            <w:vAlign w:val="bottom"/>
            <w:gridSpan w:val="2"/>
          </w:tcPr>
          <w:p>
            <w:pPr>
              <w:jc w:val="right"/>
              <w:ind w:right="848"/>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1,112</w:t>
            </w:r>
          </w:p>
        </w:tc>
        <w:tc>
          <w:tcPr>
            <w:tcW w:w="160" w:type="dxa"/>
            <w:vAlign w:val="bottom"/>
          </w:tcPr>
          <w:p>
            <w:pPr>
              <w:spacing w:after="0"/>
              <w:rPr>
                <w:sz w:val="15"/>
                <w:szCs w:val="15"/>
                <w:color w:val="auto"/>
              </w:rPr>
            </w:pPr>
          </w:p>
        </w:tc>
        <w:tc>
          <w:tcPr>
            <w:tcW w:w="112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2,467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2280" w:type="dxa"/>
            <w:vAlign w:val="bottom"/>
            <w:gridSpan w:val="2"/>
            <w:shd w:val="clear" w:color="auto" w:fill="CFF0FC"/>
          </w:tcPr>
          <w:p>
            <w:pPr>
              <w:jc w:val="right"/>
              <w:ind w:right="848"/>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5"/>
                <w:szCs w:val="15"/>
                <w:color w:val="auto"/>
              </w:rPr>
              <w:t>NON-CASH INVESTING AND FINANCING ACTIVITIES: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color w:val="auto"/>
              </w:rPr>
              <w:t>Capital lease</w:t>
            </w:r>
          </w:p>
        </w:tc>
        <w:tc>
          <w:tcPr>
            <w:tcW w:w="2280" w:type="dxa"/>
            <w:vAlign w:val="bottom"/>
            <w:gridSpan w:val="2"/>
            <w:shd w:val="clear" w:color="auto" w:fill="CFF0FC"/>
          </w:tcPr>
          <w:p>
            <w:pPr>
              <w:jc w:val="right"/>
              <w:ind w:right="848"/>
              <w:spacing w:after="0"/>
              <w:rPr>
                <w:sz w:val="20"/>
                <w:szCs w:val="20"/>
                <w:color w:val="auto"/>
              </w:rPr>
            </w:pPr>
            <w:r>
              <w:rPr>
                <w:rFonts w:ascii="Arial" w:cs="Arial" w:eastAsia="Arial" w:hAnsi="Arial"/>
                <w:sz w:val="15"/>
                <w:szCs w:val="15"/>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w:t>
            </w: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9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6620" w:type="dxa"/>
            <w:vAlign w:val="bottom"/>
          </w:tcPr>
          <w:p>
            <w:pPr>
              <w:spacing w:after="0"/>
              <w:rPr>
                <w:sz w:val="20"/>
                <w:szCs w:val="20"/>
                <w:color w:val="auto"/>
              </w:rPr>
            </w:pPr>
            <w:r>
              <w:rPr>
                <w:rFonts w:ascii="Arial" w:cs="Arial" w:eastAsia="Arial" w:hAnsi="Arial"/>
                <w:sz w:val="15"/>
                <w:szCs w:val="15"/>
                <w:color w:val="auto"/>
              </w:rPr>
              <w:t>Note payable on acquisition</w:t>
            </w: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9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2018 and 2019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Mohawk Group Holdings, Inc. and subsidiaries (“Mohawk” or the “Company”) is a rapidly growing technology-enabled consumer products company that uses machine learning and data analytics to design, develop, market and sell products. Mohawk predominately operates through online retail channels such as Amazon and Walmart.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Mohawk’s offices can be found in China, Philippines, Israel, Poland, and the United States.</w:t>
      </w:r>
    </w:p>
    <w:p>
      <w:pPr>
        <w:spacing w:after="0" w:line="26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Merger—</w:t>
      </w:r>
      <w:r>
        <w:rPr>
          <w:rFonts w:ascii="Arial" w:cs="Arial" w:eastAsia="Arial" w:hAnsi="Arial"/>
          <w:sz w:val="17"/>
          <w:szCs w:val="17"/>
          <w:color w:val="auto"/>
        </w:rPr>
        <w:t>On September 4, 2018, pursuant to an Agreement and Plan of Merger and Reorganization among the Company, MGH Merger Sub, Inc. and</w:t>
      </w:r>
      <w:r>
        <w:rPr>
          <w:rFonts w:ascii="Arial" w:cs="Arial" w:eastAsia="Arial" w:hAnsi="Arial"/>
          <w:sz w:val="17"/>
          <w:szCs w:val="17"/>
          <w:b w:val="1"/>
          <w:bCs w:val="1"/>
          <w:color w:val="auto"/>
        </w:rPr>
        <w:t xml:space="preserve"> </w:t>
      </w:r>
      <w:r>
        <w:rPr>
          <w:rFonts w:ascii="Arial" w:cs="Arial" w:eastAsia="Arial" w:hAnsi="Arial"/>
          <w:sz w:val="17"/>
          <w:szCs w:val="17"/>
          <w:color w:val="auto"/>
        </w:rPr>
        <w:t>Mohawk Group, Inc. (“MGI”), as amended by Amendment No. 1 dated as of April 1, 2018 (the “Merger Agreement”), MGI merged with Merger Sub, Inc., with MGI remaining as the surviving entity and becoming a wholly-owned operating subsidiary of the Company (the “Merger”). The Merger was a reverse recapitalization for financial reporting purposes. The Merger is reflected in the financial statements and financial disclosures as if the Merger was effective on January 1, 2017. Operations prior to the Merger are the historical operations of MGI.</w:t>
      </w:r>
    </w:p>
    <w:p>
      <w:pPr>
        <w:spacing w:after="0" w:line="19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the Merger Agreement, all outstanding shares of common stock, shares of preferred stock and warrants, excluding MGI’s Series C preferred stock (“Series C”) and warrants to purchase shares of Series C, converted to shares of common stock of the Company at a ratio of 1 to 0.3131 (the “Conversion”). All outstanding Series C converted on a 1 to 0.2564 basis to shares of common stock of the Company and all outstanding warrants to purchase shares of Series C converted to warrants to purchase shares of common stock of the Company on a 1 to 0.2564 basis. At the time of the merger, the Company had 0.9 million shares outstanding held by certain Series C holders.</w:t>
      </w:r>
    </w:p>
    <w:p>
      <w:pPr>
        <w:spacing w:after="0" w:line="18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Initial Public Offering—</w:t>
      </w:r>
      <w:r>
        <w:rPr>
          <w:rFonts w:ascii="Arial" w:cs="Arial" w:eastAsia="Arial" w:hAnsi="Arial"/>
          <w:sz w:val="18"/>
          <w:szCs w:val="18"/>
          <w:color w:val="auto"/>
        </w:rPr>
        <w:t>On June 14, 2019, the Company completed its initial public offering (“IPO”), selling 3,600,000 shares of common stock at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price of $10.00 per share. Net proceeds to the Company from the offering were approximately $29.6 million, after deducting legal, underwriting and other offering expenses.</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Liquidity, Going Concern and Initial Public Offering—</w:t>
      </w:r>
      <w:r>
        <w:rPr>
          <w:rFonts w:ascii="Arial" w:cs="Arial" w:eastAsia="Arial" w:hAnsi="Arial"/>
          <w:sz w:val="18"/>
          <w:szCs w:val="18"/>
          <w:color w:val="auto"/>
        </w:rPr>
        <w:t>The Company is an early-stage growth company. As a result, the Company is investing in</w:t>
      </w:r>
      <w:r>
        <w:rPr>
          <w:rFonts w:ascii="Arial" w:cs="Arial" w:eastAsia="Arial" w:hAnsi="Arial"/>
          <w:sz w:val="18"/>
          <w:szCs w:val="18"/>
          <w:b w:val="1"/>
          <w:bCs w:val="1"/>
          <w:color w:val="auto"/>
        </w:rPr>
        <w:t xml:space="preserve"> </w:t>
      </w:r>
      <w:r>
        <w:rPr>
          <w:rFonts w:ascii="Arial" w:cs="Arial" w:eastAsia="Arial" w:hAnsi="Arial"/>
          <w:sz w:val="18"/>
          <w:szCs w:val="18"/>
          <w:color w:val="auto"/>
        </w:rPr>
        <w:t>launching new products, advancing its software, and its sales and distribution infrastructure to accelerate revenue growth and scale operations to support such growth. To fund this investment, the Company has incurred losses with the expectation that it will generate profitable revenue streams in the future. While management and the Company’s board of directors believes that the Company will eventually reach a scale where the growth of its product revenues will offset the continued investments required in launching new products, completing the development of its software, and managing its sales and distribution operations, they believe that the size and nascent stage of the Company’s target market justify continuing to invest in growth at the expense of short-term profitability.</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pursuit of the foregoing growth strategy, the Company incurred operating losses of $22.6 million and $29.4 million for the years ended December 31, 2017 and 2018, respectively, primarily due to the impact from its continued investment in launching new products, advancing its AIMEE software platform and building out its sales and distribution infrastructure. In addition, at December 31, 2017 and 2018, the Company had an accumulated deficit of $39.2 million and $71.0 million, respectively, cash on hand amounted to $5.3 million and $20.0 million, respectively, total outstanding borrowings from lenders amounted to $10.3 million and $27.5 million, respectively, and total available capacity on borrowings amounted to $5.6 million and $1.4 million at December 31, 2017 and 2018, respectively. Moreover, the Company has not had a sufficient track record of improvement of its operating cash outflows. As such, in the event that the Company was unsuccessful in its ability to continue to reduce its cash outflows or obtain additional financing if such reduction in cash outflows was not achieved, the Company would have been unable to meet its obligations as they became due within one year from the date these condensed consolidated financial statements were issued. These negative financial conditions raised substantial doubt about the Company’s ability to continue as a going concern.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0" w:name="page11"/>
    <w:bookmarkEnd w:id="10"/>
    <w:p>
      <w:pPr>
        <w:spacing w:after="0" w:line="270" w:lineRule="auto"/>
        <w:rPr>
          <w:sz w:val="20"/>
          <w:szCs w:val="20"/>
          <w:color w:val="auto"/>
        </w:rPr>
      </w:pPr>
      <w:r>
        <w:rPr>
          <w:rFonts w:ascii="Arial" w:cs="Arial" w:eastAsia="Arial" w:hAnsi="Arial"/>
          <w:sz w:val="17"/>
          <w:szCs w:val="17"/>
          <w:color w:val="auto"/>
        </w:rPr>
        <w:t>Management plans to continue pursuing its growth strategy. In the past, the Company has successfully funded its losses to-date through equity financings, beginning in July 2014. As of December 31, 2018, the Company has raised over $72.6 million in equity financing to fund its operations since inception. Further, in October 2017, the Company improved its working capital flexibility by securing a $15 million credit facility (which could be increased, subject to certain conditions, to $30.0 million) and a $7.0 million term loan with MidCap Financial Trust (“MidCap”) and in November 2018, the Company exited the original credit facility with MidCap and entered into a new three-year, $25.0 million revolving credit facility with MidCap, which can be increased, subject to certain conditions, to $50.0 million. Furthermore, on December 31, 2018, the Company entered into a new term loan agreement with Horizon Technology Finance Corporation (“Horizon”) obtaining a five-year, $15.0 million term loan and repaying the outstanding amount of MidCap’s term loan of approximately $4.9 million. While there was no assurance that future investments in the Company’s equity or issuances of debt will occur, management believes its success in obtaining funding since inception will continue in the foreseeable future.</w:t>
      </w:r>
    </w:p>
    <w:p>
      <w:pPr>
        <w:spacing w:after="0" w:line="18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audit of the Company’s December 31, 2018 consolidated financial statements, the Company’s financial forecast for the next 12 months included revenue growth, margin expansion, a reduction of certain fixed costs, an improvement in inventory management and a reduction in operating cash deficit. In addition, management anticipated that the Company would not breach its financial covenants associated with its existing credit facility or term loan for the next twelve months. However, there was no assurance that management’s forecast would be attained or that the Company would be able to maintain its liquidity to fund operations and/or maintain compliance with its covenants without future equity investments or issuance of debt from outside sources. In the event of a breach of the Company’s financial covenants under the credit facility and/or its term loan, outstanding borrowings would become due on demand absent a waiver from the lenders.</w:t>
      </w:r>
    </w:p>
    <w:p>
      <w:pPr>
        <w:spacing w:after="0" w:line="189" w:lineRule="exact"/>
        <w:rPr>
          <w:sz w:val="20"/>
          <w:szCs w:val="20"/>
          <w:color w:val="auto"/>
        </w:rPr>
      </w:pPr>
    </w:p>
    <w:p>
      <w:pPr>
        <w:ind w:right="20"/>
        <w:spacing w:after="0" w:line="309" w:lineRule="auto"/>
        <w:rPr>
          <w:sz w:val="20"/>
          <w:szCs w:val="20"/>
          <w:color w:val="auto"/>
        </w:rPr>
      </w:pPr>
      <w:r>
        <w:rPr>
          <w:rFonts w:ascii="Arial" w:cs="Arial" w:eastAsia="Arial" w:hAnsi="Arial"/>
          <w:sz w:val="18"/>
          <w:szCs w:val="18"/>
          <w:color w:val="auto"/>
        </w:rPr>
        <w:t>These condensed consolidated financial statements have been prepared on the basis that the Company will continue to operate as a going concern and as such, include no adjustments that might be necessary in the event that the Company was unable to operate on this basis.</w:t>
      </w:r>
    </w:p>
    <w:p>
      <w:pPr>
        <w:spacing w:after="0" w:line="169"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For the three and nine months ended September 30, 2019, the Company incurred operating losses of $10.4 million and $23.9 million, respectively. As of September 30, 2019, the Company had accumulated deficit of $98.4 million, cash on hand of $35.7 million, and total outstanding borrowing from lenders of $27.0 million with a total available capacity on borrowings of $0.8 million. On June 14, 2019, the Company completed its IPO, receiving net proceeds of approximately $29.6 million after deducting legal, underwriting and other offering expenses. As of September 30, 2019, the Company has raised over $102.3 million in equity financing to fund its operations since inception, including the net proceeds from the IPO.</w:t>
      </w:r>
    </w:p>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believes that, based on its current sales and expense level projections, the credit facility with MidCap (see Note 6), and the proceeds from the IPO, the Company will satisfy its estimated liquidity needs for the twelve months from the condensed consolidated financial statements issuance date. As such, the substantial doubt raised by the Company’s historical operating results has been mitigated.</w:t>
      </w:r>
    </w:p>
    <w:p>
      <w:pPr>
        <w:spacing w:after="0" w:line="31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1"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b w:val="1"/>
          <w:bCs w:val="1"/>
          <w:color w:val="auto"/>
        </w:rPr>
        <w:t>Basis of Presentation</w:t>
      </w:r>
      <w:r>
        <w:rPr>
          <w:rFonts w:ascii="Arial" w:cs="Arial" w:eastAsia="Arial" w:hAnsi="Arial"/>
          <w:sz w:val="17"/>
          <w:szCs w:val="17"/>
          <w:color w:val="auto"/>
        </w:rPr>
        <w:t>—The accompanying unaudited condensed consolidated financial statements have been prepared by the Company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accounting principles in the United States (“GAAP”) for interim financial reporting and as required by Rule 10-01 of Regulation S-X. In the opinion of the Company’s management, the accompanying unaudited condensed consolidated financial statements contain all adjustments (consisting of items of a normal and recurring nature) necessary to present fairly the financial position as of September 30, 2019, the results of operations for the three and nine months ended September 30, 2018 and 2019, the statements of stockholder’s equity for the three and nine months ended September 30, 2018 and 2019, and cash flows for the nine months ended September 30, 2018 and 2019. The results of operations for the three and nine months ended September 30, 2019 are not necessarily indicative of the results to be expected for the full year.</w:t>
      </w:r>
    </w:p>
    <w:p>
      <w:pPr>
        <w:spacing w:after="0" w:line="2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condensed consolidated balance sheet as of December 31, 2018 included herein was derived from the Company’s audited consolidated financial statements as of that date, but does not include all of the information and notes required by GAAP for complete financial statements.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audited consolidated financial statements and the related notes thereto as of and for the year ended December 31, 2018, included in the Company’s final prospectus filed with the Securities and Exchange Commission pursuant to Rule 424(b) under the Securities Act of 1933, as amended (the “Securities Act”), on June 13, 2019 (the “Prospectus”).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line="295"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—Preparation of financial statements in conformity with GAAP requires management to make estimates and assumptions that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The most significant estimates relate to the determination of fair value of the Company’s common stock and stock-based compensation, prior to the Company’s IPO.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5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condensed consolidated financial statements include the accounts of the Company and its wholly-owned subsidiaries.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balances and transactions have been eliminated in consolidation.</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derives its revenue from the sale of consumer products. The Company sells its products directly to consumers through online retail channels and through wholesale channels.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direct to consumer sales, the Company considers customer order confirmations to be a contract with the customer. Customer confirmations are executed at the time an order is placed through third party online channels. For wholesale sales, the Company considers the customer purchase order to be the contract.</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$0.3 million and $0.5 million at December 31, 2018 and September 30, 2019, respectively, which is included in accrued liabilities and represents the expected value of the refunds that will be due to its customers.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evaluated principal versus agent considerations to determine whether it is appropriate to record platform fees paid to Amazon as an expense or as a reduction of revenue. Platform fees are recorded as sales and distribution expense and are not recorded as a reduction of revenue because the Company owns and controls all the goods before they are transferred to the customer. The Company can, at any time, direct Amazon and similarly with other third party logistics providers (“Logistics Providers”) to return the Company’s inventory to any location specified by the Company. Any returns made by customers directly to Logistics Providers are the responsibility of the Company to make customers whole and the Company retains the back-end inventory risk. Further, the Company is subject to credit risk (i.e., credit card chargebacks), establishes the prices of its products, can determine who fulfills the goods to the customer (Amazon, a Logistics Provider or the Company) and can limit quantities or stop selling the goods at any time. Based on these considerations, the Company is the principal in this arrangement.</w:t>
      </w:r>
    </w:p>
    <w:p>
      <w:pPr>
        <w:spacing w:after="0" w:line="17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A performance obligation is a promise in a contract to transfer a distinct good to the customer and is the unit of account in ASC</w:t>
      </w:r>
      <w:r>
        <w:rPr>
          <w:rFonts w:ascii="Arial" w:cs="Arial" w:eastAsia="Arial" w:hAnsi="Arial"/>
          <w:sz w:val="18"/>
          <w:szCs w:val="18"/>
          <w:i w:val="1"/>
          <w:iCs w:val="1"/>
          <w:color w:val="auto"/>
        </w:rPr>
        <w:t xml:space="preserve"> </w:t>
      </w:r>
      <w:r>
        <w:rPr>
          <w:rFonts w:ascii="Arial" w:cs="Arial" w:eastAsia="Arial" w:hAnsi="Arial"/>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For the three months ended September 30, 2018 and 2019, the Company had no shipping and handling revenue. For the nine months ended September 30, 2018 and 2019, shipping and handling revenue was less than $0.1 million and $0.1 million, respectively.</w:t>
      </w:r>
    </w:p>
    <w:p>
      <w:pPr>
        <w:spacing w:after="0" w:line="15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All of the Company’s revenues as reflected on the condensed consolidated statements of operations for the three and nine months ended September 30, 2018 and 2019 are recognized at a point in time.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taxes</w:t>
      </w:r>
      <w:r>
        <w:rPr>
          <w:rFonts w:ascii="Arial" w:cs="Arial" w:eastAsia="Arial" w:hAnsi="Arial"/>
          <w:sz w:val="16"/>
          <w:szCs w:val="16"/>
          <w:color w:val="auto"/>
        </w:rPr>
        <w:t>. Consistent with prior periods, sales taxes collected from customers are presented on a net basis and as such are excluded from net revenue.</w:t>
      </w:r>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September 30, 2018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color w:val="auto"/>
                <w:w w:val="92"/>
              </w:rPr>
              <w:t>(in thousands)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Direct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3"/>
                <w:szCs w:val="13"/>
                <w:color w:val="auto"/>
              </w:rPr>
            </w:pPr>
          </w:p>
        </w:tc>
        <w:tc>
          <w:tcPr>
            <w:tcW w:w="13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Managed SaaS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24,343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24,420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September 30, 2019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color w:val="auto"/>
                <w:w w:val="92"/>
              </w:rPr>
              <w:t>(in thousands)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Direct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3"/>
                <w:szCs w:val="13"/>
                <w:color w:val="auto"/>
              </w:rPr>
            </w:pPr>
          </w:p>
        </w:tc>
        <w:tc>
          <w:tcPr>
            <w:tcW w:w="13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Managed SaaS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40,007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40,026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Nine Months Ended September 30, 2018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color w:val="auto"/>
                <w:w w:val="92"/>
              </w:rPr>
              <w:t>(in thousands)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Direct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3"/>
                <w:szCs w:val="13"/>
                <w:color w:val="auto"/>
              </w:rPr>
            </w:pPr>
          </w:p>
        </w:tc>
        <w:tc>
          <w:tcPr>
            <w:tcW w:w="13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Managed SaaS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49,498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49,662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Nine Months Ended September 30, 2019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4"/>
                <w:szCs w:val="14"/>
                <w:color w:val="auto"/>
                <w:w w:val="92"/>
              </w:rPr>
              <w:t>(in thousands)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Direct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3"/>
                <w:szCs w:val="13"/>
                <w:color w:val="auto"/>
              </w:rPr>
            </w:pPr>
          </w:p>
        </w:tc>
        <w:tc>
          <w:tcPr>
            <w:tcW w:w="13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Managed SaaS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86,312</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FF0FC"/>
            </w:tcBorders>
          </w:tcPr>
          <w:p>
            <w:pPr>
              <w:spacing w:after="0"/>
              <w:rPr>
                <w:sz w:val="19"/>
                <w:szCs w:val="19"/>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86,398</w:t>
            </w:r>
          </w:p>
        </w:tc>
        <w:tc>
          <w:tcPr>
            <w:tcW w:w="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88,817</w:t>
            </w:r>
          </w:p>
        </w:tc>
        <w:tc>
          <w:tcPr>
            <w:tcW w:w="100" w:type="dxa"/>
            <w:vAlign w:val="bottom"/>
            <w:shd w:val="clear" w:color="auto" w:fill="CFF0FC"/>
          </w:tcPr>
          <w:p>
            <w:pPr>
              <w:spacing w:after="0"/>
              <w:rPr>
                <w:sz w:val="21"/>
                <w:szCs w:val="2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2"/>
              </w:rPr>
              <w:t>Three Months Ended September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w w:val="99"/>
              </w:rPr>
              <w:t>Environmental appliances (i.e., dehumidifiers</w:t>
            </w: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air conditioners)</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16,329</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27,083</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Small home appliances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w w:val="99"/>
              </w:rPr>
              <w:t>Cosmetics, skincare, and heath supplements</w:t>
            </w: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1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5"/>
              </w:rPr>
              <w:t>Portable projectors, speakers and headphones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19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Total net product revenue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24,556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40,285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SaaS</w:t>
            </w:r>
          </w:p>
        </w:tc>
        <w:tc>
          <w:tcPr>
            <w:tcW w:w="19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19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00" w:type="dxa"/>
            <w:vAlign w:val="bottom"/>
            <w:vMerge w:val="restart"/>
          </w:tcPr>
          <w:p>
            <w:pPr>
              <w:jc w:val="right"/>
              <w:ind w:right="13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tbl>
      <w:tblPr>
        <w:tblLayout w:type="fixed"/>
        <w:tblInd w:w="17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76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5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gridSpan w:val="3"/>
          </w:tcPr>
          <w:p>
            <w:pPr>
              <w:jc w:val="right"/>
              <w:ind w:right="25"/>
              <w:spacing w:after="0" w:line="155" w:lineRule="exact"/>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 (i.e., dehumidifiers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air conditioners)</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27,601</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52,757</w:t>
            </w:r>
          </w:p>
        </w:tc>
        <w:tc>
          <w:tcPr>
            <w:tcW w:w="60" w:type="dxa"/>
            <w:vAlign w:val="bottom"/>
            <w:shd w:val="clear" w:color="auto" w:fill="CFF0FC"/>
          </w:tcPr>
          <w:p>
            <w:pPr>
              <w:spacing w:after="0"/>
              <w:rPr>
                <w:sz w:val="20"/>
                <w:szCs w:val="20"/>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Small home appliances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10,776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17,426</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heath supplements</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w:t>
            </w:r>
          </w:p>
        </w:tc>
        <w:tc>
          <w:tcPr>
            <w:tcW w:w="6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9,463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5,279</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6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Portable projectors, speakers and headphones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6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53,392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87,569</w:t>
            </w: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SaaS</w:t>
            </w: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6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53,576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88,817</w:t>
            </w:r>
          </w:p>
        </w:tc>
        <w:tc>
          <w:tcPr>
            <w:tcW w:w="6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—The Company’s financial instruments, including net accounts receivable, accounts payable, and accrued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liabilities are carried at historical cost. At September 30, 2019, the carrying amounts of these instruments approximated their fair values because of their short-term nature. The credit facility is carried at amortized cost and at December 31, 2018 and September 30, 2019, respectively, the carrying amount approximates fair value as the stated interest rate approximates market rates currently available to the Company. The Company estimates the fair value of the borrowings under our Horizon Term Loan to be approximately $14.7 million at each of December 31, 2018 and September 30, 2019. The Company considers the inputs utilized to determine the fair value of the borrowings to be Level 2 inputs. The Company’s financial instruments of cash and restricted cash consist of Level 1 assets at September 30, 2019. The Company’s cash and restricted cash was approximately $36.1 million and included savings deposits and overnight investments at September 30, 2019.</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Goodwill</w:t>
      </w:r>
      <w:r>
        <w:rPr>
          <w:rFonts w:ascii="Arial" w:cs="Arial" w:eastAsia="Arial" w:hAnsi="Arial"/>
          <w:sz w:val="17"/>
          <w:szCs w:val="17"/>
          <w:color w:val="auto"/>
        </w:rPr>
        <w:t>—Goodwill is the excess of the acquisition cost of an acquired business over the fair value of the identifiable net assets acquired. Goodwill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indefinite lived intangible assets are not amortized. These assets are reviewed annually (or more frequently under various conditions) for impairment using a fair value approach. The Company performs its annual, or interim, goodwill impairment test by comparing the fair value of its reporting units with their carrying amounts. The Company expects to perform its annual impairment testing during the fourth quarter of the calendar year. The Company would recognize an impairment charge for the amount by which the carrying amount exceeds the reporting unit’s fair value; however, the loss recognized would not exceed the total amount of goodwill allocated to that reporting unit. Additionally, the Company considers income tax effects from any tax-deductible goodwill on the carrying amount of its reporting unit when measuring the goodwill impairment loss, if applicable. The fair value of the reporting units is estimated using discounted cash flow methodologies, as well as considering third party market value indicators. The Company’s use of a discounted cash flow methodology includes estimates of future revenue based upon budgets and projections. The Company also develops estimates for future levels of gross and operating profits and projected capital expenditures. The Company’s methodology also includes the use of estimated discount rates based upon industry and competitor analysis as well as other factors. Calculating the fair value of the reporting units requires significant estimates and assumptions by management. Should the estimates and assumptions regarding the fair value of the reporting units prove to be incorrect, the Company may be required to record impairments to its goodwill in future periods and such impairments could be 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Company has the option to perform a qualitative assessment to determine whether it is necessary to perform the quantitative goodwill impairment test.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 Company may elect to perform the quantitative goodwill impairment test even if no indications of a potential impairment exist.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Jumpstart Our Business Startups Act of 2012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November 2016, the FASB issued Accounting Standards Update (“ASU”) No.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xml:space="preserve"> (“ASU 2016-18”). ASU 2016-18 requires that the statement of cash flows explains the change during the period in the total cash and restricted cash. Therefore, amounts generally described as restricted cash should be included with cash when reconciling the beginning-of-period and end-of-period total amounts shown on the statement of cash flows. This ASU is effective for fiscal years beginning after December 15, 2018, and interim periods within those fiscal years.</w:t>
      </w:r>
    </w:p>
    <w:p>
      <w:pPr>
        <w:spacing w:after="0" w:line="2"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ASU 2016-18 requires retrospective application for all periods presented and as a result the Company has recasted its condensed statement of cash flows for the nine months ended September 30, 2018 to reflect the adoption of ASU 2016-18, which was implemented on January 1, 2019.</w:t>
      </w:r>
    </w:p>
    <w:p>
      <w:pPr>
        <w:spacing w:after="0" w:line="1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guidance on the various types of changes which would trigger modification accounting for share-based payment awards. In summary, an entity would not apply modification accounting if the fair value, vesting conditions and classification of the awards are the same immediately before and after the modification. The guidance is effective for annual periods beginning after December 15, 2018, and interim periods within those annual periods. The amendments are applied prospectively to awards modified on or after the adoption date. The new guidance was adopted on January 1, 2019 with no material impact on the condensed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This ASU is effective for all annual reporting periods beginning after December 15, 2019, with early adoption permitted. The Company is currently evaluating the effect that the updated standard will have on its consolidated financial statements.</w:t>
      </w:r>
    </w:p>
    <w:p>
      <w:pPr>
        <w:spacing w:after="0" w:line="17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w:t>
      </w:r>
      <w:r>
        <w:rPr>
          <w:rFonts w:ascii="Arial" w:cs="Arial" w:eastAsia="Arial" w:hAnsi="Arial"/>
          <w:sz w:val="16"/>
          <w:szCs w:val="16"/>
          <w:color w:val="auto"/>
        </w:rPr>
        <w:t xml:space="preserve"> (“ASU 2018-02”). ASU 2018-02 addresses the effect of the change in the U.S. federal corporate tax rate due to the enactment of the December 22, 2017 Tax Act on items within accumulated other comprehensive income (loss). The guidance will be effective for all annual reporting periods beginning after December 15, 2019, with early adoption permitted. The Company is currently evaluating the effect that the updated standard will have on its consolidated financial statements.</w:t>
      </w:r>
    </w:p>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On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changes the fair value measurement disclosure requirements of ASC Topic 820. The amendments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are the result of a broader disclosure project called FASB Concepts Statement, Conceptual Framework for Financial Reporting—Chapter 8: Notes to Financial Statements. This ASU is effective for all annual reporting periods beginning after December 15, 2019, including interim periods therein. Early adoption is permitted for any eliminated or modified disclosures upon issuance of this ASU. The Company is currently evaluating the effect that the updated standard will have on its consolidated financial statements.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expands the scope of ASC Topic 718, Compensation—Stock Compensation, which currently only includes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also include share-based payments issued to nonemployees for goods and services. This ASU is effective for all annual reporting periods beginning after December 15, 2019, including interim periods therein. The Company is currently evaluating the effect that the updated standard will have on its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Inventory consisted of the following as of December 31, 2018 and September 30, 2019:</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Inventory on-hand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Inventory in-transit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14605</wp:posOffset>
            </wp:positionV>
            <wp:extent cx="506857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68570" cy="18034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r>
      <w:tr>
        <w:trPr>
          <w:trHeight w:val="155"/>
        </w:trPr>
        <w:tc>
          <w:tcPr>
            <w:tcW w:w="120" w:type="dxa"/>
            <w:vAlign w:val="bottom"/>
          </w:tcPr>
          <w:p>
            <w:pPr>
              <w:spacing w:after="0"/>
              <w:rPr>
                <w:sz w:val="13"/>
                <w:szCs w:val="13"/>
                <w:color w:val="auto"/>
              </w:rPr>
            </w:pPr>
          </w:p>
        </w:tc>
        <w:tc>
          <w:tcPr>
            <w:tcW w:w="2340" w:type="dxa"/>
            <w:vAlign w:val="bottom"/>
            <w:gridSpan w:val="4"/>
          </w:tcPr>
          <w:p>
            <w:pPr>
              <w:jc w:val="right"/>
              <w:ind w:right="737"/>
              <w:spacing w:after="0" w:line="155" w:lineRule="exact"/>
              <w:rPr>
                <w:sz w:val="20"/>
                <w:szCs w:val="20"/>
                <w:color w:val="auto"/>
              </w:rPr>
            </w:pPr>
            <w:r>
              <w:rPr>
                <w:rFonts w:ascii="Arial" w:cs="Arial" w:eastAsia="Arial" w:hAnsi="Arial"/>
                <w:sz w:val="14"/>
                <w:szCs w:val="14"/>
                <w:color w:val="auto"/>
              </w:rPr>
              <w:t>(in thousands)</w:t>
            </w:r>
          </w:p>
        </w:tc>
      </w:tr>
      <w:tr>
        <w:trPr>
          <w:trHeight w:val="23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24,595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20,214</w:t>
            </w:r>
          </w:p>
        </w:tc>
      </w:tr>
      <w:tr>
        <w:trPr>
          <w:trHeight w:val="230"/>
        </w:trPr>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r>
      <w:tr>
        <w:trPr>
          <w:trHeight w:val="25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30,552</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3880"/>
          </w:cols>
          <w:pgMar w:left="240" w:top="661" w:right="599" w:bottom="1440" w:gutter="0" w:footer="0" w:header="0"/>
        </w:sectPr>
      </w:pP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of the Company’s inventory on-hand is held either with Amazon or the Company’s other third-party warehouses. The Company does not have any contractual right of returns with its contract manufacturers. The Company’s inventory on-hand held by Amazon was approximately $6.1 million and $3.9 million as of December 31, 2018 and September 30, 2019, respectively.</w:t>
      </w:r>
    </w:p>
    <w:p>
      <w:pPr>
        <w:spacing w:after="0" w:line="285"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as of December 31, 2018 and September 30, 2019:</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right"/>
              <w:ind w:right="734"/>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2018 and September 30, 2019:</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right"/>
              <w:ind w:right="733"/>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Accrual for insurance financing</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Accrual for deferred financing fees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professional fees and consultants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logistics costs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Product related accruals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Sales return reserve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recall liability</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Note payable (see note 11)</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All other accruals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661" w:right="599" w:bottom="1440" w:gutter="0" w:footer="0" w:header="0"/>
          <w:type w:val="continuous"/>
        </w:sectPr>
      </w:pPr>
    </w:p>
    <w:bookmarkStart w:id="16" w:name="page17"/>
    <w:bookmarkEnd w:id="16"/>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and term loans consisted of the following as of December 31, 2018 and September 30, 2019:</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jc w:val="right"/>
              <w:ind w:right="71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16,455</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3"/>
        </w:trPr>
        <w:tc>
          <w:tcPr>
            <w:tcW w:w="4560" w:type="dxa"/>
            <w:vAlign w:val="bottom"/>
            <w:gridSpan w:val="2"/>
          </w:tcPr>
          <w:p>
            <w:pPr>
              <w:spacing w:after="0"/>
              <w:rPr>
                <w:sz w:val="20"/>
                <w:szCs w:val="20"/>
                <w:color w:val="auto"/>
              </w:rPr>
            </w:pPr>
            <w:r>
              <w:rPr>
                <w:rFonts w:ascii="Arial" w:cs="Arial" w:eastAsia="Arial" w:hAnsi="Arial"/>
                <w:sz w:val="18"/>
                <w:szCs w:val="18"/>
                <w:color w:val="auto"/>
              </w:rPr>
              <w:t>Total MidCap credit facility</w:t>
            </w:r>
          </w:p>
        </w:tc>
        <w:tc>
          <w:tcPr>
            <w:tcW w:w="9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Horizon term loan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deferred debt issuance costs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discount associated with issuance of warrants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Horizon term loan</w:t>
            </w:r>
          </w:p>
        </w:tc>
        <w:tc>
          <w:tcPr>
            <w:tcW w:w="9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Less-current portion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loan-non current portion</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and Term Loan</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October 16, 2017, the Company entered into a three-year, $15.0 million revolving credit facility (the “Prior Credit Facility”) with MidCap pursuant to a credit and security agreement (the “Credit and Security Agreement”). As part of the Credit and Security Agreement, the Company also obtained a three-year, $7.0 million term loan with MidCap (the “Prior Term Loan”). On November 23, 2018, the Company exited the Prior Credit Facility with MidCap and entered into a new three-year $25.0 million revolving credit facility (the “Credit Facility”) with MidCap. The Credit Facility can be increased, subject to certain conditions, to $50.0 million. Loans under the Credit Facility are determined based on percentages of the Company’s eligible accounts receivable and eligible inventory. The Credit Facility bears interest at LIBOR plus 5.75% for outstanding borrowings. The Company is required to pay a facility availability fee of</w:t>
      </w:r>
    </w:p>
    <w:p>
      <w:pPr>
        <w:spacing w:after="0" w:line="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0.5% on the average unused portion of the facility. The Credit Facility contains a minimum liquidity financial covenant that requires the Company to maintain a minimum of $5.0 million in cash on hand or availability in the Credit Facility. In 2018, the Company incurred approximately $1.3 million in debt issuance costs which has been offset against the debt and will be expensed over the three years. Unamortized debt issuance costs of $0.7 million, relating to the Prior Credit Facility, will be amortized in accordance with the terms of the Credit Facility. As of December 31, 2018, there was $16.5 million outstanding on the Credit Facility and an available balance of approximately $1.4 million. As of September 30, 2019, there was $15.1 million outstanding on the Credit Facility and an available balance of approximately $0.8 million. As of September 30, 2019, the Company was in compliance with the financial covenants contained within the Credit Facility.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recorded interest expense from the credit facilities of approximately $0.2 million and $0.4 million for the three months ended September 30, 2018 and 2019, respectively, which included $0.1 million and $0.2 million, respectively, relating to debt issuance costs. The Company recorded interest expense from the credit facilities of approximately $0.8 million and $1.9 million for the nine months ended September 30, 2018 and 2019, respectively, which included $0.3 million and $0.5 million, respectively, relating to debt issuance costs.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interest expense from the Prior Term Loan of $0.2 million and $0.7 million for the three and nine months ended September 30, 2018, respectively, which included less than $0.1 million relating to debt issuance costs for each period.</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December 31, 2018, the Company repaid the Prior Term Loan with MidCap for $4.9 million as part of the entry into a new term loan with Horizon, including $0.1 million of a prepayment penalty.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On December 31, 2018, the Company entered into a new term loan agreement with Horizon (the “Horizon Loan Agreement”). As part of the agreement, the Company obtained a five-year $15.0 million term loan (the “Term Loan”). The Term Loan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2.50% for outstanding borrowings and payments on principal are made on a monthly basis. The maturity date of the Term Loan is January 2023. The Term Loan contains minimum required EBITDA financial covenants that require the Company to achieve EBITDA of certain amounts based on the amount that the Company is permitted to borrow above $25.0 million under the Credit Facility.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In connection with the Horizon Term Loan Agreement, the Company issued to Horizon warrants to purchase 76,923 shares of its common stock at an exercise price of $15.60 per share. The warrants are exercisable and expire ten years from the date of issuance. The Company utilized the Binomial option-pricing model to determine the fair value of the warrants. The fair value of the warrants on issuance was $0.9 million, which has been recorded as a debt discount against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incurred approximately $1.0 million in debt issuance costs which has been offset against the debt and will expense over the five years.</w:t>
      </w:r>
    </w:p>
    <w:p>
      <w:pPr>
        <w:spacing w:after="0" w:line="23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Credit Facility and the Term Loan contain a minimum liquidity covenant that requires the Company to maintain at minimum $5.0 million in unrestricted cash at all times, subject to increases based on amounts drawn. Further, there are additional covenants that, among other things, restrict the ability of the Company and certain of its subsidiaries to (i) incur, assume or guarantee additional indebtedness; (ii) pay dividends or redeem or repurchase capital stock;</w:t>
      </w:r>
    </w:p>
    <w:p>
      <w:pPr>
        <w:ind w:right="120" w:firstLine="8"/>
        <w:spacing w:after="0" w:line="255"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other restricted payments; (iv) incur liens; (v) redeem debt that is junior in right of payment to the notes; (vi) sell or otherwise dispose of assets, including capital stock of subsidiaries; (vii) enter into mergers or consolidations; and (viii) enter into transactions with affiliates. These covenants are subject to a number of exceptions and qualifications.</w:t>
      </w:r>
    </w:p>
    <w:p>
      <w:pPr>
        <w:spacing w:after="0" w:line="19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September 30, 2019, there was $15.0 million outstanding on the Term Loan and the Company was in compliance with the financial covenants contained within the loan. The Company recorded interest expense from the Term Loan of $0.5 million and $1.5 million for the three and nine months ended September 30, 2019, respectively, which included $0.1 million and less than $0.4 million, respectively, relating to debt issuance costs.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three and nine months ended September 30, 2018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jc w:val="center"/>
              <w:ind w:right="37"/>
              <w:spacing w:after="0" w:line="155"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33"/>
        </w:trPr>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4"/>
          </w:tcPr>
          <w:p>
            <w:pPr>
              <w:jc w:val="center"/>
              <w:ind w:right="37"/>
              <w:spacing w:after="0" w:line="155"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50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0" w:type="dxa"/>
            <w:vAlign w:val="bottom"/>
            <w:vMerge w:val="continue"/>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4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board of directors of MGI, a subsidiary of the Company adopted, and MGI’s stockholders approved, the Mohawk Group, Inc. 2014 Equity Incentive Plan on June 11, 2014. On March 1, 2017, MGI’s board of directors adopted, and MGI’s stockholders approved, an amendment and restatement of the 2014 Equity Incentive Plan (as amended, the “Mohawk 2014 Plan”). As of September 30, 2019, options to purchase an aggregate of 366,790 shares of the Company’s common stock were outstanding and 2,608 shares were reserved for awards available for future issuance under the Mohawk 2014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board of directors adopted the Mohawk Group Holdings, Inc. 2018 Equity Incentive Plan (the “Mohawk 2018 Plan”) on October 11, 2018. The Mohawk 2018 Plan was approved by its stockholders on May 24, 2019. As of September 30, 2019, 149,957 shares subject to restricted stock awards and options to purchase 1,530,823 shares of the Company’s common stock were outstanding and 27,366 shares were reserved for awards available for future issuance under the Mohawk 2018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40"/>
        <w:spacing w:after="0" w:line="273" w:lineRule="auto"/>
        <w:rPr>
          <w:sz w:val="20"/>
          <w:szCs w:val="20"/>
          <w:color w:val="auto"/>
        </w:rPr>
      </w:pPr>
      <w:r>
        <w:rPr>
          <w:rFonts w:ascii="Arial" w:cs="Arial" w:eastAsia="Arial" w:hAnsi="Arial"/>
          <w:sz w:val="17"/>
          <w:szCs w:val="17"/>
          <w:color w:val="auto"/>
        </w:rPr>
        <w:t>Options granted to date under the Mohawk 2014 Plan and the Mohawk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board of directors adopted the Mohawk Group Holdings, Inc. 2019 Equity Plan (the “2019 Equity Plan”) on March 20, 2019. The 2019 Equity Plan was approved by its stockholders on May 24, 2019. As of September 30, 2019, an aggregate of 2,426,025 shares of restricted common stock were outstanding, with no shares reserved for future issuance. Restricted shares granted under the 2019 Equity Plan shall vest in substantially equal installments on the 6th, 12th, 18th and 24th monthly anniversary of the closing of the IPO. Awards granted under the 2019 Equity Plan and not previously forfeited upon termination of service carry dividend and voting rights applicable to the Company’s common stock, irrespective of any vesting requirement. Under ASC Topic 718, following the IPO, the Company records stock-based compensation expense related to grants made under the 2019 Equity Plan over the vesting period of the restricted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options activity during the nine months ended September 30, 2019:</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1,867,747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19,573,295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195,975</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(165,622)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Balance—September 30, 2019</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1,897,613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498,451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2019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7.55</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359,753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218,096</w:t>
            </w:r>
          </w:p>
        </w:tc>
        <w:tc>
          <w:tcPr>
            <w:tcW w:w="12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September 30, 2019</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1,954,263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498,451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weighted-average grant date fair value of options granted during the nine months ended September 30, 2019 was $5.67. There were no grants during the nine months ended September 30, 2018. As of September 30, 2019, the total unrecognized compensation expense related to unvested options was $13.7 million, which the Company expects to recognize over an estimated weighted average period of 2.26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weighted-average assumptions used in the Black-Scholes option-pricing model to determine grant fair value:</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53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r>
      <w:tr>
        <w:trPr>
          <w:trHeight w:val="133"/>
        </w:trPr>
        <w:tc>
          <w:tcPr>
            <w:tcW w:w="536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1"/>
                <w:szCs w:val="11"/>
                <w:color w:val="auto"/>
              </w:rPr>
            </w:pPr>
          </w:p>
        </w:tc>
      </w:tr>
      <w:tr>
        <w:trPr>
          <w:trHeight w:val="171"/>
        </w:trPr>
        <w:tc>
          <w:tcPr>
            <w:tcW w:w="53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Volatility</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66.72%</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tcPr>
          <w:p>
            <w:pPr>
              <w:jc w:val="right"/>
              <w:spacing w:after="0"/>
              <w:rPr>
                <w:sz w:val="20"/>
                <w:szCs w:val="20"/>
                <w:color w:val="auto"/>
              </w:rPr>
            </w:pPr>
            <w:r>
              <w:rPr>
                <w:rFonts w:ascii="Arial" w:cs="Arial" w:eastAsia="Arial" w:hAnsi="Arial"/>
                <w:sz w:val="18"/>
                <w:szCs w:val="18"/>
                <w:color w:val="auto"/>
              </w:rPr>
              <w:t>0.000</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0.000</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22222"/>
        </w:rPr>
        <w:t>A summary of restricted stock activity within the Company’s equity plans and changes for the nine months ended September 30, 2019, is as follows: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52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Restricted Stock Awards</w:t>
            </w: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January 1, 2019</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2,645,123</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(69,141)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September 30,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2,575,982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Stock-based compensation expense for restricted shares granted was $6.2 million and $7.4 million for the three and nine months ended September 30, 2019, respectively. </w:t>
      </w:r>
      <w:r>
        <w:rPr>
          <w:rFonts w:ascii="Arial" w:cs="Arial" w:eastAsia="Arial" w:hAnsi="Arial"/>
          <w:sz w:val="18"/>
          <w:szCs w:val="18"/>
          <w:color w:val="222222"/>
        </w:rPr>
        <w:t>No restricted shares vested during the nine months ended September 30, 2019.</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weighted-average grant date fair value of restricted shares granted during the nine months ended September 30, 2019 was $18.89 As of September 30, 2019, the total unrecognized compensation expense related to unvested restricted shares was $41.3 million , which the Company expects to recognize over an estimated weighted-average period of 1.75 years.</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22222"/>
        </w:rPr>
        <w:t xml:space="preserve">The table above includes 149,957 of restricted shares that have been granted under the Mohawk 2018 Plan and included in the shares outstanding under that plan and </w:t>
      </w:r>
      <w:r>
        <w:rPr>
          <w:rFonts w:ascii="Arial" w:cs="Arial" w:eastAsia="Arial" w:hAnsi="Arial"/>
          <w:sz w:val="18"/>
          <w:szCs w:val="18"/>
          <w:color w:val="000000"/>
        </w:rPr>
        <w:t>carry dividend or voting rights applicable to the Company’s common shares.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22222"/>
        </w:rPr>
        <w:t>Stock-based compensation expense is allocated based on the cost center to which the award holder belongs. The following table summarizes the total stock-based compensation expense by function for the three and nine months ended September 30, 2018 and 2019:</w:t>
      </w:r>
    </w:p>
    <w:p>
      <w:pPr>
        <w:sectPr>
          <w:pgSz w:w="11900" w:h="16838" w:orient="portrait"/>
          <w:cols w:equalWidth="0" w:num="1">
            <w:col w:w="11440"/>
          </w:cols>
          <w:pgMar w:left="240" w:top="550" w:right="219" w:bottom="1440" w:gutter="0" w:footer="0" w:header="0"/>
        </w:sectPr>
      </w:pPr>
    </w:p>
    <w:p>
      <w:pPr>
        <w:spacing w:after="0" w:line="311" w:lineRule="exact"/>
        <w:rPr>
          <w:sz w:val="20"/>
          <w:szCs w:val="20"/>
          <w:color w:val="auto"/>
        </w:rPr>
      </w:pPr>
    </w:p>
    <w:p>
      <w:pPr>
        <w:jc w:val="center"/>
        <w:ind w:left="5980"/>
        <w:spacing w:after="0"/>
        <w:rPr>
          <w:sz w:val="20"/>
          <w:szCs w:val="20"/>
          <w:color w:val="auto"/>
        </w:rPr>
      </w:pPr>
      <w:r>
        <w:rPr>
          <w:rFonts w:ascii="Arial" w:cs="Arial" w:eastAsia="Arial" w:hAnsi="Arial"/>
          <w:sz w:val="13"/>
          <w:szCs w:val="13"/>
          <w:b w:val="1"/>
          <w:bCs w:val="1"/>
          <w:u w:val="single" w:color="auto"/>
          <w:color w:val="auto"/>
        </w:rPr>
        <w:t>Three Months Ended September 30,</w:t>
      </w:r>
    </w:p>
    <w:p>
      <w:pPr>
        <w:spacing w:after="0" w:line="36" w:lineRule="exact"/>
        <w:rPr>
          <w:sz w:val="20"/>
          <w:szCs w:val="20"/>
          <w:color w:val="auto"/>
        </w:rPr>
      </w:pPr>
    </w:p>
    <w:p>
      <w:pPr>
        <w:ind w:left="6320"/>
        <w:spacing w:after="0"/>
        <w:tabs>
          <w:tab w:leader="none" w:pos="7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78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13970</wp:posOffset>
            </wp:positionV>
            <wp:extent cx="14662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8200" w:space="320"/>
            <w:col w:w="2920"/>
          </w:cols>
          <w:pgMar w:left="240" w:top="550" w:right="2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85"/>
              <w:spacing w:after="0" w:line="155" w:lineRule="exact"/>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3"/>
          </w:tcPr>
          <w:p>
            <w:pPr>
              <w:jc w:val="right"/>
              <w:ind w:right="45"/>
              <w:spacing w:after="0" w:line="155"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4,772</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4"/>
        </w:trPr>
        <w:tc>
          <w:tcPr>
            <w:tcW w:w="4560" w:type="dxa"/>
            <w:vAlign w:val="bottom"/>
            <w:gridSpan w:val="2"/>
          </w:tcPr>
          <w:p>
            <w:pPr>
              <w:ind w:left="580"/>
              <w:spacing w:after="0"/>
              <w:rPr>
                <w:sz w:val="20"/>
                <w:szCs w:val="20"/>
                <w:color w:val="auto"/>
              </w:rPr>
            </w:pPr>
            <w:r>
              <w:rPr>
                <w:rFonts w:ascii="Arial" w:cs="Arial" w:eastAsia="Arial" w:hAnsi="Arial"/>
                <w:sz w:val="18"/>
                <w:szCs w:val="18"/>
                <w:color w:val="auto"/>
              </w:rPr>
              <w:t>Total stock-based compensation expense</w:t>
            </w:r>
          </w:p>
        </w:tc>
        <w:tc>
          <w:tcPr>
            <w:tcW w:w="140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7,716</w:t>
            </w:r>
          </w:p>
        </w:tc>
        <w:tc>
          <w:tcPr>
            <w:tcW w:w="2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796"/>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0" w:right="219" w:bottom="1440" w:gutter="0" w:footer="0" w:header="0"/>
          <w:type w:val="continuous"/>
        </w:sectPr>
      </w:pPr>
    </w:p>
    <w:bookmarkStart w:id="20" w:name="page21"/>
    <w:bookmarkEnd w:id="20"/>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reflects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restricted shares are entitled to receive dividends and hold voting rights applicable to the Company’s common stock, irrespective of any vesting requirement. Accordingly, although the vesting commences upon the elimination of the contingency, the restricted shares are considered a participating security and the Company is required to apply the two-class method to consider the impact of the restricted shares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restricted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156"/>
        </w:trPr>
        <w:tc>
          <w:tcPr>
            <w:tcW w:w="5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left="639"/>
              <w:spacing w:after="0" w:line="155" w:lineRule="exact"/>
              <w:rPr>
                <w:sz w:val="20"/>
                <w:szCs w:val="20"/>
                <w:color w:val="auto"/>
              </w:rPr>
            </w:pPr>
            <w:r>
              <w:rPr>
                <w:rFonts w:ascii="Arial" w:cs="Arial" w:eastAsia="Arial" w:hAnsi="Arial"/>
                <w:sz w:val="14"/>
                <w:szCs w:val="14"/>
                <w:color w:val="auto"/>
                <w:w w:val="92"/>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(5,127)</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(11,317)</w:t>
            </w: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Weighted-average number of shares outstanding used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computing net loss per share, basic and diluted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10,532,926</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15,134,422</w:t>
            </w:r>
          </w:p>
        </w:tc>
        <w:tc>
          <w:tcPr>
            <w:tcW w:w="80" w:type="dxa"/>
            <w:vAlign w:val="bottom"/>
            <w:tcBorders>
              <w:bottom w:val="single" w:sz="8" w:color="CFF0FC"/>
            </w:tcBorders>
          </w:tcPr>
          <w:p>
            <w:pPr>
              <w:spacing w:after="0"/>
              <w:rPr>
                <w:sz w:val="20"/>
                <w:szCs w:val="20"/>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56"/>
        </w:trPr>
        <w:tc>
          <w:tcPr>
            <w:tcW w:w="54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left="639"/>
              <w:spacing w:after="0" w:line="155" w:lineRule="exact"/>
              <w:rPr>
                <w:sz w:val="20"/>
                <w:szCs w:val="20"/>
                <w:color w:val="auto"/>
              </w:rPr>
            </w:pPr>
            <w:r>
              <w:rPr>
                <w:rFonts w:ascii="Arial" w:cs="Arial" w:eastAsia="Arial" w:hAnsi="Arial"/>
                <w:sz w:val="14"/>
                <w:szCs w:val="14"/>
                <w:color w:val="auto"/>
                <w:w w:val="92"/>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(23,233)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(27,331)</w:t>
            </w: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Weighted-average number of shares outstanding used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computing net loss per share, basic and diluted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9,687,078</w:t>
            </w: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12,971,641</w:t>
            </w:r>
          </w:p>
        </w:tc>
        <w:tc>
          <w:tcPr>
            <w:tcW w:w="80" w:type="dxa"/>
            <w:vAlign w:val="bottom"/>
            <w:tcBorders>
              <w:bottom w:val="single" w:sz="8" w:color="CFF0FC"/>
            </w:tcBorders>
          </w:tcPr>
          <w:p>
            <w:pPr>
              <w:spacing w:after="0"/>
              <w:rPr>
                <w:sz w:val="20"/>
                <w:szCs w:val="20"/>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—The Company is party to various actions and claims arising in the normal course of business. The Company does not believe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Recall</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April 2018, the Company retained outside counsel to assist it in evaluating a safety issue related to certain hair dryers that it imported and sold through its subsidiaries between 2014 and 2018 (the “Xtava Allure Hair Dryer”). The Company had received communications directly from consumers and identified online reviews of overheating or fires associated with these hair dryers. The Company sold approximately 170,000 net units from the introduction of the product in 2015 through its discontinuance in the first quarter of 2018 totaling approximately $6.2 million in net revenue.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spacing w:after="0" w:line="271" w:lineRule="auto"/>
        <w:rPr>
          <w:sz w:val="20"/>
          <w:szCs w:val="20"/>
          <w:color w:val="auto"/>
        </w:rPr>
      </w:pPr>
      <w:r>
        <w:rPr>
          <w:rFonts w:ascii="Arial" w:cs="Arial" w:eastAsia="Arial" w:hAnsi="Arial"/>
          <w:sz w:val="17"/>
          <w:szCs w:val="17"/>
          <w:color w:val="auto"/>
        </w:rPr>
        <w:t>In May 2018, the Company’s board of directors approved a voluntary recall of the Xtava Allure Hair Dryer. In June 2018, the Company filed an application for a voluntary recall with the US Consumer Product Safety Commission (“CPSC”) pursuant to Section 15(b) of the Consumer Product Safety Act (“CPSA”). The Company received approval from the CPSC to provide consumers with replacement units and publicly announced the recall on August 15, 2018. The Company had estimated that it would incur approximately $1.6 million in costs related to the recall for procurement, manufacturing, fulfillment and delivery to consumers who apply and qualify for the recall costs. The Company has incurred and settled all but one consumer legal matter related to Xtava Allure Hair Dryer for insignificant amounts. As of September 30, 2019, the Company has incurred $0.1 million in recall costs. In August 2019, the Company received notice that it has materially completed its obligations under the recall program and, as a result, has reversed $1.4 million of the remaining liability pertaining to the program. As of September 30, 2019, the remaining recall liability is $0.1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Department of Energy</w:t>
      </w:r>
    </w:p>
    <w:p>
      <w:pPr>
        <w:spacing w:after="0" w:line="13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In September 2019, the Company received a Test Notice from the U.S. Department of Energy (“DOE”) indicating that a certain dehumidifier model may not comply with applicable energy-conservation standards. The DOE requested that the Company provide it with several model units for DOE testing. If the Company is determined to have violated certain energy-conservation standard,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Arial" w:cs="Arial" w:eastAsia="Arial" w:hAnsi="Arial"/>
          <w:sz w:val="17"/>
          <w:szCs w:val="17"/>
          <w:color w:val="222222"/>
        </w:rPr>
        <w:t>The Company believes that its products are</w:t>
      </w:r>
      <w:r>
        <w:rPr>
          <w:rFonts w:ascii="Arial" w:cs="Arial" w:eastAsia="Arial" w:hAnsi="Arial"/>
          <w:sz w:val="17"/>
          <w:szCs w:val="17"/>
          <w:color w:val="auto"/>
        </w:rPr>
        <w:t xml:space="preserve"> </w:t>
      </w:r>
      <w:r>
        <w:rPr>
          <w:rFonts w:ascii="Arial" w:cs="Arial" w:eastAsia="Arial" w:hAnsi="Arial"/>
          <w:sz w:val="17"/>
          <w:szCs w:val="17"/>
          <w:color w:val="222222"/>
        </w:rPr>
        <w:t xml:space="preserve">compliant, and the Company, in conjunction with its manufacturing partner, has disputed the Test Notice received from the DOE. </w:t>
      </w:r>
      <w:r>
        <w:rPr>
          <w:rFonts w:ascii="Arial" w:cs="Arial" w:eastAsia="Arial" w:hAnsi="Arial"/>
          <w:sz w:val="17"/>
          <w:szCs w:val="17"/>
          <w:color w:val="000000"/>
        </w:rPr>
        <w:t>As of the date of the</w:t>
      </w:r>
      <w:r>
        <w:rPr>
          <w:rFonts w:ascii="Arial" w:cs="Arial" w:eastAsia="Arial" w:hAnsi="Arial"/>
          <w:sz w:val="17"/>
          <w:szCs w:val="17"/>
          <w:color w:val="222222"/>
        </w:rPr>
        <w:t xml:space="preserve"> </w:t>
      </w:r>
      <w:r>
        <w:rPr>
          <w:rFonts w:ascii="Arial" w:cs="Arial" w:eastAsia="Arial" w:hAnsi="Arial"/>
          <w:sz w:val="17"/>
          <w:szCs w:val="17"/>
          <w:color w:val="000000"/>
        </w:rPr>
        <w:t>issuance of these financial statements, the Company cannot reasonably estimate what, if any, penalties may be levied.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Environmental Protection Agency</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222222"/>
        </w:rPr>
        <w:t>In September 2019, the Company received notice from the U.S. Environmental Protection Agency (“EPA”) that 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298" w:lineRule="exact"/>
        <w:rPr>
          <w:sz w:val="20"/>
          <w:szCs w:val="20"/>
          <w:color w:val="auto"/>
        </w:rPr>
      </w:pPr>
    </w:p>
    <w:p>
      <w:pPr>
        <w:ind w:right="7900" w:firstLine="8"/>
        <w:spacing w:after="0" w:line="408" w:lineRule="auto"/>
        <w:tabs>
          <w:tab w:leader="none" w:pos="51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 Restated Voting Agreement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1, 2018, Dr. Larisa Storozhenko, Maximus Yaney and Asher Maximus I, LLC (the “Initial Designating Parties”) entered into a voting agreement with Mr. Asher Delug, one of the stockholders of the Company and a member of the Company’s board of directors, pursuant to which Mr. Delug will have the power to vote such number of shares of common stock as is equal to: (a) all of the shares of the Company’s common stock beneficially held by the Initial Designating Parties minus (b) such number of shares of common stock representing 19.9% of the total voting power of the Company’s capital stock outstanding with respect to the election of directors, the appointment of officers and any amendments of the Company’s amended and restated certificate of incorporation or amended and restated bylaws (the “Voting Agreement”).</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Voting Agreement was amended and restated pursuant to a new Voting Agreement, dated March 13, 2019, by and among MV II, LLC, Dr. Larisa Storozhenko, Mr. Maximus Yaney, Mr. Delug and the Company (the “Restated Voting Agreement”). Under the Restated Voting Agreement, each of MV II, LLC, Dr. Larisa Storozhenko and Mr. Yaney (collectively, the “Designating Parties”) agreed to relinquish the right to vote their shares of the Company’s capital stock, and any of the Company’s other equity interests (collectively, the “Voting Interests”) by granting the Company’s board of directors the sole right to vote all of the Voting Interests as the Designating Parties’ proxyholder. The Voting Interests include all shares of the Company’s common stock currently held by the Designating Parties, as well as any of the Company’s securities or other equity interests acquired by the Designating Parties in the future. Pursuant to the proxy granted by the Designating Parties, the Company’s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the Company receives the prior approval of The Nasdaq Stock Market LLC.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ind w:right="520"/>
        <w:spacing w:after="0" w:line="277" w:lineRule="auto"/>
        <w:rPr>
          <w:sz w:val="20"/>
          <w:szCs w:val="20"/>
          <w:color w:val="auto"/>
        </w:rPr>
      </w:pPr>
      <w:r>
        <w:rPr>
          <w:rFonts w:ascii="Arial" w:cs="Arial" w:eastAsia="Arial" w:hAnsi="Arial"/>
          <w:sz w:val="18"/>
          <w:szCs w:val="18"/>
          <w:color w:val="auto"/>
        </w:rPr>
        <w:t>Under the Restated Voting Agreement, each of the Designating Parties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The Restated Voting Agreement became effective on June 12, 2019 and will continue until the earlier to occur of (a) a Deemed Liquidation Event unless, immediately upon such Deemed Liquidation Event, the Company’s common stock is and remains listed on The Nasdaq Stock Market LLC, or</w:t>
      </w:r>
    </w:p>
    <w:p>
      <w:pPr>
        <w:ind w:right="60" w:firstLine="8"/>
        <w:spacing w:after="0" w:line="268"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Yaney’s death. For purposes of the agreement, a “Deemed Liquidation Event” means (i) the acquisition of the Company by another entity by means of any transaction or series of related transactions to which the Company is party other than a transaction or series of transactions in which the holders of the Company’s voting securities outstanding immediately prior to such transaction or series of transactions retain, immediately after such transaction or series of transactions, as a result of the Company’s shares held by such holders prior to such transaction or series of transactions, a majority of the total voting power represented by the Company’s outstanding voting securities or such other surviving or resulting entity; (ii) a sale, lease or other disposition of all or substantially all of the Company’s or its subsidiaries’ assets taken as a whole by means of any transaction or series of related transactions, except where such sale, lease or other disposition is to a wholly-owned subsidiary of the Company; or (iii) any liquidation, dissolution or winding up of the Company, whether voluntary or involuntary; however, a Deemed Liquidation Event shall not include any transaction effected primarily to raise capital for the Company or a spin-off or similar divestiture of the Company’s product or SaaS business as part of reorganization of the Company approved by the Company’s 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 with Asher Delug</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April 12, 2019, the Company entered into a Voting Agreement with Asher Delug (the “Delug Voting Agreement”). The terms of the Delug Voting Agreement are substantially similar to the terms of the Restated Voting Agreement.</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Under the Delug Voting Agreement, Mr. Delug agreed to relinquish his right to vote his shares of the Company’s capital stock, and any of the Company’s other equity interests (collectively, the “Delug Voting Interests”) by granting the Company’s board of directors the sole right to vote all of the Delug Voting Interests as Mr. Delug’s proxyholder. The Delug Voting Interests include all shares of the Company’s common stock currently held by Mr. Delug, as well as any of the Company’s securities or other equity interests acquired by Mr. Delug in the future. Pursuant to the proxy granted by Mr. Delug, the Company’s board of directors is required to vote all of the Delug Voting Interests in direct proportion to the voting of the shares and equity interests voted by all holders other than Mr. Delug. The proxy granted by Mr. Delug under the Delug Voting Agreement is irrevocable. In addition, the Delug Voting Agreement proxyholder may not be changed unless the Company receives the prior approval of The Nasdaq Stock Market LLC.</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the Delug Voting Agreement, Mr. Delug further agreed not to purchase or otherwise acquire any shares of the Company’s capital stock or other equity securities, or any interest in any of the foregoing.</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Delug Voting Agreement became effective on June 12, 2019 and will continue until the earlier to occur of (a) a Deemed Liquidation Event unless, immediately upon such Deemed Liquidation Event, the Company’s common stock is and remains listed on The Nasdaq Stock Market LLC, or (b) Mr. Delug’s death. For purposes of the agreement, a “Deemed Liquidation Event” has the same meaning as in the Restated Voting Agreement.</w:t>
      </w:r>
    </w:p>
    <w:p>
      <w:pPr>
        <w:spacing w:after="0" w:line="310"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2019 ACQUISITION</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September 10, 2019, the Company completed the acquisition of the assets of a personal wellness company (the “Aussie Health Assets”), whose products sell primarily on the Amazon US marketplace, for total consideration of $1.3 million, which was comprised of cash of $1.1 million and a promissory note for $0.2 million that accrues interest at a rate of 8% per annum and matures on June 10, 2020. The Company also will pay $0.1 million in the form of a working capital payment related to the inventory purchased within sixty days of closing.</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their estimated fair values at acquisition date: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45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Goodwill</w:t>
            </w:r>
          </w:p>
        </w:tc>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ind w:left="1140"/>
              <w:spacing w:after="0"/>
              <w:rPr>
                <w:sz w:val="20"/>
                <w:szCs w:val="20"/>
                <w:color w:val="auto"/>
              </w:rPr>
            </w:pPr>
            <w:r>
              <w:rPr>
                <w:rFonts w:ascii="Arial" w:cs="Arial" w:eastAsia="Arial" w:hAnsi="Arial"/>
                <w:sz w:val="18"/>
                <w:szCs w:val="18"/>
                <w:color w:val="auto"/>
              </w:rPr>
              <w:t>Net assets acquired</w:t>
            </w:r>
          </w:p>
        </w:tc>
        <w:tc>
          <w:tcPr>
            <w:tcW w:w="42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80" w:type="dxa"/>
            <w:vAlign w:val="bottom"/>
            <w:vMerge w:val="restart"/>
          </w:tcPr>
          <w:p>
            <w:pPr>
              <w:jc w:val="right"/>
              <w:ind w:right="247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Amount allocated</w:t>
            </w:r>
          </w:p>
        </w:tc>
        <w:tc>
          <w:tcPr>
            <w:tcW w:w="24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Useful life (in years)</w:t>
            </w: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255"/>
              <w:spacing w:after="0" w:line="155"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n.a.</w:t>
            </w: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Trademarks</w:t>
            </w: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w:t>
            </w:r>
          </w:p>
        </w:tc>
        <w:tc>
          <w:tcPr>
            <w:tcW w:w="18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5</w:t>
            </w: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1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5"/>
              </w:rPr>
              <w:t>&lt; 1</w:t>
            </w: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Non-competition agreement</w:t>
            </w:r>
          </w:p>
        </w:tc>
        <w:tc>
          <w:tcPr>
            <w:tcW w:w="1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0" w:type="dxa"/>
            <w:vAlign w:val="bottom"/>
            <w:tcBorders>
              <w:bottom w:val="single" w:sz="8" w:color="CFF0FC"/>
            </w:tcBorders>
            <w:gridSpan w:val="2"/>
          </w:tcPr>
          <w:p>
            <w:pPr>
              <w:jc w:val="center"/>
              <w:ind w:left="130"/>
              <w:spacing w:after="0"/>
              <w:rPr>
                <w:sz w:val="20"/>
                <w:szCs w:val="20"/>
                <w:color w:val="auto"/>
              </w:rPr>
            </w:pPr>
            <w:r>
              <w:rPr>
                <w:rFonts w:ascii="Arial" w:cs="Arial" w:eastAsia="Arial" w:hAnsi="Arial"/>
                <w:sz w:val="18"/>
                <w:szCs w:val="18"/>
                <w:color w:val="auto"/>
                <w:w w:val="99"/>
              </w:rPr>
              <w:t>3</w:t>
            </w:r>
          </w:p>
        </w:tc>
      </w:tr>
      <w:tr>
        <w:trPr>
          <w:trHeight w:val="237"/>
        </w:trPr>
        <w:tc>
          <w:tcPr>
            <w:tcW w:w="20" w:type="dxa"/>
            <w:vAlign w:val="bottom"/>
          </w:tcPr>
          <w:p>
            <w:pPr>
              <w:spacing w:after="0"/>
              <w:rPr>
                <w:sz w:val="20"/>
                <w:szCs w:val="20"/>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135"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color w:val="auto"/>
        </w:rPr>
        <w:t>The following unaudited pro forma information illustrates the impact of the Aussie Health Assets acquisition on the Company’s net revenue for the three and nine months ended September 30, 2018 and 2019. The acquisition of the Aussie Health Assets is reflected in the following unaudited pro forma information as if the acquisition had been effective on January 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Three months</w:t>
            </w:r>
          </w:p>
        </w:tc>
        <w:tc>
          <w:tcPr>
            <w:tcW w:w="6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Nine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ended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216"/>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5"/>
          </w:tcPr>
          <w:p>
            <w:pPr>
              <w:jc w:val="right"/>
              <w:ind w:right="634"/>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5"/>
          </w:tcPr>
          <w:p>
            <w:pPr>
              <w:jc w:val="right"/>
              <w:ind w:right="636"/>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13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24,672</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40,603</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Aussie Health net revenue</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26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as reported</w:t>
            </w:r>
          </w:p>
        </w:tc>
        <w:tc>
          <w:tcPr>
            <w:tcW w:w="13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(4,707)</w:t>
            </w:r>
          </w:p>
        </w:tc>
        <w:tc>
          <w:tcPr>
            <w:tcW w:w="26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(10,413)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(21,772)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(23,887)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Aussie Health operating income</w:t>
            </w:r>
          </w:p>
        </w:tc>
        <w:tc>
          <w:tcPr>
            <w:tcW w:w="13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6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 pro forma</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thereto included in Part I, Item 1 of this report and with our audited financial statements and related notes thereto for the year ended December 31, 2018, included in the final prospectus for our initial public offering (“IPO”), dated as of June 12, 2019, and filed with the Securities and Exchange Commission (“SEC”) pursuant to Rule 424(b)(4) on June 13, 2019 (File No. 333-231381) (the “Final Prospectus”). You should review the sections titled “Special Note Regarding Forward-Looking Statements” for a discussion of forward-looking statements and in Part II, Item 1A, “Risk Factors” and elsewhere in this Quarterly Report on Form 10-Q for a discussion of factors that could cause actual results to differ materially from the results described in or implied by the forward-looking statements contained in the following discussion and analysis and elsewhere in this Quarterly Report on Form 10-Q and in the Final Prospectus.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Unless the context otherwise requires, the terms “Mohawk,” the “Company,” “we,” “us” and “our” in this Quarterly Report on Form 10-Q refer to Mohawk Group Holdings, Inc. and our consolidated subsidiaries, including Mohawk Group,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Mohawk is a rapidly growing technology-enabled consumer products company. Mohawk was founded on the premise that if a consumer products goods (“CPG”) company was founded today, it would apply artificial intelligence (“A.I.”) and machine learning, the synthesis of massive quantities of data and the use of social proof to validate high caliber product offerings as opposed to over-reliance on brand value and other traditional marketing tactics.</w:t>
      </w:r>
    </w:p>
    <w:p>
      <w:pPr>
        <w:spacing w:after="0" w:line="14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Since our founding in 2014, we have scaled our business in a rapid, capital-efficient manner, having raised $102.3 million of equity capital from inception through September 30, 2019. We have grown our net revenue each year since 2015, resulting in net revenue of $73.3 million in 2018, up 101.0% over 2017, with net losses of $31.8 million and $23.1 million for 2018 and 2017, respectively. For the three months ended September 30, 2019, we increased our net revenue by $15.9 million to $40.6 million from $24.7 million for the three months ended September 30, 2018, with net losses of $11.3 million and $5.1 million for the three months ended September 30, 2019 and September 30, 2018, respectively. For the nine months ended September 30, 2019, we increased our net revenue by $35.2 million to $88.8 million from $53.6 million for the nine months ended September 30, 2018, with net losses of $27.3 million and $23.2 million for the nine months ended September 30, 2019 and September 30, 2018, respectively.</w:t>
      </w:r>
    </w:p>
    <w:p>
      <w:pPr>
        <w:spacing w:after="0" w:line="17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have launched and sold hundreds of SKUs on Amazon and other e-commerce platforms. Through the success of those products, we have grouped them and have incubated four owned and operated brands: hOmelabs, Vremi, Xtava and RIF6. These product categories include home and kitchen appliances, kitchenware, environmental appliances (i.e., dehumidifiers and air conditioners), beauty related products and, to a lesser extent, consumer electronics.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we are reinventing how to rapidly and successfully identify new product opportunities and to launch, autonomously market and sell products in the rapidly growing global e-commerce market by leveraging our proprietary software technology platform, known as AIMEE. AIMEE combines large quantities of data, A.I., machine learning and other automation algorithms, at scale, to allow rapid opportunity identification and automated online sales and marketing of consumer products.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AIMEE sources data from various e-commerce platforms, the internet and publicly available data, allowing us to estimate and determine trends, performance, and consumer sentiment on products and searches within e-commerce platforms. This functionality allows us to help determine which products to market, manufacture through contract manufacturers, import and sell on e-commerce marketplaces. AIMEE is also connected, through APIs, to multiple e-commerce platforms. This allows us to automate the purchase of marketing, to automate various parts of our fulfillment and logistics operations and to automate the change of pricing of product listings.</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generate revenue primarily through the online sales of our various digital native consumer products and substantially all of our sales are made through the Amazon U.S. marketplace. AIMEE is integrated with marketplaces in the U.S., including Amazon and Walmart, among others, and other platforms like Shopify, and we intend to launch products in the future, managed by AIMEE, on marketplaces outside the U.S. In 2018, predominantly through pilot programs, we began offering third party brands access to AIMEE through our managed SaaS business. In 2018, revenue from our managed SaaS business was $0.5 million. For the nine months ended September 30, 2019, our revenue from our managed SaaS business was $1.2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United States (“GAAP”). However, for the reasons discussed below, we have presented certain non-GAAP measures 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line="273" w:lineRule="auto"/>
        <w:rPr>
          <w:sz w:val="20"/>
          <w:szCs w:val="20"/>
          <w:color w:val="auto"/>
        </w:rPr>
      </w:pPr>
      <w:r>
        <w:rPr>
          <w:rFonts w:ascii="Arial" w:cs="Arial" w:eastAsia="Arial" w:hAnsi="Arial"/>
          <w:sz w:val="17"/>
          <w:szCs w:val="17"/>
          <w:color w:val="auto"/>
        </w:rPr>
        <w:t>As used herein, Contribution margin represents operating loss plus general and administrative expenses, research and development expenses and fixed sales and distribution expenses.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and other expense, net. As used herein, Adjusted EBTIDA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present Contribution margin, Contribution margin as a percentage of net revenue, EBITDA, Adjusted EBITDA and Adjusted EBITDA as a percentage of net revenue because we believe each of these measures provides an additional metric to evaluate our operations and, when considered with both our GAAP results and the reconciliation to net loss, provides useful supplemental information for investors. We use Contribution margin, Contribution margin as a percentage of net revenue, EBITDA, Adjusted EBITDA and Adjusted EBITDA as a percentage of net revenue,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2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w:t>
      </w:r>
    </w:p>
    <w:p>
      <w:pPr>
        <w:ind w:right="40"/>
        <w:spacing w:after="0" w:line="268" w:lineRule="auto"/>
        <w:rPr>
          <w:sz w:val="20"/>
          <w:szCs w:val="20"/>
          <w:color w:val="auto"/>
        </w:rPr>
      </w:pPr>
      <w:r>
        <w:rPr>
          <w:rFonts w:ascii="Arial" w:cs="Arial" w:eastAsia="Arial" w:hAnsi="Arial"/>
          <w:sz w:val="17"/>
          <w:szCs w:val="17"/>
          <w:color w:val="auto"/>
        </w:rPr>
        <w:t>items. 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nor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recognize that EBITDA, Adjusted EBITDA and Adjusted EBITDA as a percentage of net revenue, have limitations as analytical financial measures. For example, neither EBITDA nor Adjusted EBITDA reflects:</w:t>
      </w:r>
    </w:p>
    <w:p>
      <w:pPr>
        <w:spacing w:after="0" w:line="76"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interest expense or the cash requirements necessary to service interest expense or principal payments, associated with indebtedness;</w:t>
      </w:r>
    </w:p>
    <w:p>
      <w:pPr>
        <w:spacing w:after="0" w:line="142"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 or</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Adjusted EBITDA excludes non-cash expense for stock-based compensation, which is and will remain a key element of our overall long-term incentive compensation package.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76"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administrative expenses necessary to operate our business;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research and development expenses necessary for the development, operation and support of our software platform; or</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derive our revenue from the sale of consumer products, primarily in the United States. We sell products directly to consumers through online retail channels and through wholesale channels. Direct to consumer sales,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2018, predominantly through pilot programs, we began offering third party brands access to AIMEE through our managed SaaS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shifts in the timing of certain holidays and changes in our product mix.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Each of our products typically goes through three core phases:</w:t>
      </w:r>
    </w:p>
    <w:p>
      <w:pPr>
        <w:spacing w:after="0" w:line="117" w:lineRule="exact"/>
        <w:rPr>
          <w:sz w:val="20"/>
          <w:szCs w:val="20"/>
          <w:color w:val="auto"/>
        </w:rPr>
      </w:pPr>
    </w:p>
    <w:p>
      <w:pPr>
        <w:ind w:left="1040" w:right="10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negative 35%. Net margin is calculated by taking net revenue less cost of goods sold, less fulfillment, online advertising and selling expenses. These costs primarily reflect the estimated variable costs related to the sale of a product.</w:t>
      </w:r>
    </w:p>
    <w:p>
      <w:pPr>
        <w:spacing w:after="0" w:line="78"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10% net margin, within three months of launch. Net margin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1040" w:right="40" w:hanging="519"/>
        <w:spacing w:after="0" w:line="25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achieve profitability at each transaction, or if the customer satisfaction of the product (i.e., ratings) is not satisfactory, then it will go to the liquidate phase and we will sell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As of the date of the filing of this Quarterly Report on Form 10-Q, none of our products have achieved the milk phase.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w:t>
      </w:r>
    </w:p>
    <w:p>
      <w:pPr>
        <w:spacing w:after="0" w:line="18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Cost of Goods Sold—</w:t>
      </w:r>
      <w:r>
        <w:rPr>
          <w:rFonts w:ascii="Arial" w:cs="Arial" w:eastAsia="Arial" w:hAnsi="Arial"/>
          <w:sz w:val="16"/>
          <w:szCs w:val="16"/>
          <w:color w:val="auto"/>
        </w:rPr>
        <w:t>Cost of goods sold is comprised of the book value of inventory sold to customers during the reporting period. When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dictate that we use net realizable value as the basis for recording inventory, we base our estimates on expected future selling prices less expected disposal costs. The Office of the U.S. Trade Representative (“USTR”) has imposed additional tariffs on products imported from China. We contract manufacturers, through purchase orders, predominantly in China, for our consumer products. As such, this exposes us to risks associated with doing business globally, including changes in tariffs, which impacts a significant number of our products. If proposed increases are enacted, the tariffs would impact all of our products. We believe tariff increases that have been previously announced and subsequently postponed by the USTR would have impacted our cost of goods sold at the end of the third quarter of 2019 as we expected to sell through our pre-tariff inventory. We planned our inventory purchases to delay the tariff impact, and once we sold through our pre-tariff inventory we expected to raise prices to offset the tariff impact. Our pricing actions are intended to offset the full gross margin impact of tariff increases, if they are enacted. However, there are no assurances that these pricing actions will not reduce customer orders.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 related costs and fees paid to outside consultants related to the development of our intellectual property.</w:t>
      </w:r>
    </w:p>
    <w:p>
      <w:pPr>
        <w:spacing w:after="0" w:line="13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Sales and Distribution Expenses—</w:t>
      </w:r>
      <w:r>
        <w:rPr>
          <w:rFonts w:ascii="Arial" w:cs="Arial" w:eastAsia="Arial" w:hAnsi="Arial"/>
          <w:sz w:val="16"/>
          <w:szCs w:val="16"/>
          <w:color w:val="auto"/>
        </w:rPr>
        <w:t>Sales and distribution expenses consist of online advertising costs, marketing and promotional costs, sales and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fulfillment, warehouse costs and employee compensation and benefits. Costs associated with our advertising and sales promotion are expensed as incurred and are included in sales and distribution expenses. Shipping and handling expense is included in our condensed consolidated statements of operations in sales and distribution expenses. This includes pick and pack costs and outbound transportation costs to ship goods to customers performed by e-commerce platforms (“FBA”) or incurred directly by us, through our own direct fulfillment platform (“FBM”), which leverages AIMEE and our third-party logistic partners. Our sales and distribution expenses, specifically our logistics expenses and online advertising, will vary quarter to quarter as they are dependent on our product mix (i.e., products in the launch phase or sustain phase) and whether we fulfill products ourselves, i.e., FBM, or through e-commerce platform service providers, i.e., 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w:t>
      </w:r>
    </w:p>
    <w:p>
      <w:pPr>
        <w:spacing w:after="0" w:line="164"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General and Administrative Expenses</w:t>
      </w:r>
      <w:r>
        <w:rPr>
          <w:rFonts w:ascii="Arial" w:cs="Arial" w:eastAsia="Arial" w:hAnsi="Arial"/>
          <w:sz w:val="17"/>
          <w:szCs w:val="17"/>
          <w:color w:val="auto"/>
        </w:rPr>
        <w:t>—General and administrative expenses include compensation and employee benefits for executive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administration, legal and human resources, facility costs, travel, professional service fees and other general overhead costs.</w:t>
      </w:r>
    </w:p>
    <w:p>
      <w:pPr>
        <w:spacing w:after="0" w:line="138"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Interest Expense, Net</w:t>
      </w:r>
      <w:r>
        <w:rPr>
          <w:rFonts w:ascii="Arial" w:cs="Arial" w:eastAsia="Arial" w:hAnsi="Arial"/>
          <w:sz w:val="18"/>
          <w:szCs w:val="18"/>
          <w:color w:val="auto"/>
        </w:rPr>
        <w:t>—Interest expense, net includes the interest cost from our credit facility and term loans and includes amortization of deferred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debt discounts from our current and prior credit facilities and prior term loan with MidCap Financial Trust (“MidCap”) and our current term loan with Horizon Technology Finance Corporation (“Horizon”).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and Financial Data:</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4"/>
                <w:szCs w:val="14"/>
                <w:color w:val="auto"/>
              </w:rPr>
            </w:pP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3"/>
                <w:szCs w:val="13"/>
                <w:color w:val="auto"/>
              </w:rPr>
            </w:pPr>
          </w:p>
        </w:tc>
      </w:tr>
      <w:tr>
        <w:trPr>
          <w:trHeight w:val="156"/>
        </w:trPr>
        <w:tc>
          <w:tcPr>
            <w:tcW w:w="3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23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24,420</w:t>
            </w:r>
          </w:p>
        </w:tc>
        <w:tc>
          <w:tcPr>
            <w:tcW w:w="5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40,026</w:t>
            </w:r>
          </w:p>
        </w:tc>
        <w:tc>
          <w:tcPr>
            <w:tcW w:w="4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49,662</w:t>
            </w: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86,398</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Wholesale</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Managed SaaS</w:t>
            </w:r>
          </w:p>
        </w:tc>
        <w:tc>
          <w:tcPr>
            <w:tcW w:w="2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FF0FC"/>
          </w:tcPr>
          <w:p>
            <w:pPr>
              <w:spacing w:after="0"/>
              <w:rPr>
                <w:sz w:val="19"/>
                <w:szCs w:val="19"/>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Net revenue</w:t>
            </w:r>
          </w:p>
        </w:tc>
        <w:tc>
          <w:tcPr>
            <w:tcW w:w="21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40,603</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88,817</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665" w:right="299" w:bottom="1440" w:gutter="0" w:footer="0" w:header="0"/>
        </w:sectPr>
      </w:pPr>
    </w:p>
    <w:p>
      <w:pPr>
        <w:spacing w:after="0" w:line="101" w:lineRule="exact"/>
        <w:rPr>
          <w:sz w:val="20"/>
          <w:szCs w:val="20"/>
          <w:color w:val="auto"/>
        </w:rPr>
      </w:pPr>
    </w:p>
    <w:p>
      <w:pPr>
        <w:jc w:val="center"/>
        <w:ind w:left="56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13970</wp:posOffset>
            </wp:positionV>
            <wp:extent cx="15005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72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8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13970</wp:posOffset>
            </wp:positionV>
            <wp:extent cx="15093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6" w:lineRule="exact"/>
        <w:rPr>
          <w:sz w:val="20"/>
          <w:szCs w:val="20"/>
          <w:color w:val="auto"/>
        </w:rPr>
      </w:pPr>
    </w:p>
    <w:p>
      <w:pPr>
        <w:ind w:left="260"/>
        <w:spacing w:after="0"/>
        <w:tabs>
          <w:tab w:leader="none" w:pos="1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7820" w:space="520"/>
            <w:col w:w="3020"/>
          </w:cols>
          <w:pgMar w:left="240" w:top="665" w:right="299" w:bottom="1440" w:gutter="0" w:footer="0" w:header="0"/>
          <w:type w:val="continuous"/>
        </w:sectPr>
      </w:pPr>
    </w:p>
    <w:tbl>
      <w:tblPr>
        <w:tblLayout w:type="fixed"/>
        <w:tblInd w:w="580" w:type="dxa"/>
        <w:tblCellMar>
          <w:top w:w="0" w:type="dxa"/>
          <w:left w:w="0" w:type="dxa"/>
          <w:bottom w:w="0" w:type="dxa"/>
          <w:right w:w="0" w:type="dxa"/>
        </w:tblCellMar>
      </w:tblPr>
      <w:tr>
        <w:trPr>
          <w:trHeight w:val="156"/>
        </w:trPr>
        <w:tc>
          <w:tcPr>
            <w:tcW w:w="4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 (1)</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265</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(6,807)</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w:t>
            </w:r>
          </w:p>
        </w:tc>
        <w:tc>
          <w:tcPr>
            <w:tcW w:w="240" w:type="dxa"/>
            <w:vAlign w:val="bottom"/>
            <w:shd w:val="clear" w:color="auto" w:fill="CFF0FC"/>
          </w:tcPr>
          <w:p>
            <w:pPr>
              <w:spacing w:after="0"/>
              <w:rPr>
                <w:sz w:val="19"/>
                <w:szCs w:val="19"/>
                <w:color w:val="auto"/>
              </w:rPr>
            </w:pPr>
          </w:p>
        </w:tc>
      </w:tr>
      <w:tr>
        <w:trPr>
          <w:trHeight w:val="243"/>
        </w:trPr>
        <w:tc>
          <w:tcPr>
            <w:tcW w:w="4460" w:type="dxa"/>
            <w:vAlign w:val="bottom"/>
          </w:tcPr>
          <w:p>
            <w:pPr>
              <w:spacing w:after="0"/>
              <w:rPr>
                <w:sz w:val="20"/>
                <w:szCs w:val="20"/>
                <w:color w:val="auto"/>
              </w:rPr>
            </w:pPr>
            <w:r>
              <w:rPr>
                <w:rFonts w:ascii="Arial" w:cs="Arial" w:eastAsia="Arial" w:hAnsi="Arial"/>
                <w:sz w:val="18"/>
                <w:szCs w:val="18"/>
                <w:color w:val="auto"/>
              </w:rPr>
              <w:t>Contribution margin as a percentage of net revenue (1)</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EBITDA (1)</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(4,628)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(10,393)</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(21,539)</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(23,804)</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Adjusted EBITDA (1)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(4,506)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(2,656)</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(21,102)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(11,916)</w:t>
            </w: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 (1)</w:t>
            </w:r>
          </w:p>
        </w:tc>
        <w:tc>
          <w:tcPr>
            <w:tcW w:w="5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w:t>
            </w:r>
          </w:p>
        </w:tc>
      </w:tr>
    </w:tbl>
    <w:p>
      <w:pPr>
        <w:spacing w:after="0" w:line="202" w:lineRule="exact"/>
        <w:rPr>
          <w:sz w:val="20"/>
          <w:szCs w:val="20"/>
          <w:color w:val="auto"/>
        </w:rPr>
      </w:pPr>
    </w:p>
    <w:p>
      <w:pPr>
        <w:ind w:left="760" w:right="80" w:firstLine="9"/>
        <w:spacing w:after="0" w:line="273" w:lineRule="auto"/>
        <w:tabs>
          <w:tab w:leader="none" w:pos="10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Contribution margin, EBITDA and Adjusted EBITDA are not financial measures prepared in accordance GAAP. As used herein, Contribution margin represents operating loss plus general and administrative expenses, research and development expenses and fixed sales and distribution expenses.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and other expense, net. As used herein, Adjusted EBITDA as a percentage of net revenue represents Adjusted EBITDA divided by net revenue.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type w:val="continuous"/>
        </w:sectPr>
      </w:pPr>
    </w:p>
    <w:bookmarkStart w:id="28" w:name="page29"/>
    <w:bookmarkEnd w:id="28"/>
    <w:p>
      <w:pPr>
        <w:ind w:right="160"/>
        <w:spacing w:after="0" w:line="277" w:lineRule="auto"/>
        <w:rPr>
          <w:sz w:val="20"/>
          <w:szCs w:val="20"/>
          <w:color w:val="auto"/>
        </w:rPr>
      </w:pPr>
      <w:r>
        <w:rPr>
          <w:rFonts w:ascii="Arial" w:cs="Arial" w:eastAsia="Arial" w:hAnsi="Arial"/>
          <w:sz w:val="18"/>
          <w:szCs w:val="18"/>
          <w:color w:val="auto"/>
        </w:rPr>
        <w:t>The following table provides a reconciliation of Contribution margin to operating loss, which is the most directly comparable financial measure presented in accordance with GAAP:</w:t>
      </w:r>
    </w:p>
    <w:p>
      <w:pPr>
        <w:sectPr>
          <w:pgSz w:w="11900" w:h="16838" w:orient="portrait"/>
          <w:cols w:equalWidth="0" w:num="1">
            <w:col w:w="11440"/>
          </w:cols>
          <w:pgMar w:left="240" w:top="557" w:right="219" w:bottom="1440" w:gutter="0" w:footer="0" w:header="0"/>
        </w:sectPr>
      </w:pPr>
    </w:p>
    <w:p>
      <w:pPr>
        <w:spacing w:after="0" w:line="270" w:lineRule="exact"/>
        <w:rPr>
          <w:sz w:val="20"/>
          <w:szCs w:val="20"/>
          <w:color w:val="auto"/>
        </w:rPr>
      </w:pPr>
    </w:p>
    <w:p>
      <w:pPr>
        <w:jc w:val="center"/>
        <w:ind w:left="57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13970</wp:posOffset>
            </wp:positionV>
            <wp:extent cx="14833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6" w:lineRule="exact"/>
        <w:rPr>
          <w:sz w:val="20"/>
          <w:szCs w:val="20"/>
          <w:color w:val="auto"/>
        </w:rPr>
      </w:pPr>
    </w:p>
    <w:p>
      <w:pPr>
        <w:ind w:left="6020"/>
        <w:spacing w:after="0"/>
        <w:tabs>
          <w:tab w:leader="none" w:pos="73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90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13970</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 w:lineRule="exact"/>
        <w:rPr>
          <w:sz w:val="20"/>
          <w:szCs w:val="20"/>
          <w:color w:val="auto"/>
        </w:rPr>
      </w:pPr>
    </w:p>
    <w:p>
      <w:pPr>
        <w:ind w:left="240"/>
        <w:spacing w:after="0"/>
        <w:tabs>
          <w:tab w:leader="none" w:pos="1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7940" w:space="460"/>
            <w:col w:w="3040"/>
          </w:cols>
          <w:pgMar w:left="240" w:top="557" w:right="219" w:bottom="1440" w:gutter="0" w:footer="0" w:header="0"/>
          <w:type w:val="continuous"/>
        </w:sectPr>
      </w:pPr>
    </w:p>
    <w:tbl>
      <w:tblPr>
        <w:tblLayout w:type="fixed"/>
        <w:tblInd w:w="580" w:type="dxa"/>
        <w:tblCellMar>
          <w:top w:w="0" w:type="dxa"/>
          <w:left w:w="0" w:type="dxa"/>
          <w:bottom w:w="0" w:type="dxa"/>
          <w:right w:w="0" w:type="dxa"/>
        </w:tblCellMar>
      </w:tblPr>
      <w:tr>
        <w:trPr>
          <w:trHeight w:val="156"/>
        </w:trPr>
        <w:tc>
          <w:tcPr>
            <w:tcW w:w="4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4"/>
          </w:tcPr>
          <w:p>
            <w:pPr>
              <w:jc w:val="right"/>
              <w:ind w:right="5"/>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ind w:right="45"/>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(4,707)</w:t>
            </w: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(10,413)</w:t>
            </w: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(21,772)</w:t>
            </w: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(23,887)</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Add (deduct)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15,779</w:t>
            </w:r>
          </w:p>
        </w:tc>
        <w:tc>
          <w:tcPr>
            <w:tcW w:w="1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5,657</w:t>
            </w:r>
          </w:p>
        </w:tc>
        <w:tc>
          <w:tcPr>
            <w:tcW w:w="180" w:type="dxa"/>
            <w:vAlign w:val="bottom"/>
          </w:tcPr>
          <w:p>
            <w:pPr>
              <w:spacing w:after="0"/>
              <w:rPr>
                <w:sz w:val="19"/>
                <w:szCs w:val="19"/>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fixed expenses, including</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7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4,052</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6,623</w:t>
            </w:r>
          </w:p>
        </w:tc>
        <w:tc>
          <w:tcPr>
            <w:tcW w:w="180" w:type="dxa"/>
            <w:vAlign w:val="bottom"/>
            <w:shd w:val="clear" w:color="auto" w:fill="CFF0FC"/>
          </w:tcPr>
          <w:p>
            <w:pPr>
              <w:spacing w:after="0"/>
              <w:rPr>
                <w:sz w:val="20"/>
                <w:szCs w:val="20"/>
                <w:color w:val="auto"/>
              </w:rPr>
            </w:pPr>
          </w:p>
        </w:tc>
      </w:tr>
      <w:tr>
        <w:trPr>
          <w:trHeight w:val="26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Contribution margin</w:t>
            </w:r>
          </w:p>
        </w:tc>
        <w:tc>
          <w:tcPr>
            <w:tcW w:w="7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2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180" w:type="dxa"/>
            <w:vAlign w:val="bottom"/>
            <w:tcBorders>
              <w:bottom w:val="single" w:sz="8" w:color="CFF0FC"/>
            </w:tcBorders>
          </w:tcPr>
          <w:p>
            <w:pPr>
              <w:spacing w:after="0"/>
              <w:rPr>
                <w:sz w:val="22"/>
                <w:szCs w:val="22"/>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 as a percentage of net revenue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loss, which is the most directly comparable financial measure presented in accordance with GAAP:</w:t>
      </w:r>
    </w:p>
    <w:p>
      <w:pPr>
        <w:sectPr>
          <w:pgSz w:w="11900" w:h="16838" w:orient="portrait"/>
          <w:cols w:equalWidth="0" w:num="1">
            <w:col w:w="11440"/>
          </w:cols>
          <w:pgMar w:left="240" w:top="557" w:right="219" w:bottom="1440" w:gutter="0" w:footer="0" w:header="0"/>
          <w:type w:val="continuous"/>
        </w:sectPr>
      </w:pPr>
    </w:p>
    <w:p>
      <w:pPr>
        <w:spacing w:after="0" w:line="270" w:lineRule="exact"/>
        <w:rPr>
          <w:sz w:val="20"/>
          <w:szCs w:val="20"/>
          <w:color w:val="auto"/>
        </w:rPr>
      </w:pPr>
    </w:p>
    <w:p>
      <w:pPr>
        <w:jc w:val="center"/>
        <w:ind w:left="56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13970</wp:posOffset>
            </wp:positionV>
            <wp:extent cx="15005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6" w:lineRule="exact"/>
        <w:rPr>
          <w:sz w:val="20"/>
          <w:szCs w:val="20"/>
          <w:color w:val="auto"/>
        </w:rPr>
      </w:pPr>
    </w:p>
    <w:p>
      <w:pPr>
        <w:ind w:left="5900"/>
        <w:spacing w:after="0"/>
        <w:tabs>
          <w:tab w:leader="none" w:pos="72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9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13970</wp:posOffset>
            </wp:positionV>
            <wp:extent cx="15093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6" w:lineRule="exact"/>
        <w:rPr>
          <w:sz w:val="20"/>
          <w:szCs w:val="20"/>
          <w:color w:val="auto"/>
        </w:rPr>
      </w:pPr>
    </w:p>
    <w:p>
      <w:pPr>
        <w:ind w:left="260"/>
        <w:spacing w:after="0"/>
        <w:tabs>
          <w:tab w:leader="none" w:pos="1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1" w:lineRule="exact"/>
        <w:rPr>
          <w:sz w:val="20"/>
          <w:szCs w:val="20"/>
          <w:color w:val="auto"/>
        </w:rPr>
      </w:pPr>
    </w:p>
    <w:p>
      <w:pPr>
        <w:sectPr>
          <w:pgSz w:w="11900" w:h="16838" w:orient="portrait"/>
          <w:cols w:equalWidth="0" w:num="2">
            <w:col w:w="7820" w:space="520"/>
            <w:col w:w="3100"/>
          </w:cols>
          <w:pgMar w:left="240" w:top="557" w:right="219" w:bottom="1440" w:gutter="0" w:footer="0" w:header="0"/>
          <w:type w:val="continuous"/>
        </w:sectPr>
      </w:pPr>
    </w:p>
    <w:tbl>
      <w:tblPr>
        <w:tblLayout w:type="fixed"/>
        <w:tblInd w:w="580" w:type="dxa"/>
        <w:tblCellMar>
          <w:top w:w="0" w:type="dxa"/>
          <w:left w:w="0" w:type="dxa"/>
          <w:bottom w:w="0" w:type="dxa"/>
          <w:right w:w="0" w:type="dxa"/>
        </w:tblCellMar>
      </w:tblPr>
      <w:tr>
        <w:trPr>
          <w:trHeight w:val="156"/>
        </w:trPr>
        <w:tc>
          <w:tcPr>
            <w:tcW w:w="4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jc w:val="right"/>
              <w:ind w:right="25"/>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ind w:right="25"/>
              <w:spacing w:after="0" w:line="155" w:lineRule="exact"/>
              <w:rPr>
                <w:sz w:val="20"/>
                <w:szCs w:val="20"/>
                <w:color w:val="auto"/>
              </w:rPr>
            </w:pPr>
            <w:r>
              <w:rPr>
                <w:rFonts w:ascii="Arial" w:cs="Arial" w:eastAsia="Arial" w:hAnsi="Arial"/>
                <w:sz w:val="14"/>
                <w:szCs w:val="14"/>
                <w:color w:val="auto"/>
              </w:rPr>
              <w:t>(in thousands)</w:t>
            </w: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(5,127)</w:t>
            </w: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(11,317)</w:t>
            </w:r>
          </w:p>
        </w:tc>
        <w:tc>
          <w:tcPr>
            <w:tcW w:w="3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(23,233)</w:t>
            </w: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(27,331)</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Add (deduct)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EBITDA</w:t>
            </w:r>
          </w:p>
        </w:tc>
        <w:tc>
          <w:tcPr>
            <w:tcW w:w="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(10,393)</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(21,539)</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(23,804)</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(4,506)</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(2,656)</w:t>
            </w: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(21,102)</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(11,916)</w:t>
            </w:r>
          </w:p>
        </w:tc>
        <w:tc>
          <w:tcPr>
            <w:tcW w:w="2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Adjusted EBITDA as a percentage of net revenue</w:t>
            </w: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shows the number of launches of new products included in direct net revenue which have achieved, or are expected to achieve, more than $0.5 million in net revenue per year and growth in our direct net revenue versus the comparable prior year period.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6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25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Nine Months Ended September 30,</w:t>
            </w:r>
          </w:p>
        </w:tc>
        <w:tc>
          <w:tcPr>
            <w:tcW w:w="580" w:type="dxa"/>
            <w:vAlign w:val="bottom"/>
          </w:tcPr>
          <w:p>
            <w:pPr>
              <w:spacing w:after="0"/>
              <w:rPr>
                <w:sz w:val="14"/>
                <w:szCs w:val="14"/>
                <w:color w:val="auto"/>
              </w:rPr>
            </w:pPr>
          </w:p>
        </w:tc>
      </w:tr>
      <w:tr>
        <w:trPr>
          <w:trHeight w:val="156"/>
        </w:trPr>
        <w:tc>
          <w:tcPr>
            <w:tcW w:w="5740" w:type="dxa"/>
            <w:vAlign w:val="bottom"/>
            <w:gridSpan w:val="2"/>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1000" w:type="dxa"/>
            <w:vAlign w:val="bottom"/>
            <w:tcBorders>
              <w:top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6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Growth in direct net revenue versus comparable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820" w:type="dxa"/>
            <w:vAlign w:val="bottom"/>
            <w:gridSpan w:val="2"/>
          </w:tcPr>
          <w:p>
            <w:pPr>
              <w:ind w:left="140"/>
              <w:spacing w:after="0"/>
              <w:rPr>
                <w:sz w:val="20"/>
                <w:szCs w:val="20"/>
                <w:color w:val="auto"/>
              </w:rPr>
            </w:pPr>
            <w:r>
              <w:rPr>
                <w:rFonts w:ascii="Arial" w:cs="Arial" w:eastAsia="Arial" w:hAnsi="Arial"/>
                <w:sz w:val="18"/>
                <w:szCs w:val="18"/>
                <w:color w:val="auto"/>
              </w:rPr>
              <w:t>previous year period</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97.7%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116.9%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c>
          <w:tcPr>
            <w:tcW w:w="580" w:type="dxa"/>
            <w:vAlign w:val="bottom"/>
          </w:tcPr>
          <w:p>
            <w:pPr>
              <w:spacing w:after="0"/>
              <w:rPr>
                <w:sz w:val="20"/>
                <w:szCs w:val="20"/>
                <w:color w:val="auto"/>
              </w:rPr>
            </w:pPr>
          </w:p>
        </w:tc>
      </w:tr>
      <w:tr>
        <w:trPr>
          <w:trHeight w:val="675"/>
        </w:trPr>
        <w:tc>
          <w:tcPr>
            <w:tcW w:w="6400" w:type="dxa"/>
            <w:vAlign w:val="bottom"/>
            <w:gridSpan w:val="3"/>
          </w:tcPr>
          <w:p>
            <w:pPr>
              <w:jc w:val="right"/>
              <w:ind w:right="528"/>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2019</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2018 and 2019, together with the changes in those items in dollars: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4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Three Months Ended 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3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5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40,603</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64.6%</w:t>
            </w:r>
          </w:p>
        </w:tc>
      </w:tr>
      <w:tr>
        <w:trPr>
          <w:trHeight w:val="230"/>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Borders>
              <w:bottom w:val="single" w:sz="8" w:color="CFF0FC"/>
            </w:tcBorders>
          </w:tcPr>
          <w:p>
            <w:pPr>
              <w:spacing w:after="0"/>
              <w:rPr>
                <w:sz w:val="19"/>
                <w:szCs w:val="19"/>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4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240" w:type="dxa"/>
            <w:vAlign w:val="bottom"/>
            <w:shd w:val="clear" w:color="auto" w:fill="CFF0FC"/>
          </w:tcPr>
          <w:p>
            <w:pPr>
              <w:spacing w:after="0"/>
              <w:rPr>
                <w:sz w:val="19"/>
                <w:szCs w:val="19"/>
                <w:color w:val="auto"/>
              </w:rPr>
            </w:pPr>
          </w:p>
        </w:tc>
      </w:tr>
      <w:tr>
        <w:trPr>
          <w:trHeight w:val="230"/>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40" w:type="dxa"/>
            <w:vAlign w:val="bottom"/>
            <w:tcBorders>
              <w:bottom w:val="single" w:sz="8" w:color="CFF0FC"/>
            </w:tcBorders>
          </w:tcPr>
          <w:p>
            <w:pPr>
              <w:spacing w:after="0"/>
              <w:rPr>
                <w:sz w:val="19"/>
                <w:szCs w:val="19"/>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(121.2)</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Interest expense, net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240" w:type="dxa"/>
            <w:vAlign w:val="bottom"/>
            <w:shd w:val="clear" w:color="auto" w:fill="CFF0FC"/>
          </w:tcPr>
          <w:p>
            <w:pPr>
              <w:spacing w:after="0"/>
              <w:rPr>
                <w:sz w:val="19"/>
                <w:szCs w:val="19"/>
                <w:color w:val="auto"/>
              </w:rPr>
            </w:pPr>
          </w:p>
        </w:tc>
      </w:tr>
      <w:tr>
        <w:trPr>
          <w:trHeight w:val="223"/>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1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(6,182)</w:t>
            </w:r>
          </w:p>
        </w:tc>
        <w:tc>
          <w:tcPr>
            <w:tcW w:w="2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240" w:type="dxa"/>
            <w:vAlign w:val="bottom"/>
            <w:tcBorders>
              <w:bottom w:val="single" w:sz="8" w:color="CFF0FC"/>
            </w:tcBorders>
          </w:tcPr>
          <w:p>
            <w:pPr>
              <w:spacing w:after="0"/>
              <w:rPr>
                <w:sz w:val="19"/>
                <w:szCs w:val="19"/>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FF0FC"/>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r>
      <w:tr>
        <w:trPr>
          <w:trHeight w:val="20"/>
        </w:trPr>
        <w:tc>
          <w:tcPr>
            <w:tcW w:w="3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revenue:</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8"/>
              </w:rPr>
              <w:t>Three Months Ended September 30,</w:t>
            </w:r>
          </w:p>
        </w:tc>
        <w:tc>
          <w:tcPr>
            <w:tcW w:w="0" w:type="dxa"/>
            <w:vAlign w:val="bottom"/>
          </w:tcPr>
          <w:p>
            <w:pPr>
              <w:spacing w:after="0"/>
              <w:rPr>
                <w:sz w:val="1"/>
                <w:szCs w:val="1"/>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57.8%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42.2%</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(19.1)%</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2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40,026</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Wholesale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Managed SaaS</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ind w:left="580"/>
              <w:spacing w:after="0"/>
              <w:rPr>
                <w:sz w:val="20"/>
                <w:szCs w:val="20"/>
                <w:color w:val="auto"/>
              </w:rPr>
            </w:pPr>
            <w:r>
              <w:rPr>
                <w:rFonts w:ascii="Arial" w:cs="Arial" w:eastAsia="Arial" w:hAnsi="Arial"/>
                <w:sz w:val="18"/>
                <w:szCs w:val="18"/>
                <w:color w:val="auto"/>
              </w:rPr>
              <w:t>Net revenue</w:t>
            </w:r>
          </w:p>
        </w:tc>
        <w:tc>
          <w:tcPr>
            <w:tcW w:w="2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24,672</w:t>
            </w: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40,603</w:t>
            </w:r>
          </w:p>
        </w:tc>
        <w:tc>
          <w:tcPr>
            <w:tcW w:w="220" w:type="dxa"/>
            <w:vAlign w:val="bottom"/>
            <w:vMerge w:val="continue"/>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 The following table sets forth our net revenue disaggregated by product categories: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w w:val="99"/>
              </w:rPr>
              <w:t>Three Months Ended September 30,</w:t>
            </w:r>
          </w:p>
        </w:tc>
      </w:tr>
      <w:tr>
        <w:trPr>
          <w:trHeight w:val="156"/>
        </w:trPr>
        <w:tc>
          <w:tcPr>
            <w:tcW w:w="4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4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27,083</w:t>
            </w:r>
          </w:p>
        </w:tc>
        <w:tc>
          <w:tcPr>
            <w:tcW w:w="6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Small home appliances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8,100</w:t>
            </w:r>
          </w:p>
        </w:tc>
        <w:tc>
          <w:tcPr>
            <w:tcW w:w="6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heath supplements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6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1,320</w:t>
            </w:r>
          </w:p>
        </w:tc>
        <w:tc>
          <w:tcPr>
            <w:tcW w:w="6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Portable projectors, speakers and headphones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1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24,556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40,285</w:t>
            </w:r>
          </w:p>
        </w:tc>
        <w:tc>
          <w:tcPr>
            <w:tcW w:w="6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SaaS</w:t>
            </w:r>
          </w:p>
        </w:tc>
        <w:tc>
          <w:tcPr>
            <w:tcW w:w="1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FF0FC"/>
          </w:tcPr>
          <w:p>
            <w:pPr>
              <w:spacing w:after="0"/>
              <w:rPr>
                <w:sz w:val="19"/>
                <w:szCs w:val="19"/>
                <w:color w:val="auto"/>
              </w:rPr>
            </w:pPr>
          </w:p>
        </w:tc>
      </w:tr>
      <w:tr>
        <w:trPr>
          <w:trHeight w:val="223"/>
        </w:trPr>
        <w:tc>
          <w:tcPr>
            <w:tcW w:w="438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1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40,603</w:t>
            </w:r>
          </w:p>
        </w:tc>
        <w:tc>
          <w:tcPr>
            <w:tcW w:w="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Net revenue increased $15.9 million, or 64.6%, to $40.6 million during the three months ended September 30, 2019 compared to $24.7 million for the three months ended September 30, 2018. The increase was primarily attributable to increased direct sales volume of $15.6 million, or 63.9%, from growth in our existing product portfolio and from new products launched in the twelve month period since September 30, 2018. We also saw a slight increase in wholesale revenue of $0.1 million versus the prior year. Wholesale is currently not a strategic focus for us, but we expect from time to time to sell our products via wholesale arrangements as we may determine that is the most advantageous channel for certain product categories we enter or for liquidation purposes. Finally, we saw an increase in our managed SaaS revenue of $0.2 million in the three months ended September 30, 2019 as we began formally offering access to AIMEE to third party brands in 2018.</w:t>
      </w:r>
    </w:p>
    <w:p>
      <w:pPr>
        <w:spacing w:after="0" w:line="186"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Environmental appliances (i.e., dehumidifiers and air conditioners) accounted for approximately $16.3 million in net revenue for the three months ended September 30, 2018 and grew to $27.1 million for the three months ended September 30, 2019. We continued to expand our small home appliances products, which increased $4.4 million in net revenue to $8.1 million for the three months ended September 30, 2019 as compared to the prior year comparable quarter. We started to sell cosmetics, skincare and heath supplements in the second half of 2018 and generated $2.6 million in net revenue from such products for the three months ended September 30, 2019. Net revenue from cookware, kitchen tools and gadgets was down approximately $1.6 million during the three months ended September 30, 2019 from the prior year comparable period as we focused on certain product categories, reducing the SKUs managed and sold in this category. We recorded fewer sales of portable projectors, speakers and headphones, hair appliances and accessories and all other categories as we focused on other aspects of our overall product portfolio, reducing net revenue from $1.5 million in the three months ended September 30, 2018 to $1.2 million in the three months ended September 30, 2019, a decrease of $0.3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14,262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22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10,410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17,527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r>
    </w:tbl>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 of goods sold increased $8.8 million, or 61.8%, to $23.1 million during the three months ended September 30, 2019 compared to $14.3 million for the three months ended September 30, 2018. The increase was primarily attributable to increased sales volume. Included within cost of goods sold for the three months ended September 30, 2019 is a $1.4 million reversal related to the recall reserve, as our recall program is materially complete, a $0.3 million accrual from governmental agency penalties associated with certain non-core products and a $0.3 million charge due to the liquidation of certain older products that we have discontinued.</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margin increased to 43.2% for the three months ended September 30, 2019 compared to 42.2% for the three months ended September 30, 2018. The improvement in gross margin was mostly related to the recall reserve reversal offset by accruals for governmental agency penalties and liquidation charges of certain older products. It was also negatively impacted by lower product prices on our Environmental appliances as we now benefit from the full effect of our direct fulfillment platform (i.e., FBM), allowing us to reinvest a portion of the benefits in price competitiveness and retaining the remainder for improved Contribution margin. Our gross margin may also be impacted by our product mix (i.e., number of products in the sustain or launch phase as well as FBM versus FBA delivered products) in any particular quarter.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7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11,560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17,307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5,747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49.7%</w:t>
            </w:r>
          </w:p>
        </w:tc>
      </w:tr>
    </w:tbl>
    <w:p>
      <w:pPr>
        <w:spacing w:after="0" w:line="202"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Sales and distribution expenses increased by $5.7 million from $11.6 million for the three months ended September 30, 2018 to $17.3 million for the three months ended September 30, 2019. E-commerce platform commissions, online advertising and logistics expenses increased to $14.3 million for the three months ended September 30, 2019 from $10.1 million for the three months ended September 30, 2018. These increases are attributable primarily to the increase in our net revenue. For the three months ended September 30, 2019, our sales and distribution fixed costs remained flat at $1.4 million versus the comparable prior year period. The three months ended September 30, 2019 includes an increase in stock-based compensation expense to $1.6 million from $0.0 million in the comparable prior year period from stock options granted in December 2018 pursuant to the Mohawk Group Holdings, Inc. 2018 Equity Incentive Plan (the “2018 Equity Plan”) and grants of restricted stock awards pursuant to the Mohawk Group Holdings, Inc. 2019 Equity Plan (the “2019 Equity Plan”), which we began to expense as of the closing date of our IPO.</w:t>
      </w:r>
    </w:p>
    <w:p>
      <w:pPr>
        <w:spacing w:after="0" w:line="17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As a percentage of net revenue, sales and distribution expenses decreased to 42.6% for the three months ended September 30, 2019 from 46.9% for the three months ended September 30, 2018. E-commerce platform commissions, online advertising and logistics expenses included within sales and distribution expenses, as a percentage of net revenue, were 35.2% for the three months ended September 30, 2019 as compared to 41.1% for the three months ended September 30, 2018. These variable costs decreased as we started, late in the second quarter of 2018, to fulfill product sales ourselves leveraging our direct fulfillment platform (i.e., FBM) instead of fulfilling through e-commerce platform service providers (i.e., FBA), which allowed us to reduce our logistics spend and improve our product unit economics, especially on oversized goods. We have also been expanding our automation of online advertising spend as part of our product management, including launches, which reduces our marketing spend per product. We expect to see future period costs savings in sales and distribution expenses as a percentage of net revenue as we continue to automate our online advertising, optimize our fulfillment operations cost and further add product revenue volume to allow us to further leverage our sales and distribution fixed costs. However, those savings may vary on a quarter to quarter basis due to seasonality and product mix.</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790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233.4%</w:t>
            </w:r>
          </w:p>
        </w:tc>
      </w:tr>
    </w:tbl>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Research and development expenses increased by $1.8 million from $0.8 million for the three months ended September 30, 2018 to $2.6 million for the three months ended September 30, 2019. The increase in research and development expenses was attributable to an increase in our developers and related development support costs of $0.5 million as we continue to increase the number of developers used as part of our development work of AIMEE and stock-based compensation expense of $1.3 million. The increase in stock-based compensation expense relates to stock options granted in December 2018 pursuant to the 2018 Equity Plan and grants of restricted stock awards pursuant to the 2019 Equity Plan to technology development employees, which we began to expense as of the closing date of our IPO. We expect our total research and development expenses to increase over 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3"/>
                <w:szCs w:val="13"/>
                <w:color w:val="auto"/>
              </w:rPr>
            </w:pPr>
          </w:p>
        </w:tc>
      </w:tr>
      <w:tr>
        <w:trPr>
          <w:trHeight w:val="155"/>
        </w:trPr>
        <w:tc>
          <w:tcPr>
            <w:tcW w:w="4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760" w:type="dxa"/>
            <w:vAlign w:val="bottom"/>
          </w:tcPr>
          <w:p>
            <w:pPr>
              <w:spacing w:after="0"/>
              <w:rPr>
                <w:sz w:val="13"/>
                <w:szCs w:val="13"/>
                <w:color w:val="auto"/>
              </w:rPr>
            </w:pPr>
          </w:p>
        </w:tc>
      </w:tr>
      <w:tr>
        <w:trPr>
          <w:trHeight w:val="230"/>
        </w:trPr>
        <w:tc>
          <w:tcPr>
            <w:tcW w:w="4420" w:type="dxa"/>
            <w:vAlign w:val="bottom"/>
          </w:tcPr>
          <w:p>
            <w:pPr>
              <w:ind w:left="580"/>
              <w:spacing w:after="0"/>
              <w:rPr>
                <w:sz w:val="20"/>
                <w:szCs w:val="20"/>
                <w:color w:val="auto"/>
              </w:rPr>
            </w:pPr>
            <w:r>
              <w:rPr>
                <w:rFonts w:ascii="Arial" w:cs="Arial" w:eastAsia="Arial" w:hAnsi="Arial"/>
                <w:sz w:val="18"/>
                <w:szCs w:val="18"/>
                <w:color w:val="auto"/>
              </w:rPr>
              <w:t>General and administrative expenses</w:t>
            </w:r>
          </w:p>
        </w:tc>
        <w:tc>
          <w:tcPr>
            <w:tcW w:w="16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2,767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7,999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189.1%</w:t>
            </w:r>
          </w:p>
        </w:tc>
      </w:tr>
      <w:tr>
        <w:trPr>
          <w:trHeight w:val="648"/>
        </w:trPr>
        <w:tc>
          <w:tcPr>
            <w:tcW w:w="4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32" w:name="page33"/>
    <w:bookmarkEnd w:id="32"/>
    <w:p>
      <w:pPr>
        <w:ind w:right="40"/>
        <w:spacing w:after="0" w:line="255" w:lineRule="auto"/>
        <w:rPr>
          <w:sz w:val="20"/>
          <w:szCs w:val="20"/>
          <w:color w:val="auto"/>
        </w:rPr>
      </w:pPr>
      <w:r>
        <w:rPr>
          <w:rFonts w:ascii="Arial" w:cs="Arial" w:eastAsia="Arial" w:hAnsi="Arial"/>
          <w:sz w:val="18"/>
          <w:szCs w:val="18"/>
          <w:color w:val="auto"/>
        </w:rPr>
        <w:t>General and administrative expenses increased by $5.2 million from $2.8 million for the three months ended September 30, 2018 to $8.0 million for the three months ended September 30, 2019. The increase in general and administrative expenses was primarily attributable to an increase in stock-based compensation expense of $4.6 million from the issuance of stock options to employees in the fourth quarter of 2018 and the increase of directors and officers insurance of $0.7 million which commenced as of the closing date of our IPO. The increase in stock-based compensation expense relates to stock options granted in December 2018 pursuant to the 2018 Equity Plan and grants of restricted stock awards pursuant to the 2019 Equity Plan, which we began to expense as of the closing date of our IPO.</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Interest expense, net</w:t>
            </w:r>
          </w:p>
        </w:tc>
        <w:tc>
          <w:tcPr>
            <w:tcW w:w="21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439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99.3%</w:t>
            </w: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Interest expense, net increased by $0.4 million from $0.4 million for the three months ended September 30, 2018 to $0.9 million for the three months ended September 30, 2019. The increase was primarily related to increased interest expense under the three-year $25.0 million revolving credit facility with MidCap (the “Credit Facility”) and the five-year $15.0 million term loan with Horizon (the “Term Loan”), which we entered into on December 31, 2018. We expect interest expense to continue to increase as we continue to utilize the Credit Facility to purchase additional inventories as part of our growth strategy.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2019</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2018 and 2019, together with the changes in those items in dollars: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40" w:type="dxa"/>
            <w:vAlign w:val="bottom"/>
            <w:gridSpan w:val="7"/>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6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80"/>
              <w:spacing w:after="0"/>
              <w:rPr>
                <w:sz w:val="20"/>
                <w:szCs w:val="20"/>
                <w:color w:val="auto"/>
              </w:rPr>
            </w:pPr>
            <w:r>
              <w:rPr>
                <w:rFonts w:ascii="Arial" w:cs="Arial" w:eastAsia="Arial" w:hAnsi="Arial"/>
                <w:sz w:val="18"/>
                <w:szCs w:val="18"/>
                <w:color w:val="auto"/>
              </w:rPr>
              <w:t>Loss before income taxes</w:t>
            </w:r>
          </w:p>
        </w:tc>
        <w:tc>
          <w:tcPr>
            <w:tcW w:w="1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24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(23,233)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revenue: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11"/>
          </w:tcPr>
          <w:p>
            <w:pPr>
              <w:jc w:val="right"/>
              <w:ind w:right="400"/>
              <w:spacing w:after="0"/>
              <w:rPr>
                <w:sz w:val="20"/>
                <w:szCs w:val="20"/>
                <w:color w:val="auto"/>
              </w:rPr>
            </w:pPr>
            <w:r>
              <w:rPr>
                <w:rFonts w:ascii="Arial" w:cs="Arial" w:eastAsia="Arial" w:hAnsi="Arial"/>
                <w:sz w:val="14"/>
                <w:szCs w:val="14"/>
                <w:b w:val="1"/>
                <w:bCs w:val="1"/>
                <w:color w:val="auto"/>
                <w:w w:val="95"/>
              </w:rPr>
              <w:t>Nine Months Ended September 30,</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59.5%</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40.5%</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43.2%</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17.8%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(40.6)%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48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(30.7)%</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82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48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(30.8)%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4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5"/>
              </w:rPr>
              <w:t>Nine Months Ended 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right"/>
              <w:ind w:right="600"/>
              <w:spacing w:after="0" w:line="155"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5"/>
          </w:tcPr>
          <w:p>
            <w:pPr>
              <w:jc w:val="right"/>
              <w:ind w:right="340"/>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Direct</w:t>
            </w:r>
          </w:p>
        </w:tc>
        <w:tc>
          <w:tcPr>
            <w:tcW w:w="70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49,662</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86,398</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36,736</w:t>
            </w:r>
          </w:p>
        </w:tc>
        <w:tc>
          <w:tcPr>
            <w:tcW w:w="1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(2,559)</w:t>
            </w: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SaaS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ind w:left="580"/>
              <w:spacing w:after="0"/>
              <w:rPr>
                <w:sz w:val="20"/>
                <w:szCs w:val="20"/>
                <w:color w:val="auto"/>
              </w:rPr>
            </w:pPr>
            <w:r>
              <w:rPr>
                <w:rFonts w:ascii="Arial" w:cs="Arial" w:eastAsia="Arial" w:hAnsi="Arial"/>
                <w:sz w:val="18"/>
                <w:szCs w:val="18"/>
                <w:color w:val="auto"/>
              </w:rPr>
              <w:t>Net revenue</w:t>
            </w:r>
          </w:p>
        </w:tc>
        <w:tc>
          <w:tcPr>
            <w:tcW w:w="4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gridSpan w:val="3"/>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53,576</w:t>
            </w: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88,817</w:t>
            </w:r>
          </w:p>
        </w:tc>
        <w:tc>
          <w:tcPr>
            <w:tcW w:w="22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4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100" w:type="dxa"/>
            <w:vAlign w:val="bottom"/>
            <w:gridSpan w:val="5"/>
          </w:tcPr>
          <w:p>
            <w:pPr>
              <w:spacing w:after="0"/>
              <w:rPr>
                <w:sz w:val="20"/>
                <w:szCs w:val="20"/>
                <w:color w:val="auto"/>
              </w:rPr>
            </w:pPr>
            <w:r>
              <w:rPr>
                <w:rFonts w:ascii="Arial" w:cs="Arial" w:eastAsia="Arial" w:hAnsi="Arial"/>
                <w:sz w:val="18"/>
                <w:szCs w:val="18"/>
                <w:color w:val="auto"/>
                <w:w w:val="91"/>
              </w:rPr>
              <w:t>The following table sets forth our net revenue disaggregated by product categories: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9"/>
          </w:tcPr>
          <w:p>
            <w:pPr>
              <w:jc w:val="right"/>
              <w:ind w:right="200"/>
              <w:spacing w:after="0"/>
              <w:rPr>
                <w:sz w:val="20"/>
                <w:szCs w:val="20"/>
                <w:color w:val="auto"/>
              </w:rPr>
            </w:pPr>
            <w:r>
              <w:rPr>
                <w:rFonts w:ascii="Arial" w:cs="Arial" w:eastAsia="Arial" w:hAnsi="Arial"/>
                <w:sz w:val="14"/>
                <w:szCs w:val="14"/>
                <w:b w:val="1"/>
                <w:bCs w:val="1"/>
                <w:color w:val="auto"/>
                <w:w w:val="93"/>
              </w:rPr>
              <w:t>Nine Months Ended September 30,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9"/>
          </w:tcPr>
          <w:p>
            <w:pPr>
              <w:jc w:val="right"/>
              <w:ind w:right="860"/>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appliances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27,601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52,757</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Small home appliances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10,776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17,426</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Cosmetics, skincare and heath supplements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8,346</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9,463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5,279</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Hair appliances and accessories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2,991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2,590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8"/>
              </w:rPr>
              <w:t>Portable projectors, speakers and headphones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160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All others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1,011</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20" w:type="dxa"/>
            <w:vAlign w:val="bottom"/>
            <w:gridSpan w:val="2"/>
          </w:tcPr>
          <w:p>
            <w:pPr>
              <w:ind w:left="1140"/>
              <w:spacing w:after="0"/>
              <w:rPr>
                <w:sz w:val="20"/>
                <w:szCs w:val="20"/>
                <w:color w:val="auto"/>
              </w:rPr>
            </w:pPr>
            <w:r>
              <w:rPr>
                <w:rFonts w:ascii="Arial" w:cs="Arial" w:eastAsia="Arial" w:hAnsi="Arial"/>
                <w:sz w:val="18"/>
                <w:szCs w:val="18"/>
                <w:color w:val="auto"/>
              </w:rPr>
              <w:t>Total net product revenue</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53,392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87,569</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Managed SaaS</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1,248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8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53,576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88,817</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revenue increased $35.2 million, or 65.8%, to $88.8 million during the nine months ended September 30, 2019 compared to $53.6 million for the nine months ended September 30, 2018. The increase was primarily attributable to increased direct sales volume of $36.7 million, or 74.0%, from growth in our existing product portfolio and from new products launched in the 12 month period since September 30, 2018. We also saw a decrease in wholesale revenue of $2.6 million (predominantly environmental appliances) versus the prior year as we had certain customers that desired wholesale arrangements on selected products in 2018 instead of allowing us to sell the products via a direct method. Wholesale is currently not a strategic focus for us, but we expect from time to time to sell our products via wholesale arrangements as we may determine that is the most advantageous channel for certain product categories we enter or for liquidation purposes. Finally, we saw managed SaaS revenue of $1.1 million in the nine months ended September 30, 2019 as we began formally offering access to AIMEE to third party brands in 2018.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20"/>
        <w:spacing w:after="0" w:line="270" w:lineRule="auto"/>
        <w:rPr>
          <w:sz w:val="20"/>
          <w:szCs w:val="20"/>
          <w:color w:val="auto"/>
        </w:rPr>
      </w:pPr>
      <w:r>
        <w:rPr>
          <w:rFonts w:ascii="Arial" w:cs="Arial" w:eastAsia="Arial" w:hAnsi="Arial"/>
          <w:sz w:val="17"/>
          <w:szCs w:val="17"/>
          <w:color w:val="auto"/>
        </w:rPr>
        <w:t>Environmental appliances (i.e., dehumidifiers and air conditioners) accounted for approximately $27.6 million in net revenue for the nine months ended September 30, 2018, and grew to $52.8 million for the nine months ended September 30, 2019. We continued to expand our small home appliances products, which increased $6.7 million in net revenue to $17.4 million for the nine months ended September 30, 2019 as compared to the prior year comparable period. We started to sell cosmetics, skincare and heath supplements in the second half of 2018 and generated $8.3 million in net revenue from such products for the nine months ended September 30, 2019. Net revenue from cookware, kitchen tools and gadgets was down approximately $4.2 million during the nine months ended September 30, 2019 from the prior year comparable period as we focused on certain product categories reducing the number of SKUs managed and sold in this category. We recorded fewer sales of portable projectors, speakers and headphones, hair appliances and accessories and all other categories as we focused on other aspects of our overall product portfolio, reducing net revenue from $5.5 million in the nine months ended September 30, 2018 to $3.8 million in the nine months ended September 30, 2019, a decrease of $1.7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w w:val="94"/>
              </w:rPr>
              <w:t>Nine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35,919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52,859</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22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17,657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35,958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18,301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r>
    </w:tbl>
    <w:p>
      <w:pPr>
        <w:spacing w:after="0" w:line="20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Cost of goods sold increased $16.9 million, or 47.2%, to $52.9 million during the nine months ended September 30, 2019 compared to $35.9 million for the nine months ended September 30, 2018. The increase was primarily attributable to increased sales volume offset by a decrease in wholesale</w:t>
      </w:r>
    </w:p>
    <w:p>
      <w:pPr>
        <w:ind w:right="140"/>
        <w:spacing w:after="0" w:line="255" w:lineRule="auto"/>
        <w:rPr>
          <w:sz w:val="20"/>
          <w:szCs w:val="20"/>
          <w:color w:val="auto"/>
        </w:rPr>
      </w:pPr>
      <w:r>
        <w:rPr>
          <w:rFonts w:ascii="Arial" w:cs="Arial" w:eastAsia="Arial" w:hAnsi="Arial"/>
          <w:sz w:val="18"/>
          <w:szCs w:val="18"/>
          <w:color w:val="auto"/>
        </w:rPr>
        <w:t>revenue. Included within cost of goods sold for the nine months ended September 30, 2019 is a $1.4 million reversal of the recall reserve, as our recall program is materially complete, a $0.3 million accrual from governmental agency penalties from certain non-core products and a $0.3 million charge due to liquidation of certain older products that we have discontinued.</w:t>
      </w:r>
    </w:p>
    <w:p>
      <w:pPr>
        <w:spacing w:after="0" w:line="23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Gross margin increased to 40.5% for the nine months ended September 30, 2019 compared to 33.0% for the nine months ended September 30, 2018. The improvement in gross margin was due to the increase in direct sales, which carry better margins than our wholesale business, improved product unit economics, as compared to the nine months ended September 30, 2018 and the increase in our managed SaaS business. Our gross margin may also be impacted by our product mix (i.e., number of products in the sustain or launch phase, as well as FBM versus FBA delivered products) in any particular quarter.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w w:val="94"/>
              </w:rPr>
              <w:t>Nine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Sales and distribution expenses</w:t>
            </w:r>
          </w:p>
        </w:tc>
        <w:tc>
          <w:tcPr>
            <w:tcW w:w="17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28,516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38,409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9,893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34.7%</w:t>
            </w: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Sales and distribution expenses increased by $9.9 million from $28.5 million for the nine months ended September 30, 2018 to $38.4 million for the nine months ended September 30, 2019. E-commerce platform commissions, online advertising and logistics expenses increased to $31.8 million for the nine months ended September 30, 2019 from $24.5 million for the nine months ended September 30, 2018. This increase is primarily attributable to the increase in our net revenue. For the nine months ended September 30, 2019, our sales and distribution fixed costs remained flat at $4.1 million versus the comparable prior year period. The nine months ended September 30, 2019 includes an increase in stock-based compensation expense to $2.5 million from $0.0 million in the comparable prior year period from stock options granted in December 2018 pursuant to the 2018 Equity Plan and grants of restricted stock awards pursuant to the 2019 Equity Plan, which we began to expense as of the closing date of our IPO.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5" w:name="page36"/>
    <w:bookmarkEnd w:id="35"/>
    <w:p>
      <w:pPr>
        <w:ind w:right="200"/>
        <w:spacing w:after="0" w:line="270" w:lineRule="auto"/>
        <w:rPr>
          <w:sz w:val="20"/>
          <w:szCs w:val="20"/>
          <w:color w:val="auto"/>
        </w:rPr>
      </w:pPr>
      <w:r>
        <w:rPr>
          <w:rFonts w:ascii="Arial" w:cs="Arial" w:eastAsia="Arial" w:hAnsi="Arial"/>
          <w:sz w:val="17"/>
          <w:szCs w:val="17"/>
          <w:color w:val="auto"/>
        </w:rPr>
        <w:t>As a percentage of net revenue, sales and distribution expenses decreased to 43.2% in the nine months ended September 30, 2019 from 53.2% in the nine months ended September 30, 2018. E-commerce platform commissions, online advertising and logistics expenses included within sales and distribution expenses, as a percentage of net revenue, were 35.8% for the nine months ended September 30, 2019 as compared to 45.7% for the nine months ended September 30, 2018. These variable costs decreased as we started, late in the second quarter of 2018, to fulfill product sales ourselves leveraging our direct fulfillment platform (i.e. FBM) instead of fulfilling through e-commerce platform service providers (i.e., FBA), which allowed us to reduce our logistics spend and improve our product unit economics, especially on oversized goods. We have also been expanding our automation of online advertising spend as part of our product management, including launches, which reduces our marketing spend per product. We expect to see future period costs savings in sales and distribution expenses as a percentage of net revenue as we continue to automate our online advertising, optimize our fulfillment operations cost and further add product revenue volume to allow us to further leverage our sales and distribution fixed costs. However, those savings may vary on a quarter to quarter basis due to seasonality and product mix.</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w w:val="94"/>
              </w:rPr>
              <w:t>Nine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2,810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5,657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101.3%</w:t>
            </w:r>
          </w:p>
        </w:tc>
      </w:tr>
    </w:tbl>
    <w:p>
      <w:pPr>
        <w:spacing w:after="0" w:line="20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Research and development expenses increased by $2.8 million from $2.8 million for the nine months ended September 30, 2018 to $5.7 million for the nine months ended September 30, 2019. The increase in research and development expenses was attributable to an increase in our developers and related development support costs of $1.0 million as we continue to increase the number of developers used as part of our development work of AIMEE and stock-based compensation expense of $1.9 million. The increase in stock-based compensation expense relates to stock options granted in December 2018 pursuant to the 2018 Equity Plan and grants of restricted stock awards pursuant to the 2019 Equity Plan to technology development employees, which we began to expense as of the closing date of our IPO. We expect our total research and development expenses to increase over time.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w w:val="94"/>
              </w:rPr>
              <w:t>Nine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8,103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15,779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94.7%</w:t>
            </w: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General and administrative expenses increased by $7.7 million from $8.1 million for the nine months ended September 30, 2018 to $15.8 million for the nine months ended September 30, 2019. The increase in general and administrative expenses was primarily attributable to an increase in stock-based compensation expense of $7.0 million from the issuance of stock options and the increase of directors and officers insurance of $1.0 million which commenced as of the closing date of our IPO, offset by $0.3 million in savings from professional fees and other support costs. The increase in stock-based compensation expense relates to stock options granted in December 2018 pursuant to the 2018 Equity Plan and grants of restricted stock awards pursuant to the 2019 Equity Plan, which we began to expense as of the closing date of our IPO.</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w w:val="94"/>
              </w:rPr>
              <w:t>Nine Months Ended September 30,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960" w:type="dxa"/>
            <w:vAlign w:val="bottom"/>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5"/>
        </w:trPr>
        <w:tc>
          <w:tcPr>
            <w:tcW w:w="33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2"/>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Interest expense, net</w:t>
            </w:r>
          </w:p>
        </w:tc>
        <w:tc>
          <w:tcPr>
            <w:tcW w:w="21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1,503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124.1%</w:t>
            </w: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expense, net increased by $1.9 million from $1.5 million for the nine months ended September 30, 2018 to $3.4 million for the nine months ended September 30, 2019. The increase was primarily related to increased interest expense under our Credit Facility and our Term Loan, which we entered into on December 31, 2018. We expect interest expense to continue to increase as we continue to utilize our Credit Facility to purchase additional inventories as part of our growth strategy.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2018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nine months ended September 30, 2018 and 2019, respectively:</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56"/>
        </w:trPr>
        <w:tc>
          <w:tcPr>
            <w:tcW w:w="54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(19,529)</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(13,146)</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(1,147)</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Effect of exchange rate on cash</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restricted cash for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Net cash used in operating activities was $19.5 million for the nine months ended September 30, 2018 compared to $13.1 million of net cash used in operating activities for the nine months ended September 30, 2019. The decrease in cash used in operating activities was driven by a reduction of net loss after reconciling for non-cash items used in operating activities from $22.0 million used in the nine months ended September 30, 2018 to $14.1 million used for the nine months ended September 30, 2019. Cash used in operating activities was partially decreased by an increase in cash provided by working capital of $2.5 million for the nine months ended September 30, 2018 and cash used in operating activities for the nine months ended September 30, 2019 was increased by cash used in working capital of $1.0 million for the nine months ended September 30, 2019. Cash used in working capital for the nine months ended September 30, 2019 is primarily related to the increase of accounts receivable during the period from increased sales late in the third quarter and increased prepaids in the period offset by the reduction of inventory post our peak seasonal sales period.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provided by investing activities was $1.1 million for the nine months ended September 30, 2019 and was primarily attributable to the acquisition of assets of a personal wellness company (the “Aussie Health Assets”).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Net cash provided by financing activities was $30.2 million for the nine months ended September 30, 2018, compared to $29.7 million of net cash provided by financing activities for the nine months ended September 30, 2019. For the nine months ended September 30, 2018, cash provided by financing activities of $30.2 million was primarily from proceeds of the sale of shares of Series C preferred stock of $27.4 million, net borrowings under the three-year, $15.0 million revolving credit facility (the “Prior Credit Facility”) with MidCap of $4.5 million, offset by $1.3 million in payments related to the three-year, $7.0 million term loan with MidCap (the “Prior Term Loan”) and $0.4 million in payments related to debt issuance costs. For the nine months ended September 30, 2019, cash provided by financing activities of $29.7 million was primarily from the net proceeds of our IPO of $30.6 million, proceeds from insurance financing, net of $2.0 million, offset by $1.5 million in payments related to debt issuance costs and deferred equity fundraising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Initial Public Offering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are an early-stage growth company. As a result, we are investing in launching new products, advancing our software and expanding our sales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distribution infrastructure to accelerate revenue growth and scale operations to support such growth. To fund this investment, we have incurred losses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expectation that we will generate profitable revenue streams in the future. While management and our board of directors believes that we will eventually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reach a scale where the growth of our product revenues will offset the continued investments required in launching new products, completing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our software, and managing our sales and distribution operations, we believe that the size and nascent stage of our target market justify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continuing to invest in growth at the expense of short-term profitability. In pursuit of the foregoing growth strategy, we have incurred operating losses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$22.6 million and $29.4 million for the years ended December 31, 2017 and 2018, respectively, primarily due to the impact from our continued investment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launching new products, advancing our artificial intelligence software and building out our sales and distribution infrastructure.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In addition, at December 31, 2017 and 2018, we had an accumulated deficit of $39.2 million and $71.0 million, respectively, cash on hand amounted to</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$5.3 million and $20.0 million, respectively, total outstanding borrowings from lenders amounted to $10.3 million and $27.5 million, respectively, and total available capacity on borrowings amounted to $5.6 million and $1.4 million, respectively. Moreover, we have not had a sufficient track record of improvement of our operating cash outflows. As such, in the event that we were unsuccessful in our ability to continue to reduce our cash outflows or obtain additional financing if such reduction in cash outflows was not achieved, we would have been unable to meet our obligations as they became due within one year from the date the consolidated financial statements were issued. These negative financial conditions raised substantial doubt about our ability to continue as a going concern.</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plan to continue pursuing our growth strategy. In the past, we have successfully funded our losses to date through equity financings, beginning in July 2014 and continuing through our IPO, which was completed in June 2019 (see below). As of December 31, 2018, we had raised over $72.6 million in equity financing to fund our operations. Further, in October 2017, we improved our working capital flexibility by securing $30.0 million through the Prior Credit Facility with MidCap and $7.0 million through the Prior Term Loan with MidCap, and in November 2018, we exited the Prior Credit Facility and entered into the Credit Facility with MidCap, which can be increased, subject to certain conditions, to $50.0 million. Furthermore, on December 31, 2018, we entered into the Term Loan, obtaining a five-year $15.0 million term loan and repaying the outstanding amount of MidCap’s term loan of approximately $4.9 million. While there was no assurance that future equity investments or issuance of debt would occur, our management believed our success in obtaining funding since inception would continue in the foreseeable future.</w:t>
      </w:r>
    </w:p>
    <w:p>
      <w:pPr>
        <w:spacing w:after="0" w:line="1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During the audit of our consolidated financial statements for the fiscal year ended December 31, 2018, our financial forecast for the next 12 months included revenue growth, margin improvement by achieving lower cost of goods sold by continuing to negotiate preferential terms and costs with certain key manufacturers, a reduction of certain fixed costs, an improvement in inventory management and reduction in operating cash deficit. In addition, management anticipated that we would not breach our financial covenants associated with our Credit Facility or Term Loan for the next twelve months. However, there was no assurance that management’s forecast would be attained to maintain our liquidity to fund operations and/or maintain compliance with our covenants without future equity investments, such as an initial public offering, or issuance of debt from outside sources. In the event of a breach of our financial covenants under the Credit Facility, outstanding borrowings would become due on demand absent a waiver from the lender.</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three and nine months ended September 30, 2019, we incurred operating losses of $10.4 million and $23.9 million, respectively. For the three and nine months ended September 30, 2018, we incurred operating losses of $4.7 million and $21.8 million, respectively. As of September 30, 2019, we had an accumulated deficit of $98.4 million, cash on hand of $35.7 million and total outstanding borrowings from lenders of $15.1 million and total available capacity of $0.8 million. As of September 30, 2019, we have raised over $102.3 million in equity financing to fund our operations, since inception, including the net proceeds from the IPO.</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June 14, 2019, we completed our IPO, selling 3,600,000 shares of our common stock at a price of $10.00 per share. Net proceeds to us from the offering were approximately $29.6 million after deducting legal, underwriting and other offering expenses. We believe that, based on our current sales and expense level projections, the Credit Facility with MidCap and the proceeds from the IPO, we will satisfy our estimated liquidity needs for the twelve months from the condensed consolidated financial statements issuance date. As such, the substantial doubt raised by our historical operating results has been mitigated.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September 10, 2019, we completed the acquisition of the Aussie Health Assets, whose products sell primarily on the Amazon US marketplace, for total consideration of $1.3 million, which was comprised of cash of $1.1 million and a promissory note for $0.2 million, that accrues interest at a rate of 8% per annum and matures on June 10, 2020. We also agreed to pay $0.1 million in the form of a working capital payment related to the inventory purchased within sixty days of closing.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any off-balance sheet arrangements and do not have any holdings in variable interest entities.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Our unaudited condensed consolidated financial statements have been prepared in accordance with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5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disclosed in the Final Prospectus. For additional information, please refer to Note 2 of our condensed consolidated financial statements in this Quarterly Report on Form 10-Q.</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we have outstanding debt under the Amended and Restated Credit Agreement, dated as of November 23, 2018, with MidCap as Agent and the lenders party thereto, as amended (the “MidCap Credit Agreement”), that bears interest. As of September 30, 2019, our outstanding indebtedness under the Credit Facility was $15.1 million, which bears interest at a rate of LIBOR plus 5.75%. We also have outstanding debt under the Term Loan. As of September 30, 2019, our outstanding indebtedness under the Term Loan was $15.0 million, which bears interest at 9.90% plus the amount by which one-month LIBOR (or, if LIBOR is no longer widely used or available, a successor benchmark rate, which successor rate shall be applied in a manner consistent with market practice, or if there is no consistent market practice, such successor rate shall be applied in a manner reasonably determined by Horizon) exceeds 2.50%. We do not believe that an immediate 10% increase in interest rates would have a material effect on interest expense for the Credit Facility or the Term Loan, and therefore we do not expect our operating results or cash flows to be materially affected to any degree by a sudden change in market interest.</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less than 1% of our net revenue for each of the nine months ended September 30, 2018 and 2019.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each of the nine months ended September 30, 2018 and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Based on the evaluation of our disclosure controls and procedures as of September 30, 2019, our Chief Executive Officer and Chief Financial Officer concluded that, as a result of a material weakness in our internal control over financial reporting as previously disclosed in the Final Prospectus, our disclosure controls and procedures were not effective as of September 30, 2019.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audits of our 2017 and 2018 consolidated financial statements, we and our independent registered public accounting firm identified control deficiencies in the design and operation of our internal control over financial reporting that constituted material weaknesses.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material weakness identified in our internal control over financial reporting in 2017 primarily related to our accounting and proprietary systems used in our financial reporting process not having the proper level of controls. As a result, journal entries were prepared and posted to our accounting system without evidence of an independent review. In addition, our accounting and proprietary systems lacked controls over access and program change management that are needed to ensure access to financial data is adequately restricted to appropriate personnel.</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2018, we took certain actions towards remediating these material weaknesses, which included implementing an accounting system that has the ability to better manage segregation of duties and controls over the preparation and review of journal entries and adding finance personnel and information technology personnel. As we are still in the process of establishing the appropriate controls and finalizing the implementation of our accounting systems, in connection with the audit of our 2018 consolidated financial statements, we and our independent registered public accounting firm concluded that there remains a material weakness related to the limited size of the finance department, a lack of proper segregation around preparation and review of certain account reconciliations and certain journal entries. In addition, there is a material weakness related to our controls which are not designed effectively over the review of complex accounting matters.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Plan to Remediate the Material Weaknesses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result of these material weaknesses, we have initiated and will continue to implement remediation measures including but not limited to, finalization of our accounting systems implementations and review processes around our journal entries and account reconciliations. We are still in the process of completing the remediation of the previously identified material weaknesses.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initiatives we are implementing to remediate the material weaknesses are subject to continued management review supported by confirmation and testing, as well as audit committee oversight. We will continue to implement measures to remedy our internal control deficiencies in order to meet the deadline imposed by Section 404 of the Sarbanes-Oxley Act of 2002, as amended. However, we cannot be certain that the measures we have taken or may take in the future will ensure that we will establish and maintain adequate controls over our financial processes and reporting in the future.</w:t>
      </w:r>
    </w:p>
    <w:p>
      <w:pPr>
        <w:spacing w:after="0" w:line="1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Notwithstanding the material weaknesses,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we fail to fully remediate these material weaknesses or fail to maintain effective internal controls in the future, it could result in a material misstatement of our financial statements that would not be prevented or detected on a timely basis, which could cause investors to lose confidence in our financial information or cause our stock price to decline. Our independent registered public accounting firm has not assessed the effectiveness of our internal control over financial reporting and, under the Jumpstart Our Business Startups Act of 2012,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Other than the changes intended to remediate these material weaknesses noted above, there were no changes in our internal control over financial reporting during the quarter ended September 30, 2019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clients, employees, suppliers, competitors, government agencies or others. We evaluate any claims and lawsuits with respect to their potential merits, our potential defenses and counter claims, and the expected effect on us of defending the claims and a potential adverse result. However, the results of any litigation, investigations or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231F20"/>
        </w:rPr>
        <w:t xml:space="preserve">Investing in our common stock involves a high degree of risk. You should consider and read carefully all of the risks and uncertainties described below, as well as other information included in this </w:t>
      </w:r>
      <w:r>
        <w:rPr>
          <w:rFonts w:ascii="Arial" w:cs="Arial" w:eastAsia="Arial" w:hAnsi="Arial"/>
          <w:sz w:val="17"/>
          <w:szCs w:val="17"/>
          <w:i w:val="1"/>
          <w:iCs w:val="1"/>
          <w:color w:val="000000"/>
        </w:rPr>
        <w:t>Quarterly Report on Form 10-Q, and in our other public filings</w:t>
      </w:r>
      <w:r>
        <w:rPr>
          <w:rFonts w:ascii="Arial" w:cs="Arial" w:eastAsia="Arial" w:hAnsi="Arial"/>
          <w:sz w:val="17"/>
          <w:szCs w:val="17"/>
          <w:i w:val="1"/>
          <w:iCs w:val="1"/>
          <w:color w:val="231F20"/>
        </w:rPr>
        <w:t xml:space="preserve">.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w:t>
      </w:r>
      <w:r>
        <w:rPr>
          <w:rFonts w:ascii="Arial" w:cs="Arial" w:eastAsia="Arial" w:hAnsi="Arial"/>
          <w:sz w:val="17"/>
          <w:szCs w:val="17"/>
          <w:i w:val="1"/>
          <w:iCs w:val="1"/>
          <w:color w:val="000000"/>
        </w:rPr>
        <w:t>Quarterly Report on Form 10-Q</w:t>
      </w:r>
      <w:r>
        <w:rPr>
          <w:rFonts w:ascii="Arial" w:cs="Arial" w:eastAsia="Arial" w:hAnsi="Arial"/>
          <w:sz w:val="17"/>
          <w:szCs w:val="17"/>
          <w:i w:val="1"/>
          <w:iCs w:val="1"/>
          <w:color w:val="231F20"/>
        </w:rPr>
        <w:t xml:space="preserve"> also contains forward-looking statements and estimates that involve risks and uncertainties. Our actual results could differ materially from those anticipated in the forward-looking statements as a result of specific factors, including the risks and uncertainties described below. </w:t>
      </w:r>
      <w:r>
        <w:rPr>
          <w:rFonts w:ascii="Arial" w:cs="Arial" w:eastAsia="Arial" w:hAnsi="Arial"/>
          <w:sz w:val="17"/>
          <w:szCs w:val="17"/>
          <w:i w:val="1"/>
          <w:iCs w:val="1"/>
          <w:color w:val="000000"/>
        </w:rPr>
        <w:t>The risks relating to our business set forth in the Final</w:t>
      </w:r>
      <w:r>
        <w:rPr>
          <w:rFonts w:ascii="Arial" w:cs="Arial" w:eastAsia="Arial" w:hAnsi="Arial"/>
          <w:sz w:val="17"/>
          <w:szCs w:val="17"/>
          <w:i w:val="1"/>
          <w:iCs w:val="1"/>
          <w:color w:val="231F20"/>
        </w:rPr>
        <w:t xml:space="preserve"> </w:t>
      </w:r>
      <w:r>
        <w:rPr>
          <w:rFonts w:ascii="Arial" w:cs="Arial" w:eastAsia="Arial" w:hAnsi="Arial"/>
          <w:sz w:val="17"/>
          <w:szCs w:val="17"/>
          <w:i w:val="1"/>
          <w:iCs w:val="1"/>
          <w:color w:val="000000"/>
        </w:rPr>
        <w:t>Prospectus, are set forth below and are unchanged substantively as of September 30, 2019, except for those risks designated by an asterisk (*).</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Businesses, Strategies, Technology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and our independent registered public accounting firm have previously expressed substantial doubt about our ability to continue as a going concern.</w:t>
      </w:r>
    </w:p>
    <w:p>
      <w:pPr>
        <w:spacing w:after="0" w:line="15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growth strategy has resulted in operating losses and negative cash flows from operations, and our independent registered public accounting firm has included an explanatory paragraph in its report on our financial statements as of and for the years ended December 31, 2017 and 2018, that raises substantial doubt about our ability to continue as a going concern. We required significant additional funding to fund our growth strategy. If we were unable to raise additional funds we may have delayed, limited, reduced or terminated our product development or future commercialization efforts, our international expansion, our expansion into different e-commerce marketplaces and further our development of AIMEE, and/or scale back or eliminated some or all of our other operations. Any equity or debt financing that we obtain may have been dilutive to our current stockholders and debt financing, if available, may have involved restrictive covenants or unfavorable terms. If we were unable to continue as a going concern, we may have been forced to liquidate our assets and the values we may have received for our assets in liquidation or dissolution could be significantly lower than the values reflected in our financial statements.</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June 14, 2019, we completed our initial public offering (“IPO”), selling 3,600,000 shares of our common stock at a price of $10.00 per share. Net proceeds to us from the offering were approximately $29.6 million after deducting legal, underwriting and other offering expenses. We believe that, based on our current sales and expense level projections, the credit facility with MidCap (see Note 6), and the proceeds from the IPO, we will satisfy our estimated liquidity needs for the twelve months from the condensed consolidated financial statements issuance date. As such, the substantial doubt raised by our historical operating results has been mitigated. However, we cannot provide any assurance that we will not experience a going concern issue in the future.</w:t>
      </w:r>
    </w:p>
    <w:p>
      <w:pPr>
        <w:spacing w:after="0" w:line="2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to support business growth, and this capital might not be available or may be available only by diluting existing stockholders.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support this growth and respond to business challenges, including the need to develop our services, expand our inventory, enhance our operating infrastructure, expand the markets in which we operate and potentially acquire complementary businesses and technologies.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 and our business and prospects could fail or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ind w:right="400"/>
        <w:spacing w:after="0" w:line="308" w:lineRule="auto"/>
        <w:rPr>
          <w:sz w:val="20"/>
          <w:szCs w:val="20"/>
          <w:color w:val="auto"/>
        </w:rPr>
      </w:pPr>
      <w:r>
        <w:rPr>
          <w:rFonts w:ascii="Arial" w:cs="Arial" w:eastAsia="Arial" w:hAnsi="Arial"/>
          <w:sz w:val="17"/>
          <w:szCs w:val="17"/>
          <w:b w:val="1"/>
          <w:bCs w:val="1"/>
          <w:i w:val="1"/>
          <w:iCs w:val="1"/>
          <w:color w:val="auto"/>
        </w:rPr>
        <w:t>We have previously identified material weaknesses in our internal control over financial reporting. Such material weaknesses may cause us to fail to timely and accurately report our financial results or result in a material misstatement of our financial statements.</w:t>
      </w:r>
    </w:p>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audits of our 2017 and 2018 consolidated financial statements, we and our independent registered public accounting firm identified control deficiencies in the design and operation of our internal control over financial reporting that constituted in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material weakness identified in our internal control over financial reporting in 2017 primarily related to our accounting and proprietary systems used in our financial reporting process not having the proper level of controls. As a result, journal entries were prepared and posted to our accounting system without evidence of an independent review. In addition, our accounting and proprietary systems lacked controls over access and program change management that are needed to ensure access to financial data is adequately restricted to appropriate personnel.</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2018, we took certain actions towards remediating these material weaknesses, which included implementing an accounting system that has the ability to better manage segregation of duties and controls over the preparation and review of journal entries and adding finance personnel and information technology personnel. As we are still in the process of establishing the appropriate controls and finalizing the implementation of our accounting systems, in connection with the audit of our 2018 consolidated financial statements, we and our independent registered public accounting firm concluded that a material weakness remains related to the limited size of the finance department, a lack of proper segregation around preparation and review of certain account reconciliations and certain journal entries. In addition, there is a material weakness related to our controls, which are not designed effectively over the review of complex accounting matters.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cannot assure you that the steps we are taking will be sufficient to remediate our material weaknesses or prevent future material weaknesses or significant deficiencies from occurring.</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we identify future material weaknesses in our internal controls over financial reporting or fail to meet the demands that will be placed upon us as a public company, including the requirements of the Sarbanes-Oxley Act of 2002, as amended (the “Sarbanes 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30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revenue to be profitable or to generate positive cash flow on a sustained basis, and our revenue growth rate may decline.</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experienced losses after tax of $23.1 million and $31.8 million in the years ended December 31, 2017 and 2018, respectively, and losses after tax of $23.2 million and $27.3 million in the nine months ended September 30, 2018 and 2019, respectively. We may continue to experience losses before and after tax in the future, and we cannot assure you that we will achieve profitability and may continue to incur significant losses in future periods. We cannot assure you that we will generate sufficient revenue to offset the cost of maintaining and further developing our platform and maintaining and growing our business.</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Although our net revenue grew from $36.5 million for the year-ended December 31, 2017 to $73.3 million the year-ended December 31, 2018, representing a 101.0% growth rate, and from $53.6 million for the nine months ended September 30, 2018 to $88.8 million for the nine months ended September 30, 2019, representing a 65.8% growth rate, our revenue growth rate may decline in the future due to a variety of factors, including increased competition and the maturation of our business. We cannot assure you that our net revenue will continue to grow or will not decline. You should not consider our historical net revenue growth or operating expenses as indicative of our future performance. If our revenue growth rate declines or our operating expenses are higher than forecasted, our business, financial performance and financial condition will be adversely affected.</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we expect our costs to increase in future periods, which could negatively affect our future operating results and ability to achieve and sustain profitability. We expect to continue to expend substantial financial and other resources on the ideation, sourcing and manufacturing of products, our technology infrastructure, research and development, including investments in our research and development team and the development of new features, sales and marketing, international expansion and general administration, including expenses related to being a public company. These investments may not result in increased net revenue or growth in our business. If we cannot successfully earn revenue at a rate that exceeds the costs associated with our business, we will not be able to achieve or sustain profitability or generate positive cash flow on a sustained basis and our revenue growth rate may decline. If we fail to continue to grow our net revenue and overall business, our business, results of operations, financial condition and prospects could be materially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*We have a short operating history in an evolving industry and, as a result, our past results may not be indicative of future operating performance.</w:t>
      </w:r>
    </w:p>
    <w:p>
      <w:pPr>
        <w:spacing w:after="0" w:line="14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a short operating history in a rapidly evolving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develop, retain and expand our managed SaaS and consumer product offering and geographic reach;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 and to maintain existing functionality;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managed SaaS business is currently comprised of three affiliated brands primarily relating to supplements and while we expect to retain this business, we can provide no assurance that we will be successful in growing or retaining these brands which would result in the loss of managed SaaS and associated reseller revenues. From time to time, we have experienced excess inventory and warehouse costs related to the timing of delivery and the capacity of our warehouses and also due to expired and short-dated inventory. If we fail to address the risks and difficulties that we face, including those associated with the challenges listed above as well as those described elsewhere in this “Risk Factors” section, our business and our operating results will be adversely affected.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growth effectively, and such rapid growth may adversely affect our corporate culture.</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rapidly and significantly expanded our operations and anticipate expanding further as we pursue our growth strategies. Such expansion increases the complexity of our business and places a significant strain on our management, operations, technical systems, financial resources and internal control over financial reporting functions. Our current and planned personnel, systems, procedures and controls may not be adequate to support and effectively manage our future operations, especially as we employ personnel in several geographic locations. We are currently in the process of transitioning certain of our business and financial systems to systems on a scale reflecting the increased size, scope and complexity of our operations, and the process of migrating our legacy systems could disrupt our ability to timely and accurately process information, which could adversely affect our results of operations and cause harm to our reputation. As a result, we may not be able to manage our expansion effectively.</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entrepreneurial and collaborative culture is important to us, and we believe it has been a major contributor to our success. We may have difficulties maintaining our culture or adapting it sufficiently to meet the needs of our future and evolving operations as we continue to grow, in particular as we grow internationally. In addition, our ability to maintain our culture as a public company, with the attendant changes in policies, practices, corporate governance and management requirements may be challenging. Failure to maintain our culture could have a material adverse effect on our business, results of operations, financial condition and prospects.</w:t>
      </w:r>
    </w:p>
    <w:p>
      <w:pPr>
        <w:spacing w:after="0" w:line="29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*Substantially all of our revenues are from sales of products on Amazon and any limitation or restriction, temporarily or otherwise, to sell on Amazon’s platform could have a material adverse impact to our business, results of operations, financial condition and prospects.</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sell substantially all of our products on Amazon and are subject to Amazon’s terms of service and various other Amazon seller policies that apply to third parties selling products on Amazon’s marketplace. Amazon’s terms of service provide, among other things, that it may terminate or suspend its agreement with any seller or any of its services being provided to a seller at any time and for any reason. In addition, if Amazon determines that any seller’s actions or performance, including ours, may result in violations of its terms or policies, or create other risks to Amazon or to third parties, then Amazon may in its sole discretion withhold any payments owed for as long as Amazon determines any related risk to Amazon or to third parties persist. Further, if Amazon determines that any seller’s, including our, accounts have been used to engage in deceptive, fraudulent or illegal activity, or that such accounts have repeatedly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3" w:name="page44"/>
    <w:bookmarkEnd w:id="43"/>
    <w:p>
      <w:pPr>
        <w:spacing w:after="0" w:line="271" w:lineRule="auto"/>
        <w:rPr>
          <w:sz w:val="20"/>
          <w:szCs w:val="20"/>
          <w:color w:val="auto"/>
        </w:rPr>
      </w:pPr>
      <w:r>
        <w:rPr>
          <w:rFonts w:ascii="Arial" w:cs="Arial" w:eastAsia="Arial" w:hAnsi="Arial"/>
          <w:sz w:val="17"/>
          <w:szCs w:val="17"/>
          <w:color w:val="auto"/>
        </w:rPr>
        <w:t>violated its policies, then Amazon may in its sole discretion permanently withhold any payments owed. In addition, Amazon in its sole discretion may suspend a seller account and product listings if Amazon determines that a seller has engaged in conduct that violates any of its policies. From time to time, we have experienced suspensions and while we have in general been successful in having such suspensions removed, we can provide no assurance that suspensions will not occur in the future or that we will be able to successfully remove suspensions. While we endeavor to materially comply with the terms of services of the marketplaces on which we operate, we can provide no assurances that these marketplaces will have the same determination with respect to our compliance. In the event of any dispute between Amazon and us, the resolution of such dispute would be subject to binding arbitration and we cannot provide any assurance that we would prevail in such arbitration. Any limitation or restriction on our ability to sell on Amazon’s platform could have a material impact on our business, results of operations, financial condition and prospects.</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rely on services provided by Amazon’s fulfillment platform, including Prime Certification, which provides for expedited shipping to the consumer, an important aspect in the buying decision for consumers. For products that we fulfill ourselves, we have qualified to offer our products for sale with Prime Certification delivery. Any inability to market our products for sale with expedited delivery provided under Prime Certification could have a material impact on our business, results of operations, financial condition and prospects. In the third quarter of 2019, we temporarily experienced the loss of our Prime Certification delivery, and in addition, certain of our products were deemed not be eligible for Prime delivery based on Amazon’s determination of expected shipping dates. Failure to remain compliant with the best fulfillment practices on Amazon’s platform could have a material impact on our business, results of operations, financial condition and prospects.</w:t>
      </w:r>
    </w:p>
    <w:p>
      <w:pPr>
        <w:spacing w:after="0" w:line="29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rely on AIMEE and other information technologies and systems to operate our business and to maintain our competitiveness, and any failure to invest in and adapt to technological developments and industry trends could harm our business.</w:t>
      </w:r>
    </w:p>
    <w:p>
      <w:pPr>
        <w:spacing w:after="0" w:line="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depend on the use of our proprietary technology platform named AIMEE and other sophisticated information technologies and systems, including technology and systems used for websites and apps, customer service, logistics and fulfillment, supplier connectivity, communications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and integrity of our systems and infrastructure.</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future success also depends on our ability to adapt AIMEE, our services and infrastructure, including our logistics and fulfillment platform which leverages AIMEE, to meet rapidly evolving e-commerce trends and demands while continuing to improve our software’s performance, features and reliability. The emergence of alternative platforms may require us to continue to invest in new and costly technology. We may not be successful, or we may be less successful than our competitors, in developing technologies that operate effectively across multiple e-commerce platforms, which would negatively impact our business and financial performance. New developments in other areas, such as cloud computing providers, could also make it easier for competitors to enter our markets due to lower up-front technology costs. In addition, we may not be able to maintain our existing systems or replace our current systems or introduce new technologies and systems as quickly or cost effectively as we would like. Failure to invest in and adapt to technological developments and industry trends may have a material adverse effect on our business, results of operations, financial condition and prospects.</w:t>
      </w:r>
    </w:p>
    <w:p>
      <w:pPr>
        <w:spacing w:after="0" w:line="2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platforms, cause us to invest in the wrong product or disrupt our business.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use AIMEE, our proprietary software, to determine market trends and what markets to enter into. Our ability to successfully use AIMEE depends on our ability to analyze and utilize data, including search engine results, provided by unaffiliated third parties, primarily, Google and Amazon. Some of this data is provided to us pursuant to third-party data sharing policies and terms of use, under data sharing agreements by third-party providers or by customer consent. The majority of this data is sourced for free or for de minimis amounts. AIMEE sources the majority of the data through application program interfaces (“APIs”) or through other standard data upload/downloads methods. This source of data allows us, leveraging AIMEE, to determine trends, performance and consumer sentiment on products and searches within e-commerce platforms. This functionality allows us to help determine which products to market, manufacture through contract manufacturers, import and sell on e-commerce marketplaces. The connection to multiple e-commerce platforms through APIs allows us to develop the automation of the purchase of marketing and automate the change of pricing of product listings on those e-commerce platforms.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future, any of these third parties could change its data sharing policies, including making them more restrictive, charging fees or altering its algorithms that determine the placement, display and accessibility of search results and social media updates, any of which could result in the loss of, or significant impairment to, our ability to collect useful data. These third parties could also interpret our, or our service providers’, data collection policies or practices as being inconsistent with their policies, which could result in the loss of our ability to collect this data. Privacy concerns may cause end users to resist providing the personal data necessary to allow our proprietary software to determine market trends as well as our ability to effectively retain existing customers. Privacy advocacy groups and the technology and other industries are considering various new, additional or different self-regulatory standards that may place additional burdens on us. Any such changes could impair our ability to use data and could adversely impact select functionality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40"/>
        <w:spacing w:after="0" w:line="277" w:lineRule="auto"/>
        <w:rPr>
          <w:sz w:val="20"/>
          <w:szCs w:val="20"/>
          <w:color w:val="auto"/>
        </w:rPr>
      </w:pPr>
      <w:r>
        <w:rPr>
          <w:rFonts w:ascii="Arial" w:cs="Arial" w:eastAsia="Arial" w:hAnsi="Arial"/>
          <w:sz w:val="18"/>
          <w:szCs w:val="18"/>
          <w:color w:val="auto"/>
        </w:rPr>
        <w:t>of our proprietary software, impairing the ability to use this data to anticipate customer demand and market trends, as well as adversely affecting our business and our ability to generate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keep up with rapid technological changes, or to further develop AIMEE, our future success may be adversely affected.</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A.I. and machine learning technologies are subject to rapid changes and our technology is yet to be fully automated. Our future success will depend on our ability to respond to rapidly changing technologies, to adapt and further develop AIMEE’s functionality or our services to our evolving industry and to improve the performance and reliability of our systems. Our failure to adapt to such changes could harm our business. In addition, the widespread adoption of new internet, networking or telecommunications technologies or other technological changes could require substantial expenditures to modify or adapt our products, services or infrastructure. If we fail to keep up with rapid technological changes to remain competitive in our rapidly evolving industry, our future success may be adversely affected. We expect to incur significant costs in the development of AIMEE’s functionality, and any failure to achieve our expected performance goals could have an adverse effect on our financial condition and results of operations.</w:t>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Maintaining and enhancing our product listings is critical in expanding and growing our business. However, a significant portion of our perceived performance to the customer depends on third parties outside of our control, including suppliers and logistics providers such as FedEx, UPS, the U.S. Postal Service and other third-party delivery agents as well as online retailers such as Amazon and Walmart. Because our agreements with our online retail partners are generally terminable at will, we may be unable to maintain these relationships, and our results of operations could fluctuate significantly from period to period. Because we rely on third parties, like FedEx, to deliver our products, we are subject to shipping delays or disruptions caused by inclement weather, natural disasters, labor activism, health epidemics or bioterrorism. In addition, because we rely on national, regional and local transportation companies for the delivery of some of our other products, we are also subject to risks of breakage or other damage during delivery by any of these third parties. If these third parties do not meet our or our customers’ expectations, our brands may suffer irreparable damage. In addition, maintaining and enhancing these brands may require us to make substantial investments, and these investments may not be successful. If we fail to promote and maintain our brands, or if we incur excessive expenses in this effort, our business, operating results and financial condition may be materially adversely affected. We anticipate that, as our market becomes increasingly competitive, maintaining and enhancing our brands may become increasingly difficult and expensive. Maintaining and enhancing our brands will depend largely on our ability to anticipate market trends and customer demand and to provide high quality products to our customers and a reliable, trustworthy and profitable sales channel to our suppliers, which we may not be able to do successfully.</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Customer complaints or negative publicity about our sites, products, delivery times, customer data handling and security practices or customer support, especially on blogs, social media websites and our sites, could rapidly and severely diminish consumer view of our product listings and result in harm to our brands. Customers may also make safety-related claims regarding products sold through our online retail partners, such as Amazon, which may result in an online retail partner removing the product from its marketplace. Such removal may materially impact our financial results depending on the product that is removed and length of time that it is removed. We also use and rely on other services from third parties, such as our telecommunications services, and those services may be subject to outages and interruptions that are not within our control.</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efforts to acquire or retain consumers, and our efforts to sell new products or increase sales of our existing products, may not be successful, which could prevent us from maintaining or increasing our sales.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we do not successfully promote and sustain our new and/or existing product listings and brands through marketing and other tools, we may fail to maintain or increase our sales. Promoting and positioning our brands and product listings will depend largely on the success of our marketing efforts, our ability to attract consumers cost effectively and our ability to consistently provide a high-quality product and maintain consumer satisfaction. In order to grow our business and to acquire and retain consumers, we have incurred and will continue to incur substantial expenses related to advertising and other marketing efforts. We also use promotions to drive sales, which may not be effective and may adversely affect our gross margins. Our investments in marketing may not effectively reach potential consumers, potential consumers may decide not to buy our products or the spending of consumers that purchase from us may not yield the intended return on investment, any of which could negatively affect our financial results. The failure of our marketing activities could also adversely affect our ability to promote our product listings and sell our products, and to develop and maintain relationships with our consumers, retailers and brands, which may have a material adverse effect on our business, results of operations, financial condition and prospects.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If we fail to acquire new customers or retain existing customers, or fail to do so in a cost-effective manner, we may not be able to achieve profitability.</w:t>
      </w:r>
    </w:p>
    <w:p>
      <w:pPr>
        <w:spacing w:after="0" w:line="14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success depends on our ability to acquire and retain customers in a cost-effective manner. In order to expand our customer base, we must appeal to and acquire customers who have historically used other channels to purchase the wide variety of products we offer and may prefer alternatives to our offerings, such as those offered by other vendors on Amazon and Walmart, traditional brick-and-mortar retailers, and the websites of our competitors or our suppliers’ own websites. We expect competition in e-commerce generally to continue to increase. Competitors have introduced lower cost or differentiated products that are perceived to compete with our products. If we are unable to correctly anticipate market trends and customer demand, our ability to sell our products could be impaired. We have made investments related to customer acquisition and expect to continue to spend significant amounts to acquire additional customers. Our paid advertising efforts consist primarily of online channels, including search engine marketing, display advertising and paid social media. These efforts are expensive and may not result in the cost-effective acquisition of customers. We cannot assure you that the net profit from new customers we acquire will ultimately exceed the cost of acquiring those customers. If we fail to deliver quality products, or if consumers do not perceive the products we offer to be of high value and quality, we may not be able to acquire new customers. If we are unable to acquire new customers who purchase products in numbers sufficient to grow our business, we may not be able to generate the scale necessary to drive beneficial network effects with our suppliers, our net revenue may decrease and our business, financial condition and operating results may be materially adversely affected.</w:t>
      </w:r>
    </w:p>
    <w:p>
      <w:pPr>
        <w:spacing w:after="0" w:line="16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believe new customers can originate from word-of-mouth and other non-paid referrals from existing customers. Therefore, we must ensure that our existing customers remain loyal to us in order to continue receiving those referrals. If our efforts to satisfy our existing customers are not successful, we may not be able to acquire new customers in sufficient numbers to continue to grow our business, or we may be required to incur significantly higher marketing expenses in order to acquire new customers. For example, since 2016, Amazon has maintained a policy whereby they will purge all reviews they believe are paid for. While we do not ask customers to leave a positive review or change a review, some of our reviews have been purged by Amazon in accordance with this policy because Amazon believed they were questionable or not authentic. If Amazon continues to purge reviews or if we are unable to maintain our positive reviews, it may adversely affect our ability to acquire new customers. In addition, we believe that Amazon has, from time to time, placed limitations on the daily volume of reviews that may be provided for any specific product listing. This limitation or others relating to customer engagement with our product listings could impact the success of our product listings, which could adversely impact our financial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High-quality education, training and customer support are important for the successful retention of existing customers. Providing this education, training and support requires that our support personnel have specific knowledge and expertise of our products and markets, making it more difficult for us to hire qualified personnel and to scale up our support operations. The importance of high-quality customer support will increase as we expand our business and pursue new customers. If we do not provide effective and timely ongoing support, our ability to retain existing customers may suffer, and our reputation with existing or potential customers may be harmed, which would have a material adverse effect on our business, results of operations, financial condition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merchandise returns could harm our business.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allow our customers to return products, subject to our return policy. If merchandise returns are significant,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which can increase return rates and harm our brand. Our refund liability for sales returns was $0.2 million, $0.3 million, and $0.5 million as of December 31, 2017, December 31, 2018, and September 30, 2019, respectively, which is included in accrued liabilities and represents the expected value of refunds that may be due to our customers. If we experience significant product returns, we would incur significant expenses and our results of operation and financial condition would be adversely affected.</w:t>
      </w:r>
    </w:p>
    <w:p>
      <w:pPr>
        <w:spacing w:after="0" w:line="273"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rely on third party online marketplaces to sell and market our products, particularly Amazon, and these providers may change their Terms of Services, search engine algorithms or pricing in ways that could negatively affect our business, results of operations, financial condition and prospects.</w:t>
      </w:r>
    </w:p>
    <w:p>
      <w:pPr>
        <w:spacing w:after="0" w:line="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market and sell our products on various online retail channels, including Amazon and Walmart. These online retail channels provide us with direct access to potential customers on their websites and applications. This direct access enables us to push real-time or nearly real-time updates to product listings, gauge customer interest and rapidly move products to prevent obsolescence caused by excess inventory. In order to maintain relationships with the online retail channels, we may need to modify our products or marketing strategies in a way that may be adverse to our business and financial results. Furthermore, if we were to lose access to these online retail channels, either in whole or in part, our ability to distribute and market our products would be adversely impacted.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right="120"/>
        <w:spacing w:after="0" w:line="287" w:lineRule="auto"/>
        <w:rPr>
          <w:sz w:val="20"/>
          <w:szCs w:val="20"/>
          <w:color w:val="auto"/>
        </w:rPr>
      </w:pPr>
      <w:r>
        <w:rPr>
          <w:rFonts w:ascii="Arial" w:cs="Arial" w:eastAsia="Arial" w:hAnsi="Arial"/>
          <w:sz w:val="16"/>
          <w:szCs w:val="16"/>
          <w:color w:val="auto"/>
        </w:rPr>
        <w:t>In order to grow our business, we anticipate that we will need to continue to maintain and potentially expand these relationships. In general, our financial results are immaterial to the online retail channels on which we sell. Accordingly, we have no negotiating power with these online retail channels and must accept changes to their platforms. For example, terms from online retail channels that could impact our business relate to platform fee charges (i.e., selling commissions), exclusivity, inventory warehouse availability, excluded products and limitations on sales and marketing, each of which could have a material impact on our results of operations, financial conditions and prospects. We believe we will also need to establish new relationships with new online retail channels, including online retail channels in new geographic markets that we enter, and online retail channels that may emerge in the future as the leading marketplaces for end consumers. Identifying potential online retail channels, and negotiating and documenting relationships with them, requires significant time and resources. Our competitors may be more effective than we are in providing incentives to online retail channels to favor their products or services or to prevent or reduce views of our products. In addition, the acquisition of a competitor by one of our online retail channels could result in increased visibility of the competitor’s product, which, in turn, could lead to decreased customer interest. If we are unsuccessful in establishing or maintaining our relationships with online retail channels, our ability to compete in the marketplace or to grow our net revenue could be impaired and our operating results could suffer.</w:t>
      </w: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efforts to expand our business into new brands, products, services, technologies, and geographic regions will subject us to additional business, legal, financial and competitive risks and may not be successful.</w:t>
      </w:r>
    </w:p>
    <w:p>
      <w:pPr>
        <w:spacing w:after="0" w:line="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business success depends to some extent on our ability to expand our customer offerings by launching new brands, products and services and by expanding our existing offerings into new geographies. Our strategy is to use our proprietary software to determine which markets to enter and optimize the mix of products that we offer. Examples of new markets we are considering expansion in are China, Japan and Eastern Europe. Further, we are considering launching products which are outside the current core of home and kitchen appliances and kitchenware, beauty-related products and consumer electronics. Launching new brands, products and services requires significant upfront investments, including investments in marketing, information technology and additional personnel. We operate in highly competitive industries with relatively low barriers to entry and must compete successfully in order to grow our business. We may not be able to generate satisfactory revenue from these efforts to offset these costs. Any lack of market acceptance of our efforts to launch new brands, products and services or to expand our existing offerings could have a material adverse effect on our business, prospects, financial condition and results of operations. Further, as we continue to expand our fulfillment capability or add new businesses with different requirements, our logistics networks will become increasingly complex and operating them will become more challenging. There can be no assurance that we will be able to operate our networks effectively. We have also entered and may continue to enter new markets and provide product offerings in which we have limited or no experience, which may not be successful or appealing to our customers. In addition, we may face difficulties in integrating AIMEE into a SaaS client’s supply chain, which would reduce the ability of our managed SaaS business to generate revenue to the extent we are compensated for our services based on the level of sales of our clients’ products.</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consumer product goods (“CPG”) industry is subject to evolving standards and practices, as well as changing customer needs, requirements and preferences. Our ability to attract new customers and increase revenue from existing customers depends, in part, on our ability to enhance and improve our existing features, pinpoint new markets and introduce new products. We expend significant resources on research and development to develop new products in order to meet our customers’ rapidly evolving demands. The success of any enhancements or new features depends on several factors, including timely completion, adequate quality testing, actual performance quality, market-accepted pricing levels and overall market acceptance. We may not be successful in these efforts, which could result in significant expenditures that could impact our revenue or distract management’s attention from current offerings.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Increased emphasis on the sale of new products could distract us from sales of our existing products in existing markets, negatively affecting our overall sales. We have invested and expect to continue to invest in new businesses, products, features, services and technologies. Such endeavors may involve significant risks and uncertainties, including insufficient revenue from such investments to offset any new liabilities assumed and expenses associated with these new investments, inadequate return of capital on our investments, distraction of management from current operations and unidentified issues not discovered in our due diligence of such strategies and offerings that could cause us to fail to realize the anticipated benefits of such investments and incur unanticipated liabilities. Because these new strategies and offerings are inherently risky, no assurance can be given that they will be successful. Our new features or enhancements could fail to attain sufficient market acceptance for many reasons, including:</w:t>
      </w:r>
    </w:p>
    <w:p>
      <w:pPr>
        <w:spacing w:after="0" w:line="70"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introducing products in new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accurately predict market demand or end consumer preferences;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defects, errors or failures in our manufacturing;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of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financial conditions for our customers or poor general macroeconomic conditions;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legal or regulatory requirements, or increased legal or regulatory scrutiny, adversely affecting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brand promotion activities or negative publicity about the performance or effectiveness of our existing features;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or delays in the online retailers and, or in addition to, logistics providers distributing our products.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is no assurance that we will successfully identify new opportunities or develop and bring new products to market on a timely basis, which could materially and adversely affect our business and operating results and compromise our ability to generate revenue.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operations internationally will require management attention and resources, involves additional risks and may be unsuccessful.</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limited experience with operating internationally or selling our merchandise outside of the United States, and if we choose to expand internationally, we would need to adapt to different local cultures, standards and policies. The business model and technology we employ and the merchandise we currently offer may not be successful with consumers outside of the United States. Furthermore, to succeed with clients in international locations, it will likely be necessary to locate fulfillment centers in foreign markets and hire local employees in those international centers, and we may have to invest in these facilities before proving we can successfully run foreign operations. We may not be successful in expanding into international markets or in generating revenue from foreign operations for a variety of reasons, including:</w:t>
      </w:r>
    </w:p>
    <w:p>
      <w:pPr>
        <w:spacing w:after="0" w:line="85"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localization of our merchandise offerings and technology, including translation into foreign languages and adaptation for local practices;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data, including at reasonable costs;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consumer demand dynamics, which may make our business model, technology and the merchandise we offer less successful compared to the United States;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local incumbents that understand the local market and may operate more effectively;</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requirements, taxes, trade laws, trade sanctions and economic embargoes, tariffs, export quotas, custom duties or other trade restrictions or any unexpected changes thereto;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regulations regarding anti-bribery and anti-corruption compliance;</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labor regulations where labor laws may be more advantageous to employees as compared to the United States and increased labor costs;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access to, or use of, commercial and personal information, particularly in Europe;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resulting from changes in currency exchange rates.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invest substantial time and resources to establish and expand our operations internationally and are unable to do so successfully and in a timely manner, our operating results would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social media and emails may adversely impact our reputation or subject us to fines or other penalties.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social media and emails as part of our omnichannel approach to marketing.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and emails could also cause reputational damage.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right="60"/>
        <w:spacing w:after="0" w:line="255" w:lineRule="auto"/>
        <w:rPr>
          <w:sz w:val="20"/>
          <w:szCs w:val="20"/>
          <w:color w:val="auto"/>
        </w:rPr>
      </w:pPr>
      <w:r>
        <w:rPr>
          <w:rFonts w:ascii="Arial" w:cs="Arial" w:eastAsia="Arial" w:hAnsi="Arial"/>
          <w:sz w:val="18"/>
          <w:szCs w:val="18"/>
          <w:color w:val="auto"/>
        </w:rPr>
        <w:t>Consumers value readily available information concerning retailers and their goods and services and often act on such information without further investigation and without regard to its accuracy. Our consumers may engage with us online through our social media platforms, including Facebook and Instagram, by providing feedback and public commentary about all aspects of our business. Information concerning us or our retailers and brands,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results of operations, financial condition and prospects.</w:t>
      </w:r>
    </w:p>
    <w:p>
      <w:pPr>
        <w:spacing w:after="0" w:line="30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our emails are not delivered and accepted or are routed by email providers less favorably than other emails, or our sites or mobile applications are not accessible or are treated disadvantageously by Internet service providers, our business may be substantially harmed.</w:t>
      </w:r>
    </w:p>
    <w:p>
      <w:pPr>
        <w:spacing w:after="0" w:line="3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If email providers or Internet service providers (“ISPs”) implement new or more restrictive email or content delivery or accessibility policies, including with respect to net neutrality, it may become more difficult to deliver emails to our customers or for customers to access our site, products and services. For example, certain email providers, including Google, categorize our emails as “promotional”, and these emails are directed to an alternate, and less readily accessible, section of a customer’s inbox. If email providers materially limit or halt the delivery of our emails, or if we fail to deliver emails to customers in a manner compatible with email providers’ email handling or authentication technologies, our ability to contact customers through email could be significantly restricted. In addition, if we are placed on “spam” lists or lists of entities that have been involved in sending unwanted, unsolicited emails, our operating results and financial condition could be substantially harmed. Further, if ISPs prioritize or provide superior access to our competitors’ content, our business and results of operations may be negatively impacted.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accept payments using a variety of methods, including credit card, debit card, PayPal, credit accounts (including promotional financing) and gift cards. For certain payment methods, including credit and debit cards, we pay interchange and other fees, which may increase over time and raise our operating costs and lower profitability. In addition, our credit card and other payment processors could impose receivable holdback or reserve requirements in the future.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consumers or to facilitate other types of online payments. If any of these events were to occur, our business, financial condition and operating results could be materially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could be adversely affected.</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To ensure timely delivery of products, we generally enter into purchase orders in advance with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inventory write offs and lower gross margins. We rely on our procurement team to order products and we rely on our data analytics to inform the levels of inventory we purchase, including when to reorder items that are selling well and when to write off items that are not selling well. Our contract manufacturers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 If our sales and procurement teams do not predict demand well or if our algorithms do not help us reorder the right products or write off the right products timely, we may not effectively manage our inventory, which could result in inventory excess or shortages, and our operating results and financial condition could be adversely affected.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Our business, including our costs and supply chain, is subject to risks associated with sourcing, manufacturing, importing and warehousing.</w:t>
      </w:r>
    </w:p>
    <w:p>
      <w:pPr>
        <w:spacing w:after="0" w:line="14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source all of the products we offer from third-party vendors and, as a result, we may be subject to price fluctuations or demand disruptions. Our operating results would be negatively impacted by increases in the prices of our products, and we have no guarantees that prices will not rise. In addition, as we expand into new categories and product types, we expect that we may not have strong purchasing power in these news areas, which could lead to higher costs than we have historically seen in our current categories. We may not be able to pass increased costs on to customers, which could adversely affect our operating results. Moreover, in the event of a significant disruption in the supply of raw materials used in the manufacture of our products, the vendors that we work with might not be able to locate alternative suppliers of materials of comparable quality at an acceptable price. For example, natural disasters have in the past increased raw material costs, impacting pricing with certain of our vendors, and caused shipping delays for certain of our products. Further capacity fluctuations driven by various factors such as seasonality, tariffs, hedging or other factors can cause importing delays, which can lead to volatility in ocean freight rates and availability, causing us to incur additional expense and adversely affecting our operating results. In addition, our third party warehouse providers may not have sufficient capacity to store our goods or may seek to increase our pricing rates. Any delays, interruption, damage to or increased costs in the manufacture of the product we offer could result in higher prices to acquire the product or non-delivery of product altogether and could adversely affect our operating results.</w:t>
      </w:r>
    </w:p>
    <w:p>
      <w:pPr>
        <w:spacing w:after="0" w:line="18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addition, we cannot guarantee that product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*Risks associated with the suppliers from whom our products are sourced could materially adversely affect our financial performance as well as our reputation and brand.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depend on our ability to provide our customers with a wide range of products from qualified suppliers in a timely and efficient manner. Our agreements with most of our suppliers do not provide for the long-term availability of merchandise or the continuation of particular pricing practices, nor do they usually restrict such suppliers from selling products to other buyers or directly themselves. There can be no assurance that our current suppliers will continue to seek to sell us products on current terms or that we will be able to establish new or otherwise extend current supply relationships to ensure product acquisitions in a timely and efficient manner and on acceptable commercial terms. For example, we recently decided to switch manufacturers for two of our products. Our ability to develop and maintain relationships with reputable suppliers and offer high quality products to our customers is critical to our success. If we are unable to develop and maintain relationships with suppliers that would allow us to offer a sufficient amount and variety of quality products on acceptable commercial terms, our ability to satisfy our customers’ needs, and therefore our long-term growth prospects, would be materially adversely affected.</w:t>
      </w:r>
    </w:p>
    <w:p>
      <w:pPr>
        <w:spacing w:after="0" w:line="16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also are unable to predict whether any of the countries in which our suppliers’ products are currently manufactured or may be manufactured in the future will be subject to trade restrictions imposed by the U.S. or foreign governments or the likelihood, type or effect of any such restrictions. Any event causing a disruption or delay of imports from suppliers with international manufacturing operations, including the imposition of additional import restrictions, restrictions on the transfer of funds or increased tariffs or quotas, could increase the cost or reduce the supply of merchandise available to our customers and materially adversely affect our financial performance as well as our reputation and brand. For example, a significant number of our products are subject to import tariffs from China of 25%, and the remainder of our products, including our dehumidifier line of products, may be subject to tariffs if the previously announced and subsequently postponed, increases are enacted in the future. Our competitors may have greater existing inventory positions and other advantages that may allow them to price more competitively relative to our products. In addition, we may not be able to shift production for our products to other countries not subject to tariffs. Furthermore, some or all of our suppliers’ foreign operations may be adversely affected by political and financial instability, resulting in the disruption of trade from exporting countries, restrictions on the transfer of funds or other trade disruptions.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400"/>
        <w:spacing w:after="0" w:line="277"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any interruptions in shipping could adversely affect our operating results.</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currently rely on three major vendors for our shipping. If we are not able to negotiate acceptable pricing and other terms with these entities or they experience performance problems or other difficulties, it could negatively impact our operating results and our clients’ experience. We are also subject to volatility in ocean freight rates that are driven, in part, by seasonality, capacity availability and other factors, including fuel-related regulations affecting the shipping industry. In addition, our ability to receive inbound inventory efficiently and ship merchandise to clients may be negatively affected by inclement weather, fire, flood, power loss, earthquakes, labor disputes, acts of war or terrorism and similar factors. We are also subject to risks of damage or loss during delivery by our shipping vendors. If our products are not delivered in a timely fashion or are damaged or lost during the delivery process, our clients could become dissatisfied and cease using our products or services, which would adversely affect our business and operating results.</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dependent on third-party manufacturers, which are located in China, and any inability to obtain products from any such manufacturers could have a material adverse effect on our business, operating results and financial condition.</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Substantially all of our products are manufactured by unaffiliated companies that are located in China. This concentration exposes us to risks associated with doing business globally, including: changing international political relations; labor availability and cost; changes in laws, including tax laws, regulations and treaties; changes in labor laws, regulations and policies; changes in customs duties, additional tariffs and other trade barriers; changes in shipping costs; currency exchange fluctuations; local political unrest; an extended and complex transportation cycle; the impact of changing economic conditions; and the availability and cost of raw materials and merchandise. The political, legal and cultural environment in China is rapidly evolving, and any change that impairs our ability to obtain products from manufacturers in that region, or to obtain products at marketable rates, could have a material adverse effect on our business, operating results and financial condition. We rely on one large manufacturer for the manufacturing of several of our products, including our dehumidifiers. If we were no longer able to maintain that relationship for any reason, we may not be able to timely find another manufacturer, or another manufacturer that provides the same quality, which would negatively affect our business, sales and results of operations.</w:t>
      </w:r>
    </w:p>
    <w:p>
      <w:pPr>
        <w:spacing w:after="0" w:line="2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depend on highly skilled personnel, including senior management and our technology professionals, and if we are unable to retain or motivate key personnel or hire, retain and motivate qualified personnel, our business could be harmed.</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our success has depended, and our future success depends, on the efforts and talents of our senior management and our highly skilled team members, including our software engineers, data scientists and technology professionals. Our future success depends on our continuing ability to attract, develop, motivate and retain highly qualified and skilled employees. The loss of one or more of our key personnel or the inability to promptly identify a suitable successor to a key role could have an adverse effect on our business. In particular, our Founder and Chief Executive Officer has unique and valuable experience leading our Company from our inception through today. If he were to depart or otherwise reduce his focus on our Company, our business may be disrupted. We do not currently maintain key-person life insurance policies on any member of our senior management team and other key employees, except for our Founder and Chief Executive Officer.</w:t>
      </w:r>
    </w:p>
    <w:p>
      <w:pPr>
        <w:spacing w:after="0" w:line="18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Competition for key personnel is strong, especially in the New York, New York area where our headquarters are located, and we cannot be sure that we will be able to attract and retain a sufficient number of qualified personnel in the future, or that the compensation costs of doing so will not adversely affect our operating results. Similarly, competition for well-qualified employees in all aspects of our business, including software engineers and other technology professionals, is intense globally. We do not have long-term employment or non-competition agreements with any of our personnel. Our continued ability to compete effectively depends on our ability to attract new employees and to retain and motivate existing employees. In particular, our software engineers and technology professionals are key to designing, maintaining and improving code and algorithms necessary to our business. If we do not succeed in attracting well-qualified employees or retaining and motivating existing employees and key senior management with the appropriate skills at cost-effective compensation levels, or if changes to our business adversely affect morale or retention, our business, results of operations, financial condition and prospects may be adversely affected.</w:t>
      </w:r>
    </w:p>
    <w:p>
      <w:pPr>
        <w:spacing w:after="0" w:line="18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Also, as employee options vest and lock-ups expire, we may have difficulty retaining key employees. If we fail to attract new personnel or fail to retain and motivate our current personnel, our growth prospects could be severely harmed.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may not accurately forecast revenues, profitability and appropriately plan our expenses.</w:t>
      </w:r>
    </w:p>
    <w:p>
      <w:pPr>
        <w:spacing w:after="0" w:line="11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base our current and future expense levels on our operating forecasts and estimates of future income and operating results. Income and operating results are difficult to forecast because they generally depend on the volume and timing of the orders we receive, which are uncertain. Additionally, our business is affected by general economic and business conditions around the world. A softening in income, whether caused by changes in consumer preferences or a weakening in global economies, may result in decreased net revenue levels, and we may be unable to adjust our spending in a timely manner to compensate for any unexpected shortfall in income. This inability could cause our (loss)/income after tax in a given quarter to be (higher)/lower than expected. We also make certain assumptions when forecasting the amount of expense we expect related to our stock-based payments, which includes the expected volatility of our stock price, and the expected life of stock options granted. These assumptions are partly based on historical results. If actual results differ from our estimates, our operating results in a given quarter may be lower than expected.</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operating results are subject to seasonal and quarterly variations in our net revenue and operating income and, as a result, our quarterly results may fluctuate and could be below expectations.</w:t>
      </w:r>
    </w:p>
    <w:p>
      <w:pPr>
        <w:spacing w:after="0" w:line="6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business can be seasonal based on our product mix and may become more seasonal depending on our product mix; specifically, we have realized a disproportionate amount of our net revenue and earnings for prior fiscal years in the third and fourth quarter as a result of the holiday season, and we expect this seasonal impact on our operations to continue in the future. If we experience lower than expected net revenue during any third or fourth quarter, it may have a disproportionately large impact on our operating results and financial condition for that year. Any factors that harm our third or fourth quarter operating results, including disruptions in our brands or our supply chains or unfavorable economic conditions, could have a disproportionate effect on our results of operations and our financial condition for our entire fiscal year.</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anticipation of increased sales activity during the third and fourth quarter, we may incur significant additional expenses, including additional marketing and additional staffing in our customer support operations. In addition, we may experience an increase in our net shipping costs due to complimentary upgrades, split-shipments and additional long-zone shipments necessary to ensure timely delivery for the holiday season. At peak periods, there could also be further delays in processing orders, which could leave us unable to fulfill consumer orders due to “no stock,” which could lead to lower consumer satisfaction. In the future, our seasonal sales patterns may become more pronounced, may strain our personnel and production activities and may cause a shortfall in net sales as compared with expenses in a given period, which could substantially harm our business, results of operations, financial condition and prospects.</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quarterly results of operations may also fluctuate significantly as a result of a variety of other factors, including those described above. As a result, historical period-to-period comparisons of our sales and operating results are not necessarily indicative of future period-to-period results. You should not rely on the results of a single fiscal quarter as an indication of our annual results or our future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revolving credit facility and term loan contain restrictive covenants that may limit our operating flexibility.</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November 23, 2018, we entered into an Amended and Restated Credit and Security Agreement with MidCap Funding X Trust, as amended (the “MidCap Credit Agreement”), pursuant to which we received access to a $25.0 million revolving credit facility, which can be increased, subject to certain conditions, to $50.0 million. The MidCap Credit Agreement contains restrictive covenants that limit our ability to, among other things, transfer or dispose of assets, merge with other companies or consummate certain changes of control, acquire other companies, modify organizational documents, pay dividends, incur additional indebtedness and liens and enter into new businesses. We therefore may not be able to engage in any of the foregoing transactions unless we obtain the consent of the lender or terminate the credit facility under the MidCap Credit Agreement, which may limit our operating flexibility. In addition, the revolving credit facility is secured by all of our assets, other than our intellectual property, and requires us to satisfy certain financial covenants. There is no guarantee that we will be able to generate sufficient cash flow or sales to meet these financial covenants or pay the principal and interest on any such debt. Furthermore, there is no guarantee that future working capital, borrowings or equity financing will be available to repay or refinance any such debt. Any inability to make scheduled payments or meet the financial covenants on our revolving credit facility would adversely affect our business.</w:t>
      </w:r>
    </w:p>
    <w:p>
      <w:pPr>
        <w:spacing w:after="0" w:line="16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December 31, 2018, we entered into a Venture Loan and Security Agreement with Horizon Technology Finance Corporation (“Horizon Loan Agreement”) pursuant to which we received term loans in an aggregate amount of $15.0 million. The Horizon Loan Agreement contains restrictive covenants that limit our ability to, among other things, transfer or dispose of assets, merge with other companies or consummate certain changes of control, acquire other companies, pay dividends, incur additional indebtedness and liens and enter into new businesses. We therefore may not be able to engage in any of the foregoing transactions unless we obtain the consent of the lender or terminate the term loan under the Horizon Loan Agreement, which may limit our operating flexibility. In addition, the term loans are secured by all of our assets, including certain intellectual property, and require us to satisfy certain financial covenants. There is no guarantee that we will be able to generate sufficient cash flow or sales to meet these financial covenants or pay the principal and interest on any such debt. Furthermore, there is no guarantee that future working capital, borrowings or equity financing will be available to repay or refinance any such debt. Any inability to make scheduled payments or meet the financial covenants on our credit facility would adversely affect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If we raise any additional debt financing, the terms of such additional debt could further restrict our operating and financial flexibility.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 may adversely affect our business, financial performance and results of operations.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business, financial performance and results of operations depend significantly on worldwide macroeconomic economic conditions and their impact on consumer spending. Recessionary economic cycles, higher interest rates, volatile fuel and energy costs, inflation, levels of unemployment, conditions in the residential real estate and mortgage markets, access to credit, consumer debt levels, unsettled financial markets and other economic factors that may affect consumer spending or buying habits could materially and adversely affect demand for our products. In addition, volatility in the financial markets has had and may continue to have a negative impact on consumer spending patterns. A reduction in consumer spending or disposable income may affect us more significantly than companies in other industries and companies with a more diversified product offering. In addition, negative national or global economic conditions may materially and adversely affect our suppliers’ financial performance, liquidity and access to capital. This may affect their ability to maintain their inventories, production levels and/or product quality and could cause them to raise prices, lower production levels or cease their operations.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Economic factors such as increased commodity prices, shipping costs, inflation, higher costs of labor, insurance and healthcare, and changes in or interpretations of other laws, regulations and taxes may also increase our cost of goods sold and our selling, general and administrative expenses, and otherwise adversely affect our financial condition and results of operations. Any significant increases in costs may affect our business disproportionately than our competitors. Changes in trade policies or increases in tariffs, including those recently enacted by the United States and proposed by China, may have a material adverse effect on global economic conditions and the stability of global financial markets and may reduce international trade.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Natural disasters or other unexpected events may adversely affect our operations, particularly our merchandise supply chain and shipping efforts.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Natural disasters, such as earthquakes, hurricanes, tornadoes, floods and other adverse weather and climate conditions; unforeseen public health crises, such as pandemics and epidemics; political crises, such as terrorist attacks, war and other political instability; or other catastrophic events, whether occurring in the United States or internationally, could disrupt our operations in any of our offices and fulfillment centers or the operations of one or more of our third-party providers or vendors. In particular, these types of events could impact our merchandise supply chain, including our ability to ship merchandise to clients from or to the impacted region, and could impact our ability or the ability of third parties to operate our sites and ship merchandise. For example, we receive and warehouse a portion of our inventory in California. If any such disaster were to impact this facility, our operations would be disrupted. In addition, these types of events could negatively impact consumer spending in the impacted regions. To the extent any of these events occur, our business and operating results could be adversely affected.</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September 10, 2019, we completed the acquisition of the assets of a personal wellness company (the “Aussie Health Assets”) and are in the process of integrating the Aussie Health Assets into our business. We may in the future seek to acquire or invest in businesses, features or technologies that we believe could complement or expand our market,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In addition, to the extent that we enter into any term sheets or otherwise announce any intention to acquire any additional businesses, features or technologies, any such acquisition would generally be subject to completion of due diligence and required approvals, and there can be no assurance that any such acquisition will occur or be completed in a timely manner, or at all.</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we acquire additional businesses, we may not be able to integrate the acquired personnel, operations, existing contracts and technologies successfully or effectively manage the combined business following the acquisition. We also may not achieve the anticipated benefits from the Aussie Health Assets or any other acquired business due to a number of factors, including:</w:t>
      </w:r>
    </w:p>
    <w:p>
      <w:pPr>
        <w:spacing w:after="0" w:line="73" w:lineRule="exact"/>
        <w:rPr>
          <w:sz w:val="20"/>
          <w:szCs w:val="20"/>
          <w:color w:val="auto"/>
        </w:rPr>
      </w:pPr>
    </w:p>
    <w:p>
      <w:pPr>
        <w:ind w:left="1040" w:right="2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failure to identify all of the problems, liabilities or other shortcomings or challenges of an acquired company or technology, including issues related to intellectual property, regulatory compliance practices, revenue recognition or other accounting practices, or employee or client issues;</w:t>
      </w:r>
    </w:p>
    <w:p>
      <w:pPr>
        <w:spacing w:after="0" w:line="15" w:lineRule="exact"/>
        <w:rPr>
          <w:rFonts w:ascii="Arial" w:cs="Arial" w:eastAsia="Arial" w:hAnsi="Arial"/>
          <w:sz w:val="16"/>
          <w:szCs w:val="16"/>
          <w:color w:val="auto"/>
        </w:rPr>
      </w:pPr>
    </w:p>
    <w:p>
      <w:pPr>
        <w:ind w:left="1040" w:right="7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incorporating acquired technology and rights into our proprietary software and of maintaining quality and security standards consistent with our brands;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incurrence of acquisition-related costs or equity dilution associated with funding the acquisition;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products and hosting infrastructure of the acquired business;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of entering new markets or new product categories in which we have limited or no experience;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converting the customers of the acquired business into our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our management’s attention from other business concerns;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as a result of the acquisition;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loss of key employees, clients, vendors and suppliers from either our current business or an acquired company’s business;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write offs or impairment charges relating to acquired businesses;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regulatory matters covering the products of the acquired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If an acquired business fails to meet our expectations, our business, operating results and financial condition may suffer.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Information Security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may pose particular risks to our proprietary software and systems.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use open source software in our proprietary software, AIMEE, and other of our sophisticated information technologies and systems, and will use open source software in the future. The licenses applicable to our use of open source software may require that source code that is developed using open source software be made available to the public and that any modifications or derivative works to certain open source software continue to be licensed under open source licenses. From time to time, we may face claims from third parties claiming infringement. These claims could result in litigation and could require us to purchase a costly license, publicly release the affected portions of our source code, be limited in or cease using the implicated software unless and until we can re-engineer such software to avoid infringement or change the use of the implicated open source software. 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 our sites and systems that rely on open source software. Any of these risks could be difficult to eliminate or manage, and, if not addressed, could have a material adverse effect on our business, financial condition and operating results.</w:t>
      </w:r>
    </w:p>
    <w:p>
      <w:pPr>
        <w:spacing w:after="0" w:line="2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misappropriation by us of their intellectual property rights or confidential know how could result in significant costs and substantially harm our business and results of operations.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Third parties have asserted, and may in the future assert, that we have infringed or misappropriated their trademarks, copyrights, confidential know how, trade secrets, patents or other intellectual property rights. We cannot predict whether any such assertions or claims arising from such assertions will substantially harm our business and results of operations, whether or not they are successful. If we are forced to defend against any infringement or other claims relating to the trademarks, copyright, confidential know how, trade secrets, patents or other intellectual property rights of third parties, whether they are with or without merit or are determined in our favor, we may face costly litigation or diversion of technical and management personnel. Furthermore, the outcome of a dispute may be that we would need to cease use of some portion of our technology, develop non-infringing technology, pay damages, costs or monetary settlements or enter into royalty or licensing agreements. Royalty or licensing agreements, if required, may be unavailable on terms acceptable to us, or at all, and we may be unable to successfully develop non-infringing technology. Any such assertions or litigation could materially adversely affect our business, results of operations, financial condition and prospects.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jc w:val="both"/>
        <w:ind w:right="180"/>
        <w:spacing w:after="0" w:line="302" w:lineRule="auto"/>
        <w:rPr>
          <w:sz w:val="20"/>
          <w:szCs w:val="20"/>
          <w:color w:val="auto"/>
        </w:rPr>
      </w:pPr>
      <w:r>
        <w:rPr>
          <w:rFonts w:ascii="Arial" w:cs="Arial" w:eastAsia="Arial" w:hAnsi="Arial"/>
          <w:sz w:val="16"/>
          <w:szCs w:val="16"/>
          <w:color w:val="auto"/>
        </w:rPr>
        <w:t>The e-commerce industry is characterized by vigorous protection and pursuit of intellectual property rights, which has resulted in protracted and expensive litigation for many companies. Some companies, including some of our competitors, own large numbers of patents, copyrights and trademarks, which they may use to assert claims against us. In addition, because patent applications can take years to issue and are often afforded confidentiality for some period of time, there may currently be pending applications, unknown to us, that later result in issued patents that could cover one or more of our technologies.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third parties have substantially greater resources than we have and may be able to sustain the costs of intellectual property litigation for longer periods of time than we can. Even if we were to prevail in such a dispute, any litigation regarding our intellectual property could be costly and time-consuming and divert the attention of our management and key personnel from our business operations.</w:t>
      </w: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success depends, in part, on our ability to protect our proprietary methods, trademarks, domain names, copyrights, patent, trade dress, trade secrets, proprietary technology and similar intellectual property, and we rely on trademark, copyright and patent law, trade secret protection, agreements and other methods with our employees and others to protect our proprietary rights. There can be no assurance that the particular forms of intellectual property protection that we seek, including business decisions about when to file trademark applications and patent applications, will be adequate to protect our business. We intend to continue to file and prosecute patent applications when appropriate to attempt to protect our rights in our proprietary technologies. However, there can be no assurance that our patent applications will be approved, that any patents issued will adequately protect our intellectual property, that the scope of the claims in our issued patents will be sufficient or have the coverage originally sought, that our issued patents will provide us with any competitive advantages, or that such patents will not be challenged by third parties or found by a judicial authority to be invalid or unenforceable.</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could be required to spend significant resources to monitor and protect our intellectual property rights. Litigation may be necessary in the future to enforce our intellectual property rights, determine the validity and scope of our proprietary rights or those of others, or defend against claims of infringement or invalidity. Such litigation may fail, and even if successful, could be costly, time-consuming and distracting to management and could result in a diversion of significant resources. Our efforts to enforce our intellectual property rights may be met with defenses, counterclaims and countersuits attacking the validity and enforceability of our intellectual property rights or alleging that we infringe the counterclaimant’s own intellectual property. An adverse determination of any litigation or defense proceedings could put our intellectual property at risk of being invalidated or interpreted narrowly and could put our related pending patent applications at risk of not being issued. Furthermore, because of the substantial amount of discovery required in connection with intellectual property litigation, there is a risk that some of our confidential or sensitive information could be compromised by disclosure in the event of litigation.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of our intellectual property rights could be challenged by others or invalidated through administrative processes or litigation. Furthermore, there can be no guarantee that others will not independently develop similar products, duplicate any of our products or design around our patents. Despite our efforts, we may be unable to prevent third parties from infringing upon, misappropriating or otherwise violating our intellectual property rights and other proprietary rights.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rely, in part, on confidentiality agreements with our employees, consultants, advisors, customers and others in our efforts to protect our proprietary technology, processes and methods.</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auto"/>
        </w:rPr>
        <w:t>The laws of some countries do not protect intellectual property and other proprietary rights to the same extent as the laws of the United States.</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the extent that we expand our international activities, our exposure to unauthorized copying, transfer and use of our proprietary technology or information may increase.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operating results and financial condition could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acquire, use or maintain our marks and domain names for our sites could substantially harm our business and operating results.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currently are the registrant of marks for our brands in numerous jurisdictions and are the registrant of the Internet domain name for the websites of Mohawkgp.com, homelabs.com, vremi.com, xtava.com, rif6.com and our other sites, as well as various related domain names. However, we have not registered our marks or domain names in all major international jurisdictions. 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including the development of a new brand and the creation of new promotional materials and packaging, or to elect not to sell products in that country. Either result could materially adversely affect our business, financial condition and operating results.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Furthermore, the regulations governing domain names and laws protecting marks and similar proprietary rights could change in ways that block or interfere with our ability to use relevant domains or our current brands Also, we might not be able to prevent third parties from registering, using or retaining domain names that interfere with our consumer communications or infringe or otherwise decrease the value of our marks, domain names and other proprietary rights.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Mohawk or our other brands in all of the countries in which we currently or intend to conduct business.</w:t>
      </w:r>
    </w:p>
    <w:p>
      <w:pPr>
        <w:spacing w:after="0" w:line="2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Any significant disruption in service on our websites or apps or in our computer systems, a number of which are currently hosted or provided by third-party providers, could materially affect our ability to operate, damage our reputation and result in a loss of consumers, which would harm our business and results of operations.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ability to sell and market our products relies on the performance and continued development of AIMEE. AIMEE’s functionality, including its continued development, relies upon a number of third-party related services, including those relating to cloud infrastructure, technology services, servers, open source libraries and vendor APIs. Any disruption or loss of any of these third-party services could have a negative effect on our business, results of operations, financial condition and prospects. We may experience interruptions in our systems, including server failures that temporarily slow down or interfere with the performance of our platforms and the ability to sell on e-commerce marketplaces. Interruptions in these systems, whether due to system failures, human input errors, computer viruses or physical or electronic break-ins, and denial-of-service attacks on us, third-party vendors or communications infrastructure, could affect the availability of our services on our platform and prevent or inhibit the ability of selling our products. Volume of traffic and activity on e-commerce marketplaces spikes on certain days, such as during a Black Friday promotion, and any such interruption would be particularly problematic if it were to occur at such a high-volume time. Problems with the reliability of our systems or third-party marketplaces could prevent us from earning revenue and could harm our reputation. Damage to our reputation, any resulting loss of customers, e-commerce confidence and the cost of remedying these problems could negatively affect our business, results of operations, financial condition and prospects.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6" w:name="page57"/>
    <w:bookmarkEnd w:id="56"/>
    <w:p>
      <w:pPr>
        <w:ind w:right="60"/>
        <w:spacing w:after="0" w:line="270" w:lineRule="auto"/>
        <w:rPr>
          <w:sz w:val="20"/>
          <w:szCs w:val="20"/>
          <w:color w:val="auto"/>
        </w:rPr>
      </w:pPr>
      <w:r>
        <w:rPr>
          <w:rFonts w:ascii="Arial" w:cs="Arial" w:eastAsia="Arial" w:hAnsi="Arial"/>
          <w:sz w:val="17"/>
          <w:szCs w:val="17"/>
          <w:color w:val="auto"/>
        </w:rPr>
        <w:t>Our ability to maintain communications, network and computer hardware in the countries in which they are used may in the future be subject to regulatory review and licensing, and the failure to obtain any required licenses could negatively affect our business. Our systems and infrastructure are predominately reliant on third parties. Problems faced by our third-party service providers with the telecommunications network providers with whom they contract or with the systems by which they allocate capacity among their users, including us, could adversely affect the experience of our consumers.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Any errors, defects, disruptions or other performance problems with our services could harm our reputation and may have a material adverse effect on our business, results of operations, financial condition and prospects.</w:t>
      </w:r>
    </w:p>
    <w:p>
      <w:pPr>
        <w:spacing w:after="0" w:line="29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3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inadvertent breaches by our employees or by third parties. These risks may increase over time as the complexity and number of technical systems and applications we use also increases.</w:t>
      </w:r>
    </w:p>
    <w:p>
      <w:pPr>
        <w:spacing w:after="0" w:line="17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Breaches of our security measures or those of our third-party service providers or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experienced social engineering, phishing, malware and similar attacks and threats of denial-of-service attacks; however, such attacks could in the future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may experience periodic system interruptions from time to time. In addition, continued growth in our transaction volume, as well as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 that we will be able to accurately project the rate or timing of increases, if any, in the use of our sites or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ind w:right="100"/>
        <w:spacing w:after="0" w:line="293" w:lineRule="auto"/>
        <w:rPr>
          <w:sz w:val="20"/>
          <w:szCs w:val="20"/>
          <w:color w:val="auto"/>
        </w:rPr>
      </w:pPr>
      <w:r>
        <w:rPr>
          <w:rFonts w:ascii="Arial" w:cs="Arial" w:eastAsia="Arial" w:hAnsi="Arial"/>
          <w:sz w:val="16"/>
          <w:szCs w:val="16"/>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or we may need to devote significant resources in the future to address problems caused by breaches, including notifying affected subscribers and responding to any resulting litigation, which in turn, diverts resources from the growth and expansion of our business. To date, we are not aware of any material compromises or breaches of our networks or systems.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general litigation, regulatory disputes and government inquiries.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a growing company with expanding operations, we have in the past and may in the future increasingly face the risk of claims, lawsuits, government investigations and other proceedings involving competition and antitrust, intellectual property, privacy, consumer protection, accessibility claims, securities, tax, labor and employment, commercial disputes, services and other matters. The number and significance of these disputes and inquiries have increased as the political and regulatory landscape changes, and as we have grown larger and expanded in scope and geographic reach, and our services have increased in complexity.</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cannot predict the outcome of such disputes and inquiries with certainty. Regardless of the outcome, these can have an adverse impact on us because of legal costs, diversion of management resources and other factors. 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These proceedings could also result in reputational harm, criminal sanctions, consent decrees or orders preventing us from offering certain products or services or requiring a change in our business practices in costly ways or requiring development of non-infringing or otherwise altered products or technologies. Litigation and other claims and regulatory proceedings against us could result in unexpected expenses and liabilities, which could have a material adverse effect on our business, results of operations, financial condition and prospects.</w:t>
      </w:r>
    </w:p>
    <w:p>
      <w:pPr>
        <w:spacing w:after="0" w:line="3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1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May 2019, we received notice from the California Energy Commission (the “CEC”) that certain of our products have not been listed in the CEC’s Modernized Appliance Efficiency Database System (the “MAEDbS”) and therefore we are not in compliance with a CEC regulation. In order for an appliance to be listed in the MAEDbS, it must be tested at a lab approved by the CEC and the test data must be submitted to the CEC’s Appliance Efficiency Program. Although we believe that a number of the products identified in the CEC’s notice are, and have been, listed in the MAEDbS and comply with applicable CEC regulations, we may be subject to a financial penalty imposed by the CEC with respect to certain of our products that are not currently listed and may not otherwise currently meet applicable CEC energy regulations. We cannot be certain that our insurance coverage will fully cover any financial liability actually incurred. In addition, if we are required to list these additional products in the MAEDbS, we may not be permitted to sell them in the State of California until they are listed. We are in the process of negotiating the payment of a penalty with the CEC which we do not believe is material to our financial condition or results of operations.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right="20"/>
        <w:spacing w:after="0" w:line="291" w:lineRule="auto"/>
        <w:rPr>
          <w:sz w:val="20"/>
          <w:szCs w:val="20"/>
          <w:color w:val="auto"/>
        </w:rPr>
      </w:pPr>
      <w:r>
        <w:rPr>
          <w:rFonts w:ascii="Arial" w:cs="Arial" w:eastAsia="Arial" w:hAnsi="Arial"/>
          <w:sz w:val="16"/>
          <w:szCs w:val="16"/>
          <w:color w:val="auto"/>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copies of the energy-efficiency report and certification that were issued for the dehumidifier model at the time of production. We believe that our products are compliant, and we, in conjunction with our manufacturing partner, have disputed the Test Notice received from the DOE. As of the date hereof, we cannot reasonably estimate what, if any, penalties may be levied.</w:t>
      </w:r>
    </w:p>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222222"/>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3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products experience any recalls, product liability claims, or government, customer or consumer concerns about product safety, our reputation and operating results could be harmed.</w:t>
      </w:r>
    </w:p>
    <w:p>
      <w:pPr>
        <w:spacing w:after="0" w:line="6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products are subject to regulation by the U.S. Consumer Product Safety Commission (the “CPSC”) and similar state and international regulatory authorities, and their products sold on our platform could be subject to involuntary recalls and other actions by these authorities. Concerns about product safety including concerns about the safety of products manufactured in developing countries, could lead us to recall selected products. Recalls and government, customer or consumer concerns about product safety could harm our reputation and reduce sales, either of which could have a material adverse effect on our business, results of operations, financial condition and prospects. For example, in May 2018, the board of directors of Mohawk Group, Inc., our wholly-owned subsidiary (“Mohawk Opco”), approved a voluntary recall of the Xtava Allure Hair Dryer. In June 2018, Mohawk Opco filed an application for a voluntary recall with the CPSC pursuant to Section 15(b) of the Consumer Product Safety Act (“CPSA”). Mohawk Opco received approval from the CPSC to provide consumers with replacement units and publicly announced the recall on August 15, 2018. Mohawk Opco estimated it would incur approximately $1.6 million in costs related to the recall for procurement, manufacturing, fulfillment and delivery to consumers who apply and qualify for the recall costs. Mohawk Opco recorded the expense in 2018. As of September 30, 2019, the remaining recall liability is $0.1 million as we have reversed $1.4 million of this accrual during September 30, 2019, as the recall program for the Xtava Allure Hair Dryer has materially completed.</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may be subject to product liability claims if people or property are harmed by the products we sell. Some of the products we sell may expose us to product liability claims and litigation (including class actions) or regulatory action relating to safety, personal injury, death or environmental or property damage. For example, in August 2018, we announced a voluntary recall of certain hair dryers that were alleged to have overheated or caused fires. Although no claims have been brought, pursuant to the CPSC and the guidelines set forth by the CPSA, we may be subject to a late reporting penalty if the CSPC decides to perform a late reporting investigation and determines we failed to meet all reporting requirements. If we are determined to have violated the reporting guidelines, a penalty may be material to the consolidated financial statements. In August 2019, we received notice that we have materially completed our obligation on the recall program and, as a result, have eliminated a substantial portion of the remaining liability pertaining to the program. As such, we believe the likelihood that a late reporting investigation will be initiated by the CPSC is remote but we can make no guarantee that CPSC will not open an investigation in the future.</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Although we maintain liability insurance, we cannot be certain that our coverage will be adequate for liabilities actually incurred or that insurance will continue to be available to us on economically reasonable terms, or at all. Some of our agreements with members of our supply chain may not indemnify us from product liability for a particular product, and some members of our supply chain may not have sufficient resources or insurance to satisfy their indemnity and defense obligations.</w:t>
      </w:r>
    </w:p>
    <w:p>
      <w:pPr>
        <w:spacing w:after="0" w:line="29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Any failure by us or our vendors to comply with product safety, labor or other laws, or our standard vendor terms and conditions, or to provide safe factory conditions for our or their workers may damage our reputation and brand and harm our business.</w:t>
      </w:r>
    </w:p>
    <w:p>
      <w:pPr>
        <w:spacing w:after="0" w:line="38"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The products we sell to our clients are subject to regulation by the CPSC, the Federal Trade Commission (“FTC”) and similar state and international regulatory authorities. As a result, such products could be in the future subject to recalls and other remedial actions. Product safety, labeling and licensing concerns may require us to voluntarily remove selected merchandise from our inventory. Such recalls or voluntary removal of merchandise can result in, among other things, suspension of our seller accounts on Amazon and other online marketplaces, lost sales, diverted resources, potential harm to our reputation and increased client service costs and legal expenses, which could have a material adverse effect on our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9" w:name="page60"/>
    <w:bookmarkEnd w:id="59"/>
    <w:p>
      <w:pPr>
        <w:ind w:right="180"/>
        <w:spacing w:after="0" w:line="276" w:lineRule="auto"/>
        <w:rPr>
          <w:sz w:val="20"/>
          <w:szCs w:val="20"/>
          <w:color w:val="auto"/>
        </w:rPr>
      </w:pPr>
      <w:r>
        <w:rPr>
          <w:rFonts w:ascii="Arial" w:cs="Arial" w:eastAsia="Arial" w:hAnsi="Arial"/>
          <w:sz w:val="17"/>
          <w:szCs w:val="17"/>
          <w:color w:val="auto"/>
        </w:rPr>
        <w:t>Some of the products we sell may expose us to product liability claims and litigation or regulatory action relating to personal injury or environmental or property damage. Although we maintain liability insurance and have implemented a quality assurance program that includes obtaining necessary certifications, we cannot be certain that our coverage will be adequate for liabilities actually incurred or that insurance will continue to be available to us on economically reasonable terms or at all. In addition, some of our agreements with our vendors may not indemnify us from product liability for a particular vendor’s products or our vendors may not have sufficient resources or insurance to satisfy their indemnity and defense obligations.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Misclassification or reclassification of our independent contractors or employees could increase our costs and adversely impact our business.</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workers are classified as either employees or independent contractors, and if employees, as either exempt from overtime or non-exempt (and therefore overtime eligible). Regulatory authorities and private parties have recently asserted within several industries that some independent contractors should be classified as employees and that some exempt employees, including those in sales-related positions, should be classified as non-exempt based upon the applicable facts and circumstances and their interpretations of existing rules and regulations. If we are found to have misclassified employees as independent contractors or non-exempt employees as exempt, we could face penalties and have additional exposure under federal and state tax, workers’ compensation, unemployment benefits, labor, employment and tort laws, including for prior periods, as well as potential liability for employee overtime and benefits and tax withholdings. Legislative, judicial or regulatory (including tax) authorities could also introduce proposals or assert interpretations of existing rules and regulations that would change the classification of a significant number of independent contractors doing business with us from independent contractor to employee and a significant number of exempt employees to non-exempt. A reclassification in either case could result in a significant increase in employment-related costs such as wages, benefits and taxes. The costs associated with employee classification, including any related regulatory action or litigation, could have a material adverse effect on our results of operations and our financial position.</w:t>
      </w:r>
    </w:p>
    <w:p>
      <w:pPr>
        <w:spacing w:after="0" w:line="28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b w:val="1"/>
          <w:bCs w:val="1"/>
          <w:i w:val="1"/>
          <w:iCs w:val="1"/>
          <w:color w:val="auto"/>
        </w:rPr>
        <w:t>We are subject to U.S. governmental regulation and other legal obligations related to privacy, data protection and information security. If we are unable to comply with these, we may be subject to governmental enforcement actions, litigation, fines and penalties or adverse publicity.</w:t>
      </w:r>
    </w:p>
    <w:p>
      <w:pPr>
        <w:spacing w:after="0" w:line="1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collect personally identifiable information and other data from our consumers and prospective consumers. We collect this info automatically through the automated sales processes with e-commerce marketplaces. We, at times, may use this information to provide, support, expand and improve our business and tailor our marketing and advertising efforts.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such as the FTC, and various state, local and foreign agencies. Our data handling also is subject to contractual obligations and industry standards.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FTC and many state attorneys general are interpreting federal and state consumer protection laws as imposing standards for the online collection, use, dissemination and security of data. The laws and regulations relating to privacy and data security are evolving, can be subject to significant change and may result in ever-increasing regulatory and public scrutiny and escalating levels of enforcement and sanctions.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United States, federal and various state governments have adopted or are considering laws, guidelines or rules for the collection, distribution, use and storage of information collected from or about consumers or their devices. For example, California recently passed the California Consumer Privacy Act, which has an effective date of January 1, 2020 and introduces substantial changes to privacy law for businesses that collect personal information from California residents. Additionally, the FTC and many state attorneys general are applying federal and state consumer protection laws, to impose standards for the online collection, use and dissemination of data. Furthermore, these obligations may be interpreted and applied inconsistently from one jurisdiction to another and may conflict with other requirements or our practices.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Many data protection regimes apply based on where a consumer is located, and as we expand and new laws are enacted or existing laws change, we may be subject to new laws, regulations or standards or new interpretations of existing laws, regulations or standards, which could require us to incur additional costs and restrict our business operations. Any failure or perceived failure by us to comply with rapidly evolving privacy or security laws, such as the Personal Information Security Specification (the “China Specification”), policies (including our own stated privacy policies), legal obligations or industry standards or any security incident that results in the unauthorized release or transfer of personally identifiable information or other consumer data may result in governmental enforcement actions, litigation (including consumer class actions), fines and penalties or adverse publicity and could cause our consumers to lose trust in us, which could have a material adverse effect on our business, results of operations, financial condition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0" w:name="page61"/>
    <w:bookmarkEnd w:id="60"/>
    <w:p>
      <w:pPr>
        <w:jc w:val="both"/>
        <w:ind w:right="360"/>
        <w:spacing w:after="0" w:line="286" w:lineRule="auto"/>
        <w:rPr>
          <w:sz w:val="20"/>
          <w:szCs w:val="20"/>
          <w:color w:val="auto"/>
        </w:rPr>
      </w:pPr>
      <w:r>
        <w:rPr>
          <w:rFonts w:ascii="Arial" w:cs="Arial" w:eastAsia="Arial" w:hAnsi="Arial"/>
          <w:sz w:val="17"/>
          <w:szCs w:val="17"/>
          <w:b w:val="1"/>
          <w:bCs w:val="1"/>
          <w:i w:val="1"/>
          <w:iCs w:val="1"/>
          <w:color w:val="auto"/>
        </w:rPr>
        <w:t>We handle credit card and other personal information, and, as such, are subject to governmental regulation and other legal obligations related to the protection of personal data, privacy and information security in certain countries where we do business and there has been and will continue to be a significant increase globally in such laws that restrict or control the use of personal data.</w:t>
      </w:r>
    </w:p>
    <w:p>
      <w:pPr>
        <w:spacing w:after="0" w:line="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Due to the sensitive nature of such information, we have implemented policies and procedures to preserve and protect our data and our customers’ data against loss, misuse, corruption, misappropriation caused by systems failures, unauthorized access or misuse. Notwithstanding these policies,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spacing w:after="0" w:line="29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In Europe, where we expect to expand our business operations in the future as part of our growth, the data privacy and information security regime recently underwent a significant change and continues to evolve and is subject to increasing regulatory scrutiny.</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General Data Protection Regulation (“GDPR”), which came into force on May 25, 2018, implemented more stringent operational requirements for our use of personal data. These more stringent requirements include expanded disclosures to tell our consumers about how we may use their personal data, increased controls on profiling customers and increased rights for customers to access, control and delete their personal data. In addition, there are mandatory data breach notification requirements and significantly increased penalties of the greater of €20 million or 4% of global turnover for the preceding financial year. The U.K.’s Network and Information Systems Regulations 2018 (“NID Regulations”), which came into force on May 10, 2018, apply to us as an online marketplace and place additional network and information systems security obligations on us, as well as mandatory security incident notification in certain circumstances with penalties of up to £17 million.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recent years, U.S. and European lawmakers and regulators have expressed concern over the use of third-party cookies and similar technologies for online behavioral advertising, and laws in this area are also under reform. Such regulations may have a negative effect on businesses, including ours, that collect and use online usage information for consumer acquisition and marketing, it may increase the cost of operating a business that collects or uses such information and undertakes online marketing, it may also increase regulatory scrutiny and increase potential civil liability under data protection or consumer protection laws.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could incur substantial costs to comply with these regulations. The changes could require significant systems changes, limit the effectiveness of our marketing activities, adversely affect our margins, increase costs and subject us to additional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new, stringent privacy regulations in China that are broader than those of our other operations.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China, the China Specification came into force on May 1, 2018. Although the China Specification is not a mandatory regulation, it nonetheless has a key implementing role in relation to China’s Cyber Security Law in respect of protecting personal information in China. Furthermore, it is likely that the China Specification will be relied on by Chinese government agencies as a standard to determine whether businesses have abided by China’s data protection rules. This China Specification has introduced many concepts and protection rules for personal information, such as “Data Controller” from GDPR. From the consent perspective the China Specification and GDPR are similar, but the China Specification has broadened the scope of personal sensitive information (“PSI”) as compared to GDPR (including but not limited to phone number, transaction record and purchase history, bank account, browser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1" w:name="page62"/>
    <w:bookmarkEnd w:id="61"/>
    <w:p>
      <w:pPr>
        <w:ind w:right="140"/>
        <w:spacing w:after="0" w:line="375" w:lineRule="auto"/>
        <w:rPr>
          <w:sz w:val="20"/>
          <w:szCs w:val="20"/>
          <w:color w:val="auto"/>
        </w:rPr>
      </w:pPr>
      <w:r>
        <w:rPr>
          <w:rFonts w:ascii="Arial" w:cs="Arial" w:eastAsia="Arial" w:hAnsi="Arial"/>
          <w:sz w:val="15"/>
          <w:szCs w:val="15"/>
          <w:b w:val="1"/>
          <w:bCs w:val="1"/>
          <w:i w:val="1"/>
          <w:iCs w:val="1"/>
          <w:color w:val="auto"/>
        </w:rPr>
        <w:t>We are subject to customs and international trade laws that could require us to modify our current business practices and incur increased costs or could result in a delay in getting products through customs and port operations, which may limit our growth and cause us to suffer reputational damage.</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predominately import our products from China. We are subject to numerous regulations, including customs and international trade laws that govern the importation and sale of our goods. In addition, we face risks associated with trade protection laws, policies and measures and other regulatory requirements affecting trade and investment, including loss or modification of exemptions for taxes and tariffs, imposition of new tariffs and duties and import and export licensing requirements in the countries in which we operate, in particular, in China, where trade relations between the United States and China are uncertain. Our failure to comply with import or export rules and restrictions or to properly classify items under tariff regulations and pay the appropriate duties could expose us to fines and penalties. If these laws or regulations were to change or were violated by our management, employees, retailers or brands, we could experience delays in shipments of our goods, be subject to fines or penalties or suffer reputational harm, which could reduce demand for our products or services and negatively impact our results of operations.</w:t>
      </w:r>
    </w:p>
    <w:p>
      <w:pPr>
        <w:spacing w:after="0" w:line="17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business depends on our ability to source and distribute products in a timely manner. As a result, we rely on the free flow of goods through open and operational ports worldwide. Labor disputes or other disruptions at ports create significant risks for our business, particularly if work slowdowns, lockouts, strikes or other disruptions occur. Any of these factors could result in reduced sales or canceled orders, which may limit our growth and damage our reputation and may have a material adverse effect on our business, results of operations, financial condition and prospects.</w:t>
      </w:r>
    </w:p>
    <w:p>
      <w:pPr>
        <w:spacing w:after="0" w:line="2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imports from China or any retaliatory trade measures are taken by China, our business and results of operations could be materially and adversely affected.</w:t>
      </w:r>
    </w:p>
    <w:p>
      <w:pPr>
        <w:spacing w:after="0" w:line="6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purchase our products from unaffiliated manufacturers that are located in China. This concentration exposes us to risks associated with doing business globally, including changes in tariffs. The Office of the United States Trade Representative identified certain Chinese imported goods for additional tariffs to address China’s trade policies and practices. These tariffs could have a material adverse effect on our business and results of operations. Additionally, the Trump administration continues to signal that it may alter trade agreements and terms between China and the United States, including limiting trade with China, imposing additional tariffs on imports from China and potentially imposing other restrictions on exports from China to the United States. Consequently, it is possible further and or higher tariffs will be imposed on products imported from foreign countries, including China, or that our business will be affected by retaliatory trade measures taken by China or other countries in response to existing or future tariffs. This may cause us to raise prices or make changes to our operations, any of which could have a material adverse effect on our business and results of operations.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financial performance.</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Many of the laws, rules or regulations imposing taxes and other similar obligations were established before the growth of the internet and e-commerce. Tax authorities in non-U.S. jurisdictions and at the U.S. federal, state and local levels are currently reviewing the appropriate treatment of companies engaged in internet commerce and considering changes to existing tax or other laws that could regulate our transmissions and/or levy sales, income, consumption, use or other taxes relating to our activities, and/or impose obligations on us to collect such taxes. For example, in March 2018, the European Commission proposed new rules for taxing digital business activities in the EU. In addition, state and local taxing authorities in the United States and taxing authorities in other countries have identified e-commerce platforms as a means to calculate, collect and remit indirect taxes for transactions taking place over the internet. Multiple U.S. states have enacted related legislation and other states are now considering such legislation. Furthermore, the U.S. Supreme Court recently has held in </w:t>
      </w:r>
      <w:r>
        <w:rPr>
          <w:rFonts w:ascii="Arial" w:cs="Arial" w:eastAsia="Arial" w:hAnsi="Arial"/>
          <w:sz w:val="16"/>
          <w:szCs w:val="16"/>
          <w:i w:val="1"/>
          <w:iCs w:val="1"/>
          <w:color w:val="auto"/>
        </w:rPr>
        <w:t>South Dakota v. Wayfair</w:t>
      </w:r>
      <w:r>
        <w:rPr>
          <w:rFonts w:ascii="Arial" w:cs="Arial" w:eastAsia="Arial" w:hAnsi="Arial"/>
          <w:sz w:val="16"/>
          <w:szCs w:val="16"/>
          <w:color w:val="auto"/>
        </w:rPr>
        <w:t xml:space="preserve"> that a U.S. state may require an online retailer to collect sales taxes imposed by that state, even if the retailer has no physical presence in that state, thus permitting a wider enforcement of such sales tax collection requirements. Such legislation could require us or our retailers and brands to incur substantial costs in order to comply, including costs associated with legal advice, tax calculation, collection, remittance and audit requirements, which could make selling in such markets less attractive and could adversely affect our business. We cannot predict the effect of current attempts to impose taxes on commerce over the internet. If such tax or other laws, rules or regulations were amended, or if new unfavorable laws, rules or regulations were enacted, the results could increase our tax payments or other obligations, prospectively or retrospectively, subject us to interest and penalties, decrease the demand for our products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may have a material adverse effect on our business, results of operations, financial condition and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$14.2 million net operating loss carryforwards as of December 31, 2018,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 assets available to us. For these reasons, we may not be able to realize a tax benefit from the use of our NOLs, even if we attain profitability. We have not performed a detailed analysis to determine whether an ownership change under Section 382 of the Code has occurred. The effect of a Section 382 ownership change would be the imposition of an annual limitation on the use of net operating loss carryforwards attributable to periods before the change. Any limitation may result in expiration of all, or a portion of the NOLs or other tax attributes, such as research and development credit carryforwards, before utilization.</w:t>
      </w:r>
    </w:p>
    <w:p>
      <w:pPr>
        <w:spacing w:after="0" w:line="2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penalties or significant fines and harm our business and reputation.</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SEC, the U.S. Department of Justice, the U.S. Treasury Department’s Office of Foreign Assets Controls (“OFAC”), the U.S. Department of State, as well as other foreign regulatory authorities continue to enforce economic and trade regulations and anti-corruption laws across industries. U.S. trade sanctions relate to transactions with designated foreign countries and territories, including Cuba, Iran, North Korea, Syria and the Crimea region of Ukraine (“Crimea”) as well as specifically targeted individuals and entities that are identified on U.S. and other blacklists, and those owned by them or those acting on their behalf. Anti-corruption laws, including the U.S. Foreign Corrupt Practices Act (the “FCPA”) and the U.K. Bribery Act (the “Bribery Act”), generally prohibit direct or indirect corrupt payments to government officials and, under certain laws, private persons to obtain or retain business or an improper business advantage. Some of our international operations are conducted in parts of the world, including Ukraine, Philippines and China, where it is common to engage in business practices that are prohibited by these laws.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have policies and procedures in place designed to promote compliance with laws and regulations, which we review and update as we expand our operations in existing and new jurisdictions in order to proportionately address risks of non-compliance with applicable laws and regulations, our employees, partners or agents could take actions in contravention of our policies and procedures or violate applicable laws or regulations. As regulations continue to develop and regulatory oversight continues to focus on these areas, we cannot guarantee that our policies and procedures will ensure compliance at all times with all applicable laws or regulations. In the event our controls should fail, or we are found to be not in compliance for other reasons, we could be subject to monetary damages, civil and criminal monetary penalties, withdrawal of business licenses or permits, litigation and damage to our reputation and the value of our brand.</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we expand our operations in existing and new jurisdictions internationally, we will need to increase the scope of our compliance programs to address the risks relating to the potential for violations of the FCPA and the Bribery Act and other anti-bribery and anti-corruption laws. Further, the promulgation of new laws, rules and regulations, or the new interpretation of existing laws, rules and regulations, in each case that restrict or otherwise unfavorably impact the ability or manner in which we or our retailers and brands conduct business could require us to change certain aspects of our business, operations and commercial relationships to ensure compliance, which could decrease demand for products or services, reduce net revenue, increase costs or subject us to additional liabilities. Anti-corruption and anti-bribery laws have been enforced aggressively in recent years, are interpreted broadly and prohibit companies and their employees and agents from promising, authorizing, making, offering, soliciting or accepting improper payments or other benefits to or from government officials and others in the private sector. As we increase our international sales and business, particularly in countries with a low score on the Corruptions Perceptions Index by Transparency International and increase our use of third-party business partners such as sales agents, distributors, resellers or consultants, our risks under these laws may increase. Under these laws, we could be held liable for the corrupt or other illegal activities of our employees, representatives, contractors, business partners and agents, even if we do not explicitly authorize or have actual knowledge of such activities. Noncompliance with these laws could subject us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require us to appoint an independent compliance monitor, which can result in added costs and administrative burdens. Any investigations, actions, sanctions or other previously mentioned harm could have a material negative effect on our business, operating results and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or smaller reporting companies could make our common stock less attractive to investors.</w:t>
      </w:r>
    </w:p>
    <w:p>
      <w:pPr>
        <w:spacing w:after="0" w:line="7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38" w:lineRule="exact"/>
        <w:rPr>
          <w:sz w:val="20"/>
          <w:szCs w:val="20"/>
          <w:color w:val="auto"/>
        </w:rPr>
      </w:pPr>
    </w:p>
    <w:p>
      <w:pPr>
        <w:ind w:left="1040" w:right="8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permission to delay adopting new or revised accounting standards until such time as those standards apply to private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take advantage of these and other exemptions until we are no longer an “emerging growth company”. We could be an emerging growth company until as long as December 31, 2024 (up to the end of the fiscal year in which the fifth anniversary of the completion our initial public offering occurs), although we expect to not be an emerging growth company sooner. Our status as an emerging growth company will end as soon as any of the following takes place:</w:t>
      </w:r>
    </w:p>
    <w:p>
      <w:pPr>
        <w:spacing w:after="0" w:line="79"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after we become a public company.</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under the Jumpstart Our Business Startups Act of 2012 (the “JOBS Act”), “emerging growth companies” can delay adopting new or revised accounting standards until such time as those standards apply to private companies.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(excluding the exemption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may be volatile. Market volatility may affect the value of an investment in our common stock and could subject us to litigation.</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Technology stocks have historically experienced high levels of volatility. There has been and could continue to be significant volatility in the market price and trading volume of equity securities. For example, our closing stock price ranged from $6.22 to $10.00 per share from June 12, 2019 to September 30, 2019. The market price of our common stock could be subject to wide fluctuations in response to many risk factors listed in this section, and others beyond our control, including:</w:t>
      </w:r>
    </w:p>
    <w:p>
      <w:pPr>
        <w:spacing w:after="0" w:line="79"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and any changes in projected operational and financial results;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offerings by us or our competitors;</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capital-raising activities or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reaction to our press releases and filings with the SEC;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operating performance and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expiration of any contractual lock-up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be sustained, and you may not be able to resell your common stock at a desired market price.</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shares of common stock began trading on the Nasdaq Capital Market on June 12, 2019. Prior to our initial public offering, there was no public market for our common stock. Although our common stock is listed on the Nasdaq Capital Market, an active trading market for our shares may not be sustained. If an active market for our common stock is not sustained, you may not be able to sell your shares quickly or at a desired market price. If no active trading market for our common stock is sustained, you may be unable to sell your shares when you wish to sell them or at a price that you consider attractive or satisfactory. The lack of an active market may also adversely affect our ability to raise capital by selling securities in the future or impair our ability to acquire businesses or technologies using our shares as consideration.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Financial Industry Regulatory Authority, Inc.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2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trading market for our common stock will be influenced in part by the research and reports that securities or industry analysts may publish about us, our business, our market or our competitors. If one or more of the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2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market size and forecasts of market growth included in our publicly-filed documents may prove to be inaccurate, and even if the market in which we compete achieves the forecasted growth, our business could fail to grow at similar rates, if at all.</w:t>
      </w:r>
    </w:p>
    <w:p>
      <w:pPr>
        <w:spacing w:after="0" w:line="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opportunity, size estimates and growth forecasts included in our publicly-filed documents are subject to significant uncertainty and are based on assumptions and estimates that may not prove to be accurate. For example, several of the reports and data on which our estimates and forecasts are based rely on projections of consumer adoption and incorporate data from secondary sources such as company websites as well as industry, trade and government publications.</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revenue and operating results are difficult to forecast because they generally depend on the volume, timing and type of orders we receive, all of which are uncertain. We base our expense levels and investment plans on our estimates of total net revenue and gross margins using human judgment combined with our machine learning, natural language processing and data analytics. We cannot be sure the same growth rates, trends and other key performance metrics are meaningful predictors of future growth. If our assumptions and calculations prove to be wrong, we may spend more than we anticipate acquiring and retaining customers or may generate less net revenue per active customer than anticipated, any of which could have a negative impact on our business and results of operations. In addition, as we enter a new consumer product market, we may initially provide discounts to customers to gain market traction, and the amount and effect of these discounts may vary greatly. Finally, we are evaluating our total addressable market with respect to new product offerings and new markets. These estimates of total addressable market and growth forecasts are subject to significant uncertainty, are based on assumptions and estimates that may not prove to be accurate and are based on data published by third parties that we have not independently verified. Even if the market in which we compete meets the size estimates and growth forecasted in our publicly-filed documents, our business could fail to grow at similar rates, if at all.</w:t>
      </w:r>
    </w:p>
    <w:p>
      <w:pPr>
        <w:spacing w:after="0" w:line="16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business is also affected by general economic and business conditions in the U.S., and we anticipate that it will be increasingly affected by conditions in international markets. In addition, we experience seasonal trends in our business, and our mix of product offerings is highly variable from day-to-day and quarter-to-quarter. This variability makes it difficult to predict sales and could result in significant fluctuations in our net revenue from period-to-period. A significant portion of our expenses is fixed, and as a result, we may be unable to adjust our spending in a timely manner to compensate for any unexpected shortfall in net revenue. Any failure to accurately predict net revenue or gross margins could cause our operating results to be lower than expected, which could materially adversely affect our financial condition and stock price.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i w:val="1"/>
          <w:iCs w:val="1"/>
          <w:color w:val="auto"/>
        </w:rPr>
        <w:t>*Future sales and issuances of our capital stock, or the perception that such sales may occur, could cause our stock price to decline.</w:t>
      </w:r>
    </w:p>
    <w:p>
      <w:pPr>
        <w:spacing w:after="0" w:line="129"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We have agreed, subject to specified exceptions, not to (i) offer, pledge, issue, sell, contract to sell, purchase, contract to purchase, lend or otherwise transfer or dispose of, directly or indirectly, any shares of our common stock or any securities convertible into or exercisable or exchangeable for our common stock,</w:t>
      </w:r>
    </w:p>
    <w:p>
      <w:pPr>
        <w:ind w:right="20" w:firstLine="8"/>
        <w:spacing w:after="0" w:line="269" w:lineRule="auto"/>
        <w:tabs>
          <w:tab w:leader="none" w:pos="2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our common stock, or (iii) file any registration statement with the SEC relating to the offering of any shares of our common stock or any securities convertible into or exercisable or exchangeable for our common stock, except for a registration statement on Form S-4 in connection with a business combination transaction or a registration statement on Form S-8 with respect to the registration of shares of our common stock to be issued under equity incentive plans for our employees until December 9, 2019 (the date that is 180 days following the date of the final prospectus for our IPO, dated as of June 12, 2019, and filed with the SEC pursuant to Rule 424(b)(4) on June 13, 2019 (File No. 333-231381) (the “Final Prospectus”)). However, Roth Capital Partners, LLC, may release us from any or all of the restrictions in the preceding sentence prior to the expiration of the restricted period.</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officers and directors have agreed, subject to specified exceptions, not to dispose of or hedge any of our common stock until June 12, 2020 (the date that is twelve months after the date of the Final Prospectus). Holders of all or substantially all our outstanding securities have agreed, subject to specified exceptions, not to dispose of or hedge our common stock until (i) December 9, 2019 (a period of 180 days after the date of the Final Prospectus, (ii) March 12, 2020 (a period of 9 months after the date of the Final Prospectus), (iii) June 12, 2020 (a period of 12 months after the date of the Final Prospectus), (iv) September 12, 2020 (a period of 15 months after the date of the Final Prospectus), (v) December 12, 2020 (a period of 18 months after the date of the Final Prospectus), or (vi) March 12, 2021 (a period of 21 months after the date of the Final Prospectus). However, Roth Capital Partners, LLC, may release all or any portion of the shares subject to the lock-up restrictions prior to the expiration of the restricted periods.</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may issue additional securities following the date of this Quarterly Report on Form 10-Q. Our amended and restated certificate of incorporation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An aggregate of 2,426,025 shares of restricted common stock granted to certain of our employees, including certain of our executive officers, pursuant to the Mohawk Group Holdings, Inc. 2019 Equity Plan (the “2019 Equity Plan”) will vest in four equal installments on February 1, 2020, June 14, 2020, December 14, 2020 and June 14, 2021, and we expect our stock-based compensation expense to increase materially in the future from the issuance and vesting of restricted common stock granted pursuant to the 2019 Equity Plan. In addition, an aggregate of 149,957 shares of restricted common stock granted to certain of our employees, including certain of our executive officers and directors pursuant to the Mohawk Group Holdings, Inc. 2018 Equity Incentive Plan will, (i) with respect to 64,982 shares of restricted common stock, vest in full on June 14, 2020 and (ii) with respect to 84,975 shares of restricted common stock, vest monthly in equal installments starting one month after the one year anniversary of the vesting commencement date, with one-fourth of the award vesting on the one year anniversary of the vesting commencement date. If our existing stockholders sell a large number of shares of our common stock, or the public market perceives that existing stockholders might sell shares of common stock, the market price of our common stock could decline significantly. Existing stockholder sales might also make it more difficult for us to sell additional equity securities at a time and price that we deem appropriate.</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we are required to file a registration statement for the public resale by stockholders owning 66.8% of our outstanding common stock by December 10, 2019 (the date that is 181 days following the date of the Final Prospectus). Registration of these shares under the Securities Act of 1933, as amended (the “Securities Act”), would result in the shares becoming freely tradable without restriction under the Securities Act, except for shares held by our affiliates and subject to certain other conditions, such as the lock-up restrictions described above. Any sales of securities by these stockholders could have a material adverse effect on the trading price of our common stock.</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67" w:name="page68"/>
    <w:bookmarkEnd w:id="67"/>
    <w:p>
      <w:pPr>
        <w:spacing w:after="0" w:line="308" w:lineRule="auto"/>
        <w:rPr>
          <w:sz w:val="20"/>
          <w:szCs w:val="20"/>
          <w:color w:val="auto"/>
        </w:rPr>
      </w:pPr>
      <w:r>
        <w:rPr>
          <w:rFonts w:ascii="Arial" w:cs="Arial" w:eastAsia="Arial" w:hAnsi="Arial"/>
          <w:sz w:val="17"/>
          <w:szCs w:val="17"/>
          <w:b w:val="1"/>
          <w:bCs w:val="1"/>
          <w:i w:val="1"/>
          <w:iCs w:val="1"/>
          <w:color w:val="auto"/>
        </w:rPr>
        <w:t>Substantial blocks of our total outstanding shares may be sold into the market when the lock-up period ends. If there are substantial sales of shares of our common stock, or the market perception that such sales may occur, the price of our common stock could decline.</w:t>
      </w:r>
    </w:p>
    <w:p>
      <w:pPr>
        <w:spacing w:after="0" w:line="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Certain shares held by our directors, officers and stockholders and holders of options and warrants are currently restricted from resale as a result of a contractual “lock-up” restriction. These shares will become available to be sold at varying times following effectiveness of a future registration statement and expiration of the applicable lock-up period.</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addition, we intend to file one or more registration statements to register the shares of common stock subject to outstanding options under our equity incentive plans and the shares reserved for awards available for future issuance under our equity incentive plans. Shares registered on these registration statements would be eligible for sale to the public, subject to certain legal and contractual limitations. 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may not declare or pay cash dividends on our capital stock in the near future, and our revolving credit facility and term loan contain restrictive covenants that limit our ability to pay dividends. We currently intend to retain any future earnings to finance the operation and expansion of our business, and we do not expect to declare or pay any dividends in the foreseeable future. Consequently, stockholders must rely on sales of their common stock after price appreciation as the only way to realize any future gains on their investment.</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September 30, 2019, our executive officers, directors and the holders of more than 5% of our outstanding common stock in the aggregate beneficially own approximately 57.0% of our common stock. This concentrated control limits your ability to influence corporate matters for the foreseeable future.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Additionally, these stockholders may cause us to make strategic decisions or pursue acquisitions that could involve risks to you or may not be aligned with your interests. This concentration of ownership might also have the effect of delaying or preventing a change of control of our company that other stockholders may view as beneficial. This control may materially adversely affect the market price of our common stock.</w:t>
      </w:r>
    </w:p>
    <w:p>
      <w:pPr>
        <w:spacing w:after="0" w:line="16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MV II, LLC, Dr. Larisa Storozhenko and Mr. Maximus Yaney (collectively, the “Designating Parties”) have entered into a voting agreement with Asher Delug and us (the “Restated Voting Agreement”), pursuant to which each of the Designating Parties agreed to relinquish the right to vote their shares of capital stock of, and any other equity interest in, us (collectively, the “Voting Interests”) by granting our board of directors the sole right to vote all of the Voting Interests as the Designating Parties’ proxyholder. The Voting Interests include all shares of our common stock currently held by the Designating Parties, as well as any of our securities or other equity interests acquired by the Designating Parties in the future. Pursuant to the proxy granted by the Designating Parties, our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we receive the prior approval of The Nasdaq Stock Market LLC.</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Restated Voting Agreement became effective on June 12, 2019, and it will continue until the earlier to occur of (a) a Deemed Liquidation Event unless, immediately upon such Deemed Liquidation Event, our common stock is and remains listed on The Nasdaq Stock Market LLC, or (b) Mr. Yaney’s death. For purposes of the Restated Voting Agreement, a “Deemed Liquidation Event” means (i) the acquisition of us by another entity by means of any transaction or series of related transactions to which we are party other than a transaction or series of transactions in which the holders of our voting securities outstanding immediately prior to such transaction or series of transactions retain, immediately after such transaction or series of transactions, as a result of our shares held by such holders prior to such transaction or series of transactions, a majority of the total voting power represented by our outstanding voting securities or such other surviving or resulting entity; (ii) a sale, lease or other disposition of all or substantially all of our and our subsidiaries’ assets taken as a whole by means of any transaction or series of related transactions, except where such sale, lease or other disposition is to a wholly-owned subsidiary of us; or (iii) any liquidation, dissolution or winding up of us, whether voluntary or involuntary; however, a Deemed Liquidation Event shall not include any transaction effected primarily to raise capital for us or a spin-off or similar divestiture of our product or SaaS business as part of a reorganization of us approved by our board of directors. In addition, the rights and obligations under the Restated Voting Agreement will terminate with respect to shares of capital stock sold by a Designating Party in connection with any arm’s length transaction to a third party that is not a Designating Party, an affiliate of a Designating Party or any other individual or party that has a direct or indirect familial relationship with any Designating Party.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ind w:right="20"/>
        <w:spacing w:after="0" w:line="254" w:lineRule="auto"/>
        <w:rPr>
          <w:sz w:val="20"/>
          <w:szCs w:val="20"/>
          <w:color w:val="auto"/>
        </w:rPr>
      </w:pPr>
      <w:r>
        <w:rPr>
          <w:rFonts w:ascii="Arial" w:cs="Arial" w:eastAsia="Arial" w:hAnsi="Arial"/>
          <w:sz w:val="18"/>
          <w:szCs w:val="18"/>
          <w:color w:val="auto"/>
        </w:rPr>
        <w:t>On April 12, 2019, Asher Delug entered into a voting agreement with us on substantially the same terms as the Restated Voting Agreement (the “Delug Voting Agreement”), pursuant to which Mr. Delug agreed to relinquish the right to vote his shares of capital stock of, and any other equity interest in, us (collectively, the “Delug Voting Interests”) by granting our board of directors the sole right to vote all of the Delug Voting Interests as Mr. Delug’s proxyholder. The Delug Voting Interests include all shares of our common stock currently held by Mr. Delug, as well as any of our securities or other equity interests acquired by Mr. Delug in the future. Pursuant to the proxy granted by Mr. Delug, our board of directors is required to vote all of the Delug Voting Interests in direct proportion to the voting of the shares and equity interests voted by all holders other than Mr. Delug. The proxy granted by Mr. Delug under the Delug Voting Agreement is irrevocable. In addition, the Delug Voting Agreement proxyholder may not be changed unless we receive the prior approval of The Nasdaq Stock Market LLC.</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Delug Voting Agreement became effective on June 12, 2019, and it will continue until the earlier to occur of (a) a Deemed Liquidation Event unless, immediately upon such Deemed Liquidation Event, our common stock is and remains listed on The Nasdaq Stock Market LLC, or (b) Mr. Delug’s death. The definition of “Deemed Liquidation Event” in the Delug Voting Agreement is the same as the definition in the Restated Voting Agreement. In addition, the rights and obligations under the Delug Voting Agreement will terminate with respect shares of capital stock sold by Mr. Delug in connection with any arm’s length transaction to a third party that is not an affiliate of Mr. Delug or any other individual or party that has a direct or indirect familial relationship with Mr. Delug.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For example, we will be subject to the reporting requirements of the Securities Exchange Act of 1934, as amended (the “Exchange Act”), and will be required to comply with the applicable requirements of the Sarbanes-Oxley Act and the Dodd-Frank Wall Street Reform and Consumer Protection Act, as well as rules and regulations subsequently implemented by the SEC, including the establishment and maintenance of effective disclosure and financial controls and changes in corporate governance practices. We expect that compliance with these requirements will increase our legal and financial compliance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as defined by the JOBS Act. We will need to hire additional accounting and financial staff with appropriate public company experience and technical accounting knowledge and maintain an internal audit function. We cannot predict or estimate the amount of additional costs we may incur as a result of operating as a public company or the timing of such costs.</w:t>
      </w:r>
    </w:p>
    <w:p>
      <w:pPr>
        <w:spacing w:after="0" w:line="18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also expect that being a public company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disclosure of information in our publicly-filed documents, our business and financial condition will become more visible, which we believe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materially adversely affect our business, financial condition and operating results.</w:t>
      </w:r>
    </w:p>
    <w:p>
      <w:pPr>
        <w:spacing w:after="0" w:line="29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the General Corporation Law of the State of Delaware (the “DGCL”) could make an acquisition of us more difficult and may prevent attempts by our stockholders to replace or remove our management.</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delay or prevent an acquisition of us or a change in our management. In addition, because we are incorporated in Delaware, we are governed by the provisions of Section 203 of the DGCL, which prohibits stockholders owning in excess of 15% of the outstanding combined organization voting stock from merging or combining with the combined organization.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then-current management by making it more difficult for stockholders to replace members of our board of directors, which is responsible for appointing the members of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ind w:right="2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could discourage, delay or prevent a change in control of us and may affect the trading price of our common stock.</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shares of our capital stock to a potential acquiror or delay or prevent changes in control or changes in our management without the consent of our board of directors. Our charter documents include the following provisions:</w:t>
      </w:r>
    </w:p>
    <w:p>
      <w:pPr>
        <w:spacing w:after="0" w:line="73" w:lineRule="exact"/>
        <w:rPr>
          <w:sz w:val="20"/>
          <w:szCs w:val="20"/>
          <w:color w:val="auto"/>
        </w:rPr>
      </w:pPr>
    </w:p>
    <w:p>
      <w:pPr>
        <w:ind w:left="1040" w:right="3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73"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62" w:lineRule="exact"/>
        <w:rPr>
          <w:rFonts w:ascii="Arial" w:cs="Arial" w:eastAsia="Arial" w:hAnsi="Arial"/>
          <w:sz w:val="18"/>
          <w:szCs w:val="18"/>
          <w:color w:val="auto"/>
        </w:rPr>
      </w:pPr>
    </w:p>
    <w:p>
      <w:pPr>
        <w:ind w:left="1040" w:right="26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stockholders or a hostile acquiror;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1040" w:right="180" w:hanging="519"/>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required approval of at least two-thirds of the shares entitled to vote to adopt, amend or repeal our amended and restated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62"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the chairperson of the board of directors, the chief executive officer or the president (in the absence of a chief executive officer)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These provisions could discourage, delay or prevent a transaction involving a change in control of us. These provisions could also discourage proxy contests and make it more difficult for stockholders to elect directors of their choosing and cause us to take other corporate actions our stockholders desire.</w:t>
      </w:r>
    </w:p>
    <w:p>
      <w:pPr>
        <w:spacing w:after="0" w:line="23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the Exchange Act or any other claim for which the federal courts have exclusive jurisdiction.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chief executive officer has limited experience managing a public company, interacting with public company investors and complying with the increasingly complex laws pertaining to public companies. Accordingly, our management team, as a whole,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particularly from our chief executive officer, and could divert their attention away from the day-to-day management of our business, which could adversely affect our business, operating results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issued the following securities that were not initially registered under the Securities Act: On June 12, 2019, we granted to certain of our directors, officers and employees options to purchase an aggregate of 131,905 shares of our common stock pursuant to our 2018 Equity Plan with an exercise price of $10.00 per share. The issuance of the options to purchase shares of our common stock was not registered under the Securities Act in reliance upon Rule 701 promulgated under the Securities Act pursuant to benefit plans and contracts relating to compensation as provided under Rule 701.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June 12, 2019, our registration statement on Form S-1 (File No. 333-231381), as amended, relating to our IPO of common stock was declared effective by the SEC. The IPO closed on June 14, 2019 at which time we issued 3,600,000 shares of our common stock at an initial offering price to the public of $10.00 per share for gross proceeds of $36.0 million. We received net proceeds from the IPO of approximately $29.6 million, after deducting the underwriting discount of $2.5 million and other estimated offering-related expenses paid or payable by us of $3.9 million. None of the expenses associated with the IPO were paid to directors, officers, persons owning 10% or more of any class of equity securities, or to their associates, or to our affiliates. Roth Capital Partners, LLC and A.G.P./Alliance Global Partners acted as joint book-running managers, with National Securities Corporation as co-manager for the offering.</w:t>
      </w:r>
    </w:p>
    <w:p>
      <w:pPr>
        <w:spacing w:after="0" w:line="16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Shares of our common stock began trading on the Nasdaq Capital Market on June 12, 2019. The shares were registered under the Securities Act on a registration statement on Form S-1 (File No. 333-231381),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have used $1.1 million of the net offering proceeds.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in the planned use of proceeds from the IPO from that described in the Final Prospectus, other than that we are no longer considering the acquisition of a home décor company and a personal wellnes company described in the Final Prospectus and therefore no proceeds from our IPO will be used for such purpose.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6. Exhibits.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520" w:type="dxa"/>
            <w:vAlign w:val="bottom"/>
            <w:gridSpan w:val="21"/>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vMerge w:val="restart"/>
          </w:tcPr>
          <w:p>
            <w:pPr>
              <w:spacing w:after="0"/>
              <w:rPr>
                <w:sz w:val="10"/>
                <w:szCs w:val="10"/>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40" w:type="dxa"/>
            <w:vAlign w:val="bottom"/>
            <w:vMerge w:val="restart"/>
          </w:tcPr>
          <w:p>
            <w:pPr>
              <w:spacing w:after="0"/>
              <w:rPr>
                <w:sz w:val="10"/>
                <w:szCs w:val="10"/>
                <w:color w:val="auto"/>
              </w:rPr>
            </w:pPr>
          </w:p>
        </w:tc>
        <w:tc>
          <w:tcPr>
            <w:tcW w:w="116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File</w:t>
            </w: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Filing Date</w:t>
            </w:r>
          </w:p>
        </w:tc>
        <w:tc>
          <w:tcPr>
            <w:tcW w:w="40" w:type="dxa"/>
            <w:vAlign w:val="bottom"/>
            <w:vMerge w:val="restart"/>
          </w:tcPr>
          <w:p>
            <w:pPr>
              <w:spacing w:after="0"/>
              <w:rPr>
                <w:sz w:val="10"/>
                <w:szCs w:val="10"/>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21"/>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6280" w:type="dxa"/>
            <w:vAlign w:val="bottom"/>
            <w:gridSpan w:val="27"/>
          </w:tcPr>
          <w:p>
            <w:pPr>
              <w:spacing w:after="0"/>
              <w:rPr>
                <w:rFonts w:ascii="Arial" w:cs="Arial" w:eastAsia="Arial" w:hAnsi="Arial"/>
                <w:sz w:val="18"/>
                <w:szCs w:val="18"/>
                <w:color w:val="0000EE"/>
                <w:w w:val="98"/>
              </w:rPr>
            </w:pPr>
            <w:hyperlink r:id="rId105">
              <w:r>
                <w:rPr>
                  <w:rFonts w:ascii="Arial" w:cs="Arial" w:eastAsia="Arial" w:hAnsi="Arial"/>
                  <w:sz w:val="18"/>
                  <w:szCs w:val="18"/>
                  <w:color w:val="0000EE"/>
                  <w:w w:val="98"/>
                </w:rPr>
                <w:t>Amended and Restated Certificate of Incorporation of Mohawk Group Holdings,</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Inc.</w:t>
              </w:r>
            </w:hyperlink>
          </w:p>
        </w:tc>
        <w:tc>
          <w:tcPr>
            <w:tcW w:w="5540" w:type="dxa"/>
            <w:vAlign w:val="bottom"/>
            <w:tcBorders>
              <w:top w:val="single" w:sz="8" w:color="0000EE"/>
            </w:tcBorders>
            <w:gridSpan w:val="15"/>
          </w:tcPr>
          <w:p>
            <w:pPr>
              <w:spacing w:after="0"/>
              <w:rPr>
                <w:sz w:val="17"/>
                <w:szCs w:val="17"/>
                <w:color w:val="auto"/>
              </w:rPr>
            </w:pPr>
          </w:p>
        </w:tc>
        <w:tc>
          <w:tcPr>
            <w:tcW w:w="460" w:type="dxa"/>
            <w:vAlign w:val="bottom"/>
            <w:gridSpan w:val="11"/>
          </w:tcPr>
          <w:p>
            <w:pPr>
              <w:spacing w:after="0"/>
              <w:rPr>
                <w:sz w:val="17"/>
                <w:szCs w:val="17"/>
                <w:color w:val="auto"/>
              </w:rPr>
            </w:pPr>
          </w:p>
        </w:tc>
        <w:tc>
          <w:tcPr>
            <w:tcW w:w="780" w:type="dxa"/>
            <w:vAlign w:val="bottom"/>
            <w:gridSpan w:val="2"/>
          </w:tcPr>
          <w:p>
            <w:pPr>
              <w:jc w:val="center"/>
              <w:ind w:left="12"/>
              <w:spacing w:after="0" w:line="196" w:lineRule="exact"/>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7/14/2019</w:t>
            </w:r>
          </w:p>
        </w:tc>
        <w:tc>
          <w:tcPr>
            <w:tcW w:w="40" w:type="dxa"/>
            <w:vAlign w:val="bottom"/>
          </w:tcPr>
          <w:p>
            <w:pPr>
              <w:spacing w:after="0"/>
              <w:rPr>
                <w:sz w:val="17"/>
                <w:szCs w:val="17"/>
                <w:color w:val="auto"/>
              </w:rPr>
            </w:pPr>
          </w:p>
        </w:tc>
        <w:tc>
          <w:tcPr>
            <w:tcW w:w="880" w:type="dxa"/>
            <w:vAlign w:val="bottom"/>
          </w:tcPr>
          <w:p>
            <w:pPr>
              <w:jc w:val="right"/>
              <w:ind w:right="172"/>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6280" w:type="dxa"/>
            <w:vAlign w:val="bottom"/>
            <w:gridSpan w:val="27"/>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Amended and Restated Bylaws of Mohawk Group Holdings, Inc.</w:t>
              </w:r>
            </w:hyperlink>
          </w:p>
        </w:tc>
        <w:tc>
          <w:tcPr>
            <w:tcW w:w="78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7/14/2019</w:t>
            </w:r>
          </w:p>
        </w:tc>
        <w:tc>
          <w:tcPr>
            <w:tcW w:w="4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4700" w:type="dxa"/>
            <w:vAlign w:val="bottom"/>
            <w:tcBorders>
              <w:top w:val="single" w:sz="8" w:color="0000EE"/>
            </w:tcBorders>
            <w:gridSpan w:val="9"/>
          </w:tcPr>
          <w:p>
            <w:pPr>
              <w:spacing w:after="0"/>
              <w:rPr>
                <w:rFonts w:ascii="Arial" w:cs="Arial" w:eastAsia="Arial" w:hAnsi="Arial"/>
                <w:sz w:val="18"/>
                <w:szCs w:val="18"/>
                <w:color w:val="0000EE"/>
              </w:rPr>
            </w:pPr>
            <w:hyperlink r:id="rId107">
              <w:r>
                <w:rPr>
                  <w:rFonts w:ascii="Arial" w:cs="Arial" w:eastAsia="Arial" w:hAnsi="Arial"/>
                  <w:sz w:val="18"/>
                  <w:szCs w:val="18"/>
                  <w:color w:val="0000EE"/>
                </w:rPr>
                <w:t>Form of Common Stock Certificate.</w:t>
              </w:r>
            </w:hyperlink>
          </w:p>
        </w:tc>
        <w:tc>
          <w:tcPr>
            <w:tcW w:w="1580" w:type="dxa"/>
            <w:vAlign w:val="bottom"/>
            <w:gridSpan w:val="18"/>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5/24/2019</w:t>
            </w:r>
          </w:p>
        </w:tc>
        <w:tc>
          <w:tcPr>
            <w:tcW w:w="4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392"/>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6020" w:type="dxa"/>
            <w:vAlign w:val="bottom"/>
            <w:tcBorders>
              <w:bottom w:val="single" w:sz="8" w:color="0000EE"/>
            </w:tcBorders>
            <w:gridSpan w:val="23"/>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Form of Registration Rights Agreement, dated as of April 6, 2018, among Mohawk</w:t>
              </w:r>
            </w:hyperlink>
          </w:p>
        </w:tc>
        <w:tc>
          <w:tcPr>
            <w:tcW w:w="26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Group Holdings, Inc. and the purchasers party thereto.</w:t>
              </w:r>
            </w:hyperlink>
          </w:p>
        </w:tc>
        <w:tc>
          <w:tcPr>
            <w:tcW w:w="2360" w:type="dxa"/>
            <w:vAlign w:val="bottom"/>
            <w:gridSpan w:val="19"/>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880" w:type="dxa"/>
            <w:vAlign w:val="bottom"/>
          </w:tcPr>
          <w:p>
            <w:pPr>
              <w:jc w:val="right"/>
              <w:ind w:right="172"/>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6080" w:type="dxa"/>
            <w:vAlign w:val="bottom"/>
            <w:tcBorders>
              <w:bottom w:val="single" w:sz="8" w:color="0000EE"/>
            </w:tcBorders>
            <w:gridSpan w:val="24"/>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Warrant to Purchase Stock, issued to MidCap Financial Trust on September 4, 2018.</w:t>
              </w:r>
            </w:hyperlink>
          </w:p>
        </w:tc>
        <w:tc>
          <w:tcPr>
            <w:tcW w:w="200" w:type="dxa"/>
            <w:vAlign w:val="bottom"/>
            <w:gridSpan w:val="3"/>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5/10/2019</w:t>
            </w:r>
          </w:p>
        </w:tc>
        <w:tc>
          <w:tcPr>
            <w:tcW w:w="4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6020" w:type="dxa"/>
            <w:vAlign w:val="bottom"/>
            <w:tcBorders>
              <w:bottom w:val="single" w:sz="8" w:color="0000EE"/>
            </w:tcBorders>
            <w:gridSpan w:val="23"/>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Form of Warrant, issued to Katalyst Securities LLC and its assigns on September 4,</w:t>
              </w:r>
            </w:hyperlink>
          </w:p>
        </w:tc>
        <w:tc>
          <w:tcPr>
            <w:tcW w:w="26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60" w:type="dxa"/>
            <w:vAlign w:val="bottom"/>
            <w:gridSpan w:val="4"/>
          </w:tcPr>
          <w:p>
            <w:pPr>
              <w:ind w:left="180"/>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2018.</w:t>
              </w:r>
            </w:hyperlink>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880" w:type="dxa"/>
            <w:vAlign w:val="bottom"/>
          </w:tcPr>
          <w:p>
            <w:pPr>
              <w:jc w:val="right"/>
              <w:ind w:right="172"/>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6000" w:type="dxa"/>
            <w:vAlign w:val="bottom"/>
            <w:tcBorders>
              <w:bottom w:val="single" w:sz="8" w:color="0000EE"/>
            </w:tcBorders>
            <w:gridSpan w:val="22"/>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Form of Warrant, issued to Horizon Technology Finance Corporation on December</w:t>
              </w:r>
            </w:hyperlink>
          </w:p>
        </w:tc>
        <w:tc>
          <w:tcPr>
            <w:tcW w:w="28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60" w:type="dxa"/>
            <w:vAlign w:val="bottom"/>
            <w:gridSpan w:val="4"/>
          </w:tcPr>
          <w:p>
            <w:pPr>
              <w:ind w:left="180"/>
              <w:spacing w:after="0" w:line="19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31, 2018.</w:t>
              </w:r>
            </w:hyperlink>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880" w:type="dxa"/>
            <w:vAlign w:val="bottom"/>
          </w:tcPr>
          <w:p>
            <w:pPr>
              <w:jc w:val="right"/>
              <w:ind w:right="172"/>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6280" w:type="dxa"/>
            <w:vAlign w:val="bottom"/>
            <w:gridSpan w:val="27"/>
          </w:tcPr>
          <w:p>
            <w:pPr>
              <w:spacing w:after="0"/>
              <w:rPr>
                <w:rFonts w:ascii="Arial" w:cs="Arial" w:eastAsia="Arial" w:hAnsi="Arial"/>
                <w:sz w:val="18"/>
                <w:szCs w:val="18"/>
                <w:color w:val="0000EE"/>
                <w:w w:val="97"/>
              </w:rPr>
            </w:pPr>
            <w:hyperlink r:id="rId112">
              <w:r>
                <w:rPr>
                  <w:rFonts w:ascii="Arial" w:cs="Arial" w:eastAsia="Arial" w:hAnsi="Arial"/>
                  <w:sz w:val="18"/>
                  <w:szCs w:val="18"/>
                  <w:color w:val="0000EE"/>
                  <w:w w:val="97"/>
                </w:rPr>
                <w:t>Amendment No. 1 to Registration Rights Agreement, dated as of March 2, 2019,</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among Mohawk Group Holdings, Inc. and the investors party thereto.</w:t>
              </w:r>
            </w:hyperlink>
          </w:p>
        </w:tc>
        <w:tc>
          <w:tcPr>
            <w:tcW w:w="840" w:type="dxa"/>
            <w:vAlign w:val="bottom"/>
            <w:tcBorders>
              <w:top w:val="single" w:sz="8" w:color="0000EE"/>
            </w:tcBorders>
            <w:gridSpan w:val="7"/>
          </w:tcPr>
          <w:p>
            <w:pPr>
              <w:spacing w:after="0"/>
              <w:rPr>
                <w:sz w:val="17"/>
                <w:szCs w:val="17"/>
                <w:color w:val="auto"/>
              </w:rPr>
            </w:pPr>
          </w:p>
        </w:tc>
        <w:tc>
          <w:tcPr>
            <w:tcW w:w="420" w:type="dxa"/>
            <w:vAlign w:val="bottom"/>
            <w:gridSpan w:val="10"/>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333-231381</w:t>
            </w:r>
          </w:p>
        </w:tc>
        <w:tc>
          <w:tcPr>
            <w:tcW w:w="6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5/10/2019</w:t>
            </w:r>
          </w:p>
        </w:tc>
        <w:tc>
          <w:tcPr>
            <w:tcW w:w="40" w:type="dxa"/>
            <w:vAlign w:val="bottom"/>
          </w:tcPr>
          <w:p>
            <w:pPr>
              <w:spacing w:after="0"/>
              <w:rPr>
                <w:sz w:val="17"/>
                <w:szCs w:val="17"/>
                <w:color w:val="auto"/>
              </w:rPr>
            </w:pPr>
          </w:p>
        </w:tc>
        <w:tc>
          <w:tcPr>
            <w:tcW w:w="880" w:type="dxa"/>
            <w:vAlign w:val="bottom"/>
          </w:tcPr>
          <w:p>
            <w:pPr>
              <w:jc w:val="right"/>
              <w:ind w:right="172"/>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8"/>
        </w:trPr>
        <w:tc>
          <w:tcPr>
            <w:tcW w:w="1000" w:type="dxa"/>
            <w:vAlign w:val="bottom"/>
          </w:tcPr>
          <w:p>
            <w:pPr>
              <w:jc w:val="right"/>
              <w:ind w:right="292"/>
              <w:spacing w:after="0"/>
              <w:rPr>
                <w:sz w:val="20"/>
                <w:szCs w:val="20"/>
                <w:color w:val="auto"/>
              </w:rPr>
            </w:pPr>
            <w:r>
              <w:rPr>
                <w:rFonts w:ascii="Arial" w:cs="Arial" w:eastAsia="Arial" w:hAnsi="Arial"/>
                <w:sz w:val="18"/>
                <w:szCs w:val="18"/>
                <w:color w:val="auto"/>
              </w:rPr>
              <w:t>10.1*</w:t>
            </w:r>
            <w:r>
              <w:rPr>
                <w:rFonts w:ascii="Arial" w:cs="Arial" w:eastAsia="Arial" w:hAnsi="Arial"/>
                <w:sz w:val="21"/>
                <w:szCs w:val="21"/>
                <w:color w:val="auto"/>
              </w:rPr>
              <w:t>+</w:t>
            </w:r>
          </w:p>
        </w:tc>
        <w:tc>
          <w:tcPr>
            <w:tcW w:w="180" w:type="dxa"/>
            <w:vAlign w:val="bottom"/>
          </w:tcPr>
          <w:p>
            <w:pPr>
              <w:spacing w:after="0"/>
              <w:rPr>
                <w:sz w:val="24"/>
                <w:szCs w:val="24"/>
                <w:color w:val="auto"/>
              </w:rPr>
            </w:pPr>
          </w:p>
        </w:tc>
        <w:tc>
          <w:tcPr>
            <w:tcW w:w="54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Omnibus Limited Consent, Joinder and Amendment No. 4 to Amended and</w:t>
              </w:r>
            </w:hyperlink>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c>
          <w:tcPr>
            <w:tcW w:w="18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Restated Credit and Security Agreement and Amendment No. 3 to Pledge</w:t>
              </w:r>
            </w:hyperlink>
          </w:p>
        </w:tc>
        <w:tc>
          <w:tcPr>
            <w:tcW w:w="96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Agreement, dated as of September 10, 2019, by and among Mohawk Group</w:t>
              </w:r>
            </w:hyperlink>
          </w:p>
        </w:tc>
        <w:tc>
          <w:tcPr>
            <w:tcW w:w="82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Holdings, Inc., Mohawk Group, Inc., certain subsidiaries of Mohawk Group, Inc. set</w:t>
              </w:r>
            </w:hyperlink>
          </w:p>
        </w:tc>
        <w:tc>
          <w:tcPr>
            <w:tcW w:w="1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forth on the signature pages thereto, Aussie Health Co, LLC, MidCap Funding IV</w:t>
              </w:r>
            </w:hyperlink>
          </w:p>
        </w:tc>
        <w:tc>
          <w:tcPr>
            <w:tcW w:w="38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20" w:type="dxa"/>
            <w:vAlign w:val="bottom"/>
            <w:tcBorders>
              <w:bottom w:val="single" w:sz="8" w:color="0000EE"/>
            </w:tcBorders>
            <w:gridSpan w:val="7"/>
          </w:tcPr>
          <w:p>
            <w:pPr>
              <w:spacing w:after="0" w:line="223"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Trust, as agent, and the Lenders party thereto</w:t>
              </w:r>
              <w:r>
                <w:rPr>
                  <w:rFonts w:ascii="Arial" w:cs="Arial" w:eastAsia="Arial" w:hAnsi="Arial"/>
                  <w:sz w:val="21"/>
                  <w:szCs w:val="21"/>
                  <w:color w:val="0000EE"/>
                  <w:w w:val="88"/>
                </w:rPr>
                <w:t>.</w:t>
              </w:r>
            </w:hyperlink>
          </w:p>
        </w:tc>
        <w:tc>
          <w:tcPr>
            <w:tcW w:w="2960" w:type="dxa"/>
            <w:vAlign w:val="bottom"/>
            <w:gridSpan w:val="20"/>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292"/>
              <w:spacing w:after="0"/>
              <w:rPr>
                <w:sz w:val="20"/>
                <w:szCs w:val="20"/>
                <w:color w:val="auto"/>
              </w:rPr>
            </w:pPr>
            <w:r>
              <w:rPr>
                <w:rFonts w:ascii="Arial" w:cs="Arial" w:eastAsia="Arial" w:hAnsi="Arial"/>
                <w:sz w:val="18"/>
                <w:szCs w:val="18"/>
                <w:color w:val="auto"/>
              </w:rPr>
              <w:t>10.2*</w:t>
            </w:r>
            <w:r>
              <w:rPr>
                <w:rFonts w:ascii="Arial" w:cs="Arial" w:eastAsia="Arial" w:hAnsi="Arial"/>
                <w:sz w:val="21"/>
                <w:szCs w:val="21"/>
                <w:color w:val="auto"/>
              </w:rPr>
              <w:t>+</w:t>
            </w:r>
          </w:p>
        </w:tc>
        <w:tc>
          <w:tcPr>
            <w:tcW w:w="180" w:type="dxa"/>
            <w:vAlign w:val="bottom"/>
          </w:tcPr>
          <w:p>
            <w:pPr>
              <w:spacing w:after="0"/>
              <w:rPr>
                <w:sz w:val="24"/>
                <w:szCs w:val="24"/>
                <w:color w:val="auto"/>
              </w:rPr>
            </w:pPr>
          </w:p>
        </w:tc>
        <w:tc>
          <w:tcPr>
            <w:tcW w:w="59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Omnibus Limited Consent, Joinder and Amendment to Venture Loan and Security</w:t>
              </w:r>
            </w:hyperlink>
          </w:p>
        </w:tc>
        <w:tc>
          <w:tcPr>
            <w:tcW w:w="2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c>
          <w:tcPr>
            <w:tcW w:w="18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Agreement, dated as of September 10, 2019, by and among Mohawk Group</w:t>
              </w:r>
            </w:hyperlink>
          </w:p>
        </w:tc>
        <w:tc>
          <w:tcPr>
            <w:tcW w:w="82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Holdings, Inc., Mohawk Group, Inc., certain subsidiaries of Mohawk Group, Inc. set</w:t>
              </w:r>
            </w:hyperlink>
          </w:p>
        </w:tc>
        <w:tc>
          <w:tcPr>
            <w:tcW w:w="1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80" w:type="dxa"/>
            <w:vAlign w:val="bottom"/>
            <w:gridSpan w:val="27"/>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forth on the signature pages thereto, Aussie Health Co, LLC, Horizon Technology</w:t>
              </w:r>
            </w:hyperlink>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0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Finance Corporation, as collateral agent, Horizon Credit II LLC, as assignee of</w:t>
              </w:r>
            </w:hyperlink>
          </w:p>
        </w:tc>
        <w:tc>
          <w:tcPr>
            <w:tcW w:w="38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80" w:type="dxa"/>
            <w:vAlign w:val="bottom"/>
            <w:tcBorders>
              <w:top w:val="single" w:sz="8" w:color="0000EE"/>
            </w:tcBorders>
            <w:gridSpan w:val="15"/>
          </w:tcPr>
          <w:p>
            <w:pPr>
              <w:spacing w:after="0" w:line="223"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Horizon Technology Finance Corporation, and Horizon Funding Trust 2019-1</w:t>
              </w:r>
              <w:r>
                <w:rPr>
                  <w:rFonts w:ascii="Arial" w:cs="Arial" w:eastAsia="Arial" w:hAnsi="Arial"/>
                  <w:sz w:val="21"/>
                  <w:szCs w:val="21"/>
                  <w:color w:val="0000EE"/>
                  <w:w w:val="91"/>
                </w:rPr>
                <w:t>.</w:t>
              </w:r>
            </w:hyperlink>
          </w:p>
        </w:tc>
        <w:tc>
          <w:tcPr>
            <w:tcW w:w="600" w:type="dxa"/>
            <w:vAlign w:val="bottom"/>
            <w:gridSpan w:val="12"/>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5940" w:type="dxa"/>
            <w:vAlign w:val="bottom"/>
            <w:tcBorders>
              <w:bottom w:val="single" w:sz="8" w:color="0000EE"/>
            </w:tcBorders>
            <w:gridSpan w:val="21"/>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Certification of the Principal Executive Officer pursuant to Rule 13a-14(a) or 15d-</w:t>
              </w:r>
            </w:hyperlink>
          </w:p>
        </w:tc>
        <w:tc>
          <w:tcPr>
            <w:tcW w:w="34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14(a) of the Securities Exchange Act of 1934.</w:t>
              </w:r>
            </w:hyperlink>
          </w:p>
        </w:tc>
        <w:tc>
          <w:tcPr>
            <w:tcW w:w="2980" w:type="dxa"/>
            <w:vAlign w:val="bottom"/>
            <w:gridSpan w:val="21"/>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6280" w:type="dxa"/>
            <w:vAlign w:val="bottom"/>
            <w:gridSpan w:val="27"/>
          </w:tcPr>
          <w:p>
            <w:pPr>
              <w:spacing w:after="0"/>
              <w:rPr>
                <w:rFonts w:ascii="Arial" w:cs="Arial" w:eastAsia="Arial" w:hAnsi="Arial"/>
                <w:sz w:val="18"/>
                <w:szCs w:val="18"/>
                <w:color w:val="0000EE"/>
                <w:w w:val="98"/>
              </w:rPr>
            </w:pPr>
            <w:hyperlink w:anchor="page96">
              <w:r>
                <w:rPr>
                  <w:rFonts w:ascii="Arial" w:cs="Arial" w:eastAsia="Arial" w:hAnsi="Arial"/>
                  <w:sz w:val="18"/>
                  <w:szCs w:val="18"/>
                  <w:color w:val="0000EE"/>
                  <w:w w:val="98"/>
                </w:rPr>
                <w:t>Certification of the Principal Financial Officer pursuant to Rule 13a-14(a) or 15d-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14(a) of the Securities Exchange Act of 1934.</w:t>
              </w:r>
            </w:hyperlink>
          </w:p>
        </w:tc>
        <w:tc>
          <w:tcPr>
            <w:tcW w:w="2580" w:type="dxa"/>
            <w:vAlign w:val="bottom"/>
            <w:tcBorders>
              <w:top w:val="single" w:sz="8" w:color="0000EE"/>
            </w:tcBorders>
            <w:gridSpan w:val="12"/>
          </w:tcPr>
          <w:p>
            <w:pPr>
              <w:spacing w:after="0"/>
              <w:rPr>
                <w:sz w:val="17"/>
                <w:szCs w:val="17"/>
                <w:color w:val="auto"/>
              </w:rPr>
            </w:pPr>
          </w:p>
        </w:tc>
        <w:tc>
          <w:tcPr>
            <w:tcW w:w="40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6100" w:type="dxa"/>
            <w:vAlign w:val="bottom"/>
            <w:tcBorders>
              <w:bottom w:val="single" w:sz="8" w:color="0000EE"/>
            </w:tcBorders>
            <w:gridSpan w:val="2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Certification of the Principal Executive Officer and Principal Financial Officer</w:t>
              </w:r>
            </w:hyperlink>
          </w:p>
        </w:tc>
        <w:tc>
          <w:tcPr>
            <w:tcW w:w="18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pursuant to 18 U.S.C. Section 1350, as adopted pursuant to Section 906 of the</w:t>
              </w:r>
            </w:hyperlink>
          </w:p>
        </w:tc>
        <w:tc>
          <w:tcPr>
            <w:tcW w:w="18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Sarbanes-Oxley Act of 2002.</w:t>
              </w:r>
            </w:hyperlink>
          </w:p>
        </w:tc>
        <w:tc>
          <w:tcPr>
            <w:tcW w:w="4180" w:type="dxa"/>
            <w:vAlign w:val="bottom"/>
            <w:gridSpan w:val="23"/>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6280" w:type="dxa"/>
            <w:vAlign w:val="bottom"/>
            <w:gridSpan w:val="27"/>
          </w:tcPr>
          <w:p>
            <w:pPr>
              <w:spacing w:after="0"/>
              <w:rPr>
                <w:sz w:val="20"/>
                <w:szCs w:val="20"/>
                <w:color w:val="auto"/>
              </w:rPr>
            </w:pPr>
            <w:r>
              <w:rPr>
                <w:rFonts w:ascii="Arial" w:cs="Arial" w:eastAsia="Arial" w:hAnsi="Arial"/>
                <w:sz w:val="18"/>
                <w:szCs w:val="18"/>
                <w:color w:val="auto"/>
              </w:rPr>
              <w:t>XBRL Instance Document.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628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628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628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628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628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Filed herewith.</w:t>
      </w:r>
    </w:p>
    <w:p>
      <w:pPr>
        <w:spacing w:after="0" w:line="29" w:lineRule="exact"/>
        <w:rPr>
          <w:sz w:val="20"/>
          <w:szCs w:val="20"/>
          <w:color w:val="auto"/>
        </w:rPr>
      </w:pPr>
    </w:p>
    <w:p>
      <w:pPr>
        <w:ind w:left="520" w:right="360" w:hanging="512"/>
        <w:spacing w:after="0" w:line="28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7120" w:type="dxa"/>
            <w:vAlign w:val="bottom"/>
            <w:gridSpan w:val="3"/>
          </w:tcPr>
          <w:p>
            <w:pPr>
              <w:ind w:left="2520"/>
              <w:spacing w:after="0"/>
              <w:rPr>
                <w:sz w:val="20"/>
                <w:szCs w:val="20"/>
                <w:color w:val="auto"/>
              </w:rPr>
            </w:pPr>
            <w:r>
              <w:rPr>
                <w:rFonts w:ascii="Arial" w:cs="Arial" w:eastAsia="Arial" w:hAnsi="Arial"/>
                <w:sz w:val="18"/>
                <w:szCs w:val="18"/>
                <w:b w:val="1"/>
                <w:bCs w:val="1"/>
                <w:color w:val="auto"/>
              </w:rPr>
              <w:t>MOHAWK GROUP HOLDINGS, INC.</w:t>
            </w:r>
          </w:p>
        </w:tc>
      </w:tr>
      <w:tr>
        <w:trPr>
          <w:trHeight w:val="432"/>
        </w:trPr>
        <w:tc>
          <w:tcPr>
            <w:tcW w:w="4300" w:type="dxa"/>
            <w:vAlign w:val="bottom"/>
          </w:tcPr>
          <w:p>
            <w:pPr>
              <w:spacing w:after="0"/>
              <w:rPr>
                <w:sz w:val="20"/>
                <w:szCs w:val="20"/>
                <w:color w:val="auto"/>
              </w:rPr>
            </w:pPr>
            <w:r>
              <w:rPr>
                <w:rFonts w:ascii="Arial" w:cs="Arial" w:eastAsia="Arial" w:hAnsi="Arial"/>
                <w:sz w:val="18"/>
                <w:szCs w:val="18"/>
                <w:color w:val="auto"/>
              </w:rPr>
              <w:t>Date: November 5, 2019</w:t>
            </w:r>
          </w:p>
        </w:tc>
        <w:tc>
          <w:tcPr>
            <w:tcW w:w="2840" w:type="dxa"/>
            <w:vAlign w:val="bottom"/>
          </w:tcPr>
          <w:p>
            <w:pPr>
              <w:ind w:left="25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43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16"/>
        </w:trPr>
        <w:tc>
          <w:tcPr>
            <w:tcW w:w="4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4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300" w:type="dxa"/>
            <w:vAlign w:val="bottom"/>
          </w:tcPr>
          <w:p>
            <w:pPr>
              <w:spacing w:after="0"/>
              <w:rPr>
                <w:sz w:val="20"/>
                <w:szCs w:val="20"/>
                <w:color w:val="auto"/>
              </w:rPr>
            </w:pPr>
            <w:r>
              <w:rPr>
                <w:rFonts w:ascii="Arial" w:cs="Arial" w:eastAsia="Arial" w:hAnsi="Arial"/>
                <w:sz w:val="18"/>
                <w:szCs w:val="18"/>
                <w:color w:val="auto"/>
              </w:rPr>
              <w:t>Date: November 5, 2019</w:t>
            </w:r>
          </w:p>
        </w:tc>
        <w:tc>
          <w:tcPr>
            <w:tcW w:w="2840" w:type="dxa"/>
            <w:vAlign w:val="bottom"/>
          </w:tcPr>
          <w:p>
            <w:pPr>
              <w:ind w:left="252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Fabrice Hamaide</w:t>
            </w:r>
          </w:p>
        </w:tc>
      </w:tr>
      <w:tr>
        <w:trPr>
          <w:trHeight w:val="195"/>
        </w:trPr>
        <w:tc>
          <w:tcPr>
            <w:tcW w:w="43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Fabrice Hamaide</w:t>
            </w:r>
          </w:p>
        </w:tc>
      </w:tr>
      <w:tr>
        <w:trPr>
          <w:trHeight w:val="230"/>
        </w:trPr>
        <w:tc>
          <w:tcPr>
            <w:tcW w:w="4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i w:val="1"/>
                <w:iCs w:val="1"/>
                <w:color w:val="auto"/>
              </w:rPr>
              <w:t>Chief Financial Officer and Director</w:t>
            </w:r>
          </w:p>
        </w:tc>
      </w:tr>
    </w:tbl>
    <w:p>
      <w:pPr>
        <w:ind w:left="724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color w:val="auto"/>
        </w:rPr>
        <w:t>Exhibit 10.1</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0"/>
          <w:szCs w:val="20"/>
          <w:b w:val="1"/>
          <w:bCs w:val="1"/>
          <w:u w:val="single" w:color="auto"/>
          <w:color w:val="auto"/>
        </w:rPr>
        <w:t>OMNIBUS LIMITED CONSENT, JOINDER AND AMENDMENT NO. 4 TO AMENDED AND RESTATED CREDIT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SECURITY AGREEMENT AND AMENDMENT NO. 3 TO PLEDGE AGREEMENT</w:t>
      </w:r>
    </w:p>
    <w:p>
      <w:pPr>
        <w:spacing w:after="0" w:line="213"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color w:val="auto"/>
        </w:rPr>
        <w:t>This OMNIBUS LIMITED CONSENT, JOINDER AND AMENDMENT NO. 4 TO AMENDED AND RESTATED CREDIT AND SECURITY AGREEMENT AND AMENDMENT NO. 3 TO PLEDGE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as of this 10th day of </w:t>
      </w:r>
      <w:r>
        <w:rPr>
          <w:rFonts w:ascii="Arial" w:cs="Arial" w:eastAsia="Arial" w:hAnsi="Arial"/>
          <w:sz w:val="19"/>
          <w:szCs w:val="19"/>
          <w:b w:val="1"/>
          <w:bCs w:val="1"/>
          <w:color w:val="auto"/>
        </w:rPr>
        <w:t>S</w:t>
      </w:r>
      <w:r>
        <w:rPr>
          <w:rFonts w:ascii="Arial" w:cs="Arial" w:eastAsia="Arial" w:hAnsi="Arial"/>
          <w:sz w:val="19"/>
          <w:szCs w:val="19"/>
          <w:color w:val="auto"/>
        </w:rPr>
        <w:t>eptember, 2019, by and among MOHAWK GROUP HOLDINGS, INC., a Delaware corporation ("</w:t>
      </w:r>
      <w:r>
        <w:rPr>
          <w:rFonts w:ascii="Arial" w:cs="Arial" w:eastAsia="Arial" w:hAnsi="Arial"/>
          <w:sz w:val="19"/>
          <w:szCs w:val="19"/>
          <w:b w:val="1"/>
          <w:bCs w:val="1"/>
          <w:color w:val="auto"/>
        </w:rPr>
        <w:t>Mohawk Holdco</w:t>
      </w:r>
      <w:r>
        <w:rPr>
          <w:rFonts w:ascii="Arial" w:cs="Arial" w:eastAsia="Arial" w:hAnsi="Arial"/>
          <w:sz w:val="19"/>
          <w:szCs w:val="19"/>
          <w:color w:val="auto"/>
        </w:rPr>
        <w:t>"), MOHAWK GROUP,</w:t>
      </w:r>
      <w:r>
        <w:rPr>
          <w:rFonts w:ascii="Arial" w:cs="Arial" w:eastAsia="Arial" w:hAnsi="Arial"/>
          <w:sz w:val="19"/>
          <w:szCs w:val="19"/>
          <w:b w:val="1"/>
          <w:bCs w:val="1"/>
          <w:color w:val="auto"/>
        </w:rPr>
        <w:t xml:space="preserve"> </w:t>
      </w:r>
      <w:r>
        <w:rPr>
          <w:rFonts w:ascii="Arial" w:cs="Arial" w:eastAsia="Arial" w:hAnsi="Arial"/>
          <w:sz w:val="19"/>
          <w:szCs w:val="19"/>
          <w:color w:val="auto"/>
        </w:rPr>
        <w:t>INC., a Delaware corporation (“</w:t>
      </w:r>
      <w:r>
        <w:rPr>
          <w:rFonts w:ascii="Arial" w:cs="Arial" w:eastAsia="Arial" w:hAnsi="Arial"/>
          <w:sz w:val="19"/>
          <w:szCs w:val="19"/>
          <w:b w:val="1"/>
          <w:bCs w:val="1"/>
          <w:color w:val="auto"/>
        </w:rPr>
        <w:t>Mohawk</w:t>
      </w:r>
      <w:r>
        <w:rPr>
          <w:rFonts w:ascii="Arial" w:cs="Arial" w:eastAsia="Arial" w:hAnsi="Arial"/>
          <w:sz w:val="19"/>
          <w:szCs w:val="19"/>
          <w:color w:val="auto"/>
        </w:rPr>
        <w:t>”), each of Mohawk’s direct and indirect subsidiaries set forth on the signature pages hereto (each being referred to herein individually as an “</w:t>
      </w:r>
      <w:r>
        <w:rPr>
          <w:rFonts w:ascii="Arial" w:cs="Arial" w:eastAsia="Arial" w:hAnsi="Arial"/>
          <w:sz w:val="19"/>
          <w:szCs w:val="19"/>
          <w:b w:val="1"/>
          <w:bCs w:val="1"/>
          <w:color w:val="auto"/>
        </w:rPr>
        <w:t>Original Borrower</w:t>
      </w:r>
      <w:r>
        <w:rPr>
          <w:rFonts w:ascii="Arial" w:cs="Arial" w:eastAsia="Arial" w:hAnsi="Arial"/>
          <w:sz w:val="19"/>
          <w:szCs w:val="19"/>
          <w:color w:val="auto"/>
        </w:rPr>
        <w:t>”, and collectively as “</w:t>
      </w:r>
      <w:r>
        <w:rPr>
          <w:rFonts w:ascii="Arial" w:cs="Arial" w:eastAsia="Arial" w:hAnsi="Arial"/>
          <w:sz w:val="19"/>
          <w:szCs w:val="19"/>
          <w:b w:val="1"/>
          <w:bCs w:val="1"/>
          <w:color w:val="auto"/>
        </w:rPr>
        <w:t>Original Borrowers</w:t>
      </w:r>
      <w:r>
        <w:rPr>
          <w:rFonts w:ascii="Arial" w:cs="Arial" w:eastAsia="Arial" w:hAnsi="Arial"/>
          <w:sz w:val="19"/>
          <w:szCs w:val="19"/>
          <w:color w:val="auto"/>
        </w:rPr>
        <w:t>”), AUSSIE HEALTH CO, LLC, a Delaware limited liability company (“</w:t>
      </w:r>
      <w:r>
        <w:rPr>
          <w:rFonts w:ascii="Arial" w:cs="Arial" w:eastAsia="Arial" w:hAnsi="Arial"/>
          <w:sz w:val="19"/>
          <w:szCs w:val="19"/>
          <w:b w:val="1"/>
          <w:bCs w:val="1"/>
          <w:color w:val="auto"/>
        </w:rPr>
        <w:t>New Borrower</w:t>
      </w:r>
      <w:r>
        <w:rPr>
          <w:rFonts w:ascii="Arial" w:cs="Arial" w:eastAsia="Arial" w:hAnsi="Arial"/>
          <w:sz w:val="19"/>
          <w:szCs w:val="19"/>
          <w:color w:val="auto"/>
        </w:rPr>
        <w:t>”, and New Borrower, together with the Original Borrowers, the “</w:t>
      </w:r>
      <w:r>
        <w:rPr>
          <w:rFonts w:ascii="Arial" w:cs="Arial" w:eastAsia="Arial" w:hAnsi="Arial"/>
          <w:sz w:val="19"/>
          <w:szCs w:val="19"/>
          <w:b w:val="1"/>
          <w:bCs w:val="1"/>
          <w:color w:val="auto"/>
        </w:rPr>
        <w:t>Borrowers</w:t>
      </w:r>
      <w:r>
        <w:rPr>
          <w:rFonts w:ascii="Arial" w:cs="Arial" w:eastAsia="Arial" w:hAnsi="Arial"/>
          <w:sz w:val="19"/>
          <w:szCs w:val="19"/>
          <w:color w:val="auto"/>
        </w:rPr>
        <w:t>”), MIDCAP FUNDING IV TRUST, a Delaware statutory trust, as agent (in such capacity and together with its permitted successors and assigns, the “</w:t>
      </w:r>
      <w:r>
        <w:rPr>
          <w:rFonts w:ascii="Arial" w:cs="Arial" w:eastAsia="Arial" w:hAnsi="Arial"/>
          <w:sz w:val="19"/>
          <w:szCs w:val="19"/>
          <w:b w:val="1"/>
          <w:bCs w:val="1"/>
          <w:color w:val="auto"/>
        </w:rPr>
        <w:t>Agent</w:t>
      </w:r>
      <w:r>
        <w:rPr>
          <w:rFonts w:ascii="Arial" w:cs="Arial" w:eastAsia="Arial" w:hAnsi="Arial"/>
          <w:sz w:val="19"/>
          <w:szCs w:val="19"/>
          <w:color w:val="auto"/>
        </w:rPr>
        <w:t>”), and the Lenders party hereto constituting the Required Lenders.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jc w:val="both"/>
        <w:ind w:firstLine="885"/>
        <w:spacing w:after="0" w:line="256" w:lineRule="auto"/>
        <w:tabs>
          <w:tab w:leader="none" w:pos="1718" w:val="left"/>
        </w:tabs>
        <w:numPr>
          <w:ilvl w:val="0"/>
          <w:numId w:val="34"/>
        </w:numPr>
        <w:rPr>
          <w:rFonts w:ascii="Arial" w:cs="Arial" w:eastAsia="Arial" w:hAnsi="Arial"/>
          <w:sz w:val="19"/>
          <w:szCs w:val="19"/>
          <w:color w:val="auto"/>
        </w:rPr>
      </w:pPr>
      <w:r>
        <w:rPr>
          <w:rFonts w:ascii="Arial" w:cs="Arial" w:eastAsia="Arial" w:hAnsi="Arial"/>
          <w:sz w:val="19"/>
          <w:szCs w:val="19"/>
          <w:color w:val="auto"/>
        </w:rPr>
        <w:t>Agent, Lenders and Original Borrowers are parties to that certain Amended and Restated Credit and Security Agreement, dated as of November 23, 2018 (as amended by that certain Omnibus Amendment No. 1 to Amended and Restated Credit and Security Agreement and Amendment No. 2 to Pledge Agreement, dated as of December 31, 2018, that certain Amendment No. 2 to Amended and Restated Credit and Security Agreement, dated as of March 29, 2019 and that certain Amendment No. 3 to Amended and Restated Credit and Security Agreement, dated as of May 13, 2019 and as further amended, modified, supplemented and restated from time to time prior to the date hereof, the “</w:t>
      </w:r>
      <w:r>
        <w:rPr>
          <w:rFonts w:ascii="Arial" w:cs="Arial" w:eastAsia="Arial" w:hAnsi="Arial"/>
          <w:sz w:val="19"/>
          <w:szCs w:val="19"/>
          <w:b w:val="1"/>
          <w:bCs w:val="1"/>
          <w:color w:val="auto"/>
        </w:rPr>
        <w:t>Original Credit Agreement</w:t>
      </w:r>
      <w:r>
        <w:rPr>
          <w:rFonts w:ascii="Arial" w:cs="Arial" w:eastAsia="Arial" w:hAnsi="Arial"/>
          <w:sz w:val="19"/>
          <w:szCs w:val="19"/>
          <w:color w:val="auto"/>
        </w:rPr>
        <w:t>” and as the same is amended hereby and as it may be further amended, modified, supplemented and restated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pursuant to which the Lenders have agreed to make certain advances of money and to extend certain financial accommodations to the Original Borrowers and certain of their Affiliates in the amounts and manner set forth in the Credit Agreement.</w:t>
      </w:r>
    </w:p>
    <w:p>
      <w:pPr>
        <w:spacing w:after="0" w:line="171" w:lineRule="exact"/>
        <w:rPr>
          <w:rFonts w:ascii="Arial" w:cs="Arial" w:eastAsia="Arial" w:hAnsi="Arial"/>
          <w:sz w:val="19"/>
          <w:szCs w:val="19"/>
          <w:color w:val="auto"/>
        </w:rPr>
      </w:pPr>
    </w:p>
    <w:p>
      <w:pPr>
        <w:jc w:val="both"/>
        <w:ind w:firstLine="885"/>
        <w:spacing w:after="0" w:line="282" w:lineRule="auto"/>
        <w:tabs>
          <w:tab w:leader="none" w:pos="17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Mohawk Holdco, Mohawk and Agent have entered into that certain Pledge Agreement, dated as of October 16, 2017 (as amended, restated, amended and restated, supplemented or otherwise modified prior to the date hereof, the “</w:t>
      </w:r>
      <w:r>
        <w:rPr>
          <w:rFonts w:ascii="Arial" w:cs="Arial" w:eastAsia="Arial" w:hAnsi="Arial"/>
          <w:sz w:val="18"/>
          <w:szCs w:val="18"/>
          <w:b w:val="1"/>
          <w:bCs w:val="1"/>
          <w:color w:val="auto"/>
        </w:rPr>
        <w:t>Original Pledge Agreement</w:t>
      </w:r>
      <w:r>
        <w:rPr>
          <w:rFonts w:ascii="Arial" w:cs="Arial" w:eastAsia="Arial" w:hAnsi="Arial"/>
          <w:sz w:val="18"/>
          <w:szCs w:val="18"/>
          <w:color w:val="auto"/>
        </w:rPr>
        <w:t>”; the Original Pledge Agreement, as amended hereby, the “</w:t>
      </w:r>
      <w:r>
        <w:rPr>
          <w:rFonts w:ascii="Arial" w:cs="Arial" w:eastAsia="Arial" w:hAnsi="Arial"/>
          <w:sz w:val="18"/>
          <w:szCs w:val="18"/>
          <w:b w:val="1"/>
          <w:bCs w:val="1"/>
          <w:color w:val="auto"/>
        </w:rPr>
        <w:t>Pledge Agreement</w:t>
      </w:r>
      <w:r>
        <w:rPr>
          <w:rFonts w:ascii="Arial" w:cs="Arial" w:eastAsia="Arial" w:hAnsi="Arial"/>
          <w:sz w:val="18"/>
          <w:szCs w:val="18"/>
          <w:color w:val="auto"/>
        </w:rPr>
        <w:t>”), pursuant to which the Pledgors (as defined therein) have granted to Agent a security interest in certain equity interests set forth therein to secure the Obligations under the Credit Agreement.</w:t>
      </w:r>
    </w:p>
    <w:p>
      <w:pPr>
        <w:spacing w:after="0" w:line="134" w:lineRule="exact"/>
        <w:rPr>
          <w:rFonts w:ascii="Arial" w:cs="Arial" w:eastAsia="Arial" w:hAnsi="Arial"/>
          <w:sz w:val="18"/>
          <w:szCs w:val="18"/>
          <w:color w:val="auto"/>
        </w:rPr>
      </w:pPr>
    </w:p>
    <w:p>
      <w:pPr>
        <w:ind w:left="1720" w:hanging="835"/>
        <w:spacing w:after="0"/>
        <w:tabs>
          <w:tab w:leader="none" w:pos="1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Original Borrowers have formed New Borrower as a new Subsidiary of Mohawk.</w:t>
      </w:r>
    </w:p>
    <w:p>
      <w:pPr>
        <w:spacing w:after="0" w:line="202" w:lineRule="exact"/>
        <w:rPr>
          <w:rFonts w:ascii="Arial" w:cs="Arial" w:eastAsia="Arial" w:hAnsi="Arial"/>
          <w:sz w:val="20"/>
          <w:szCs w:val="20"/>
          <w:color w:val="auto"/>
        </w:rPr>
      </w:pPr>
    </w:p>
    <w:p>
      <w:pPr>
        <w:jc w:val="both"/>
        <w:ind w:firstLine="885"/>
        <w:spacing w:after="0" w:line="250" w:lineRule="auto"/>
        <w:tabs>
          <w:tab w:leader="none" w:pos="1718" w:val="left"/>
        </w:tabs>
        <w:numPr>
          <w:ilvl w:val="0"/>
          <w:numId w:val="34"/>
        </w:numPr>
        <w:rPr>
          <w:rFonts w:ascii="Arial" w:cs="Arial" w:eastAsia="Arial" w:hAnsi="Arial"/>
          <w:sz w:val="20"/>
          <w:szCs w:val="20"/>
          <w:color w:val="auto"/>
        </w:rPr>
      </w:pPr>
      <w:r>
        <w:rPr>
          <w:rFonts w:ascii="Arial" w:cs="Arial" w:eastAsia="Arial" w:hAnsi="Arial"/>
          <w:sz w:val="20"/>
          <w:szCs w:val="20"/>
          <w:color w:val="auto"/>
        </w:rPr>
        <w:t>Original Borrowers have requested that Agent and the Lenders amend the Credit Agreement and the Pledge Agreement to join New Borrower as a party to the Credit Agreement as a Borrower, as a party to the Pledge Agreement as an Issuer, and the other applicable Financing Documents, in each case, on and subject to the terms hereof.</w:t>
      </w:r>
    </w:p>
    <w:p>
      <w:pPr>
        <w:spacing w:after="0" w:line="172" w:lineRule="exact"/>
        <w:rPr>
          <w:rFonts w:ascii="Arial" w:cs="Arial" w:eastAsia="Arial" w:hAnsi="Arial"/>
          <w:sz w:val="20"/>
          <w:szCs w:val="20"/>
          <w:color w:val="auto"/>
        </w:rPr>
      </w:pPr>
    </w:p>
    <w:p>
      <w:pPr>
        <w:jc w:val="both"/>
        <w:ind w:firstLine="885"/>
        <w:spacing w:after="0" w:line="246" w:lineRule="auto"/>
        <w:tabs>
          <w:tab w:leader="none" w:pos="1696"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New Borrower plans to enter into that certain Asset Purchase Agreement, dated as of September 10, 2019 and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Aussie Health Acquisition Agreement</w:t>
      </w:r>
      <w:r>
        <w:rPr>
          <w:rFonts w:ascii="Arial" w:cs="Arial" w:eastAsia="Arial" w:hAnsi="Arial"/>
          <w:sz w:val="20"/>
          <w:szCs w:val="20"/>
          <w:color w:val="auto"/>
        </w:rPr>
        <w:t>”), by and among New Borrower</w:t>
      </w:r>
      <w:r>
        <w:rPr>
          <w:rFonts w:ascii="Arial" w:cs="Arial" w:eastAsia="Arial" w:hAnsi="Arial"/>
          <w:sz w:val="20"/>
          <w:szCs w:val="20"/>
          <w:b w:val="1"/>
          <w:bCs w:val="1"/>
          <w:color w:val="auto"/>
        </w:rPr>
        <w:t>,</w:t>
      </w:r>
      <w:r>
        <w:rPr>
          <w:rFonts w:ascii="Arial" w:cs="Arial" w:eastAsia="Arial" w:hAnsi="Arial"/>
          <w:sz w:val="20"/>
          <w:szCs w:val="20"/>
          <w:color w:val="auto"/>
        </w:rPr>
        <w:t xml:space="preserve"> Lukla Ventures Ltd, a Hong Kong company (“</w:t>
      </w:r>
      <w:r>
        <w:rPr>
          <w:rFonts w:ascii="Arial" w:cs="Arial" w:eastAsia="Arial" w:hAnsi="Arial"/>
          <w:sz w:val="20"/>
          <w:szCs w:val="20"/>
          <w:b w:val="1"/>
          <w:bCs w:val="1"/>
          <w:color w:val="auto"/>
        </w:rPr>
        <w:t>Seller</w:t>
      </w:r>
      <w:r>
        <w:rPr>
          <w:rFonts w:ascii="Arial" w:cs="Arial" w:eastAsia="Arial" w:hAnsi="Arial"/>
          <w:sz w:val="20"/>
          <w:szCs w:val="20"/>
          <w:color w:val="auto"/>
        </w:rPr>
        <w:t>”) and the Shareholders party thereto pursuant to which New Borrower will acquire certain assets from Seller (the “</w:t>
      </w:r>
      <w:r>
        <w:rPr>
          <w:rFonts w:ascii="Arial" w:cs="Arial" w:eastAsia="Arial" w:hAnsi="Arial"/>
          <w:sz w:val="20"/>
          <w:szCs w:val="20"/>
          <w:b w:val="1"/>
          <w:bCs w:val="1"/>
          <w:color w:val="auto"/>
        </w:rPr>
        <w:t>Aussie Health</w:t>
      </w:r>
      <w:r>
        <w:rPr>
          <w:rFonts w:ascii="Arial" w:cs="Arial" w:eastAsia="Arial" w:hAnsi="Arial"/>
          <w:sz w:val="20"/>
          <w:szCs w:val="20"/>
          <w:color w:val="auto"/>
        </w:rPr>
        <w:t xml:space="preserve"> </w:t>
      </w:r>
      <w:r>
        <w:rPr>
          <w:rFonts w:ascii="Arial" w:cs="Arial" w:eastAsia="Arial" w:hAnsi="Arial"/>
          <w:sz w:val="20"/>
          <w:szCs w:val="20"/>
          <w:b w:val="1"/>
          <w:bCs w:val="1"/>
          <w:color w:val="auto"/>
        </w:rPr>
        <w:t>Acquisition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jc w:val="both"/>
        <w:ind w:firstLine="885"/>
        <w:spacing w:after="0" w:line="250" w:lineRule="auto"/>
        <w:tabs>
          <w:tab w:leader="none" w:pos="1669" w:val="left"/>
        </w:tabs>
        <w:numPr>
          <w:ilvl w:val="0"/>
          <w:numId w:val="35"/>
        </w:numPr>
        <w:rPr>
          <w:rFonts w:ascii="Arial" w:cs="Arial" w:eastAsia="Arial" w:hAnsi="Arial"/>
          <w:sz w:val="20"/>
          <w:szCs w:val="20"/>
          <w:color w:val="auto"/>
        </w:rPr>
      </w:pPr>
      <w:r>
        <w:rPr>
          <w:rFonts w:ascii="Arial" w:cs="Arial" w:eastAsia="Arial" w:hAnsi="Arial"/>
          <w:sz w:val="20"/>
          <w:szCs w:val="20"/>
          <w:color w:val="auto"/>
        </w:rPr>
        <w:t>Pursuant to Section 5.7 of the Original Credit Agreement, the Borrowers are not permitted to acquire or enter into any agreement to acquire any assets other than in the Ordinary Course of Business or as permitted under clause (h) of the definition of Permitted Investments.</w:t>
      </w:r>
    </w:p>
    <w:p>
      <w:pPr>
        <w:spacing w:after="0" w:line="159" w:lineRule="exact"/>
        <w:rPr>
          <w:rFonts w:ascii="Arial" w:cs="Arial" w:eastAsia="Arial" w:hAnsi="Arial"/>
          <w:sz w:val="20"/>
          <w:szCs w:val="20"/>
          <w:color w:val="auto"/>
        </w:rPr>
      </w:pPr>
    </w:p>
    <w:p>
      <w:pPr>
        <w:jc w:val="both"/>
        <w:ind w:firstLine="885"/>
        <w:spacing w:after="0" w:line="274" w:lineRule="auto"/>
        <w:tabs>
          <w:tab w:leader="none" w:pos="17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Borrowers have requested, and Agent and Lenders constituting at least the Required Lenders have agreed, on and subject to the terms and conditions set forth in this Agreement, to, among other things, (i) consent to the Borrowers entering into the Aussie Health Acquisition Agreement and the consummation of the Aussie Health Acquisition, (ii) consent to the issuance by New Borrower of a Non-Negotiable Promissory Note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Seller in an aggregate initial principal amount of $195,000 (the “</w:t>
      </w:r>
      <w:r>
        <w:rPr>
          <w:rFonts w:ascii="Arial" w:cs="Arial" w:eastAsia="Arial" w:hAnsi="Arial"/>
          <w:sz w:val="18"/>
          <w:szCs w:val="18"/>
          <w:b w:val="1"/>
          <w:bCs w:val="1"/>
          <w:color w:val="auto"/>
        </w:rPr>
        <w:t>Aussie</w:t>
      </w:r>
      <w:r>
        <w:rPr>
          <w:rFonts w:ascii="Arial" w:cs="Arial" w:eastAsia="Arial" w:hAnsi="Arial"/>
          <w:sz w:val="18"/>
          <w:szCs w:val="18"/>
          <w:color w:val="auto"/>
        </w:rPr>
        <w:t xml:space="preserve"> </w:t>
      </w:r>
      <w:r>
        <w:rPr>
          <w:rFonts w:ascii="Arial" w:cs="Arial" w:eastAsia="Arial" w:hAnsi="Arial"/>
          <w:sz w:val="18"/>
          <w:szCs w:val="18"/>
          <w:b w:val="1"/>
          <w:bCs w:val="1"/>
          <w:color w:val="auto"/>
        </w:rPr>
        <w:t>Health Seller Note</w:t>
      </w:r>
      <w:r>
        <w:rPr>
          <w:rFonts w:ascii="Arial" w:cs="Arial" w:eastAsia="Arial" w:hAnsi="Arial"/>
          <w:sz w:val="18"/>
          <w:szCs w:val="18"/>
          <w:color w:val="auto"/>
        </w:rPr>
        <w:t>”), which Aussie Health Seller Note shall be subordinated to the Obligations pursuant to a Subordination Agreement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on the date hereof, (iii) join New Borrower to the Credit Agreement, the Pledge Agreement and the other applicable Financing Documents and (iv) amend certain terms of the Original Credit Agreement, all in accordance with the terms and subject to the conditions set forth herein.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08"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NOW, THEREFORE, in consideration of the foregoing, the terms and conditions set forth in this Agreement, and other good and valuable consideration, the receipt and sufficiency of which are hereby acknowledged, Agent, the Lenders and Borrowers hereby agree as follows:</w:t>
      </w:r>
    </w:p>
    <w:p>
      <w:pPr>
        <w:spacing w:after="0" w:line="153" w:lineRule="exact"/>
        <w:rPr>
          <w:sz w:val="20"/>
          <w:szCs w:val="20"/>
          <w:color w:val="auto"/>
        </w:rPr>
      </w:pPr>
    </w:p>
    <w:p>
      <w:pPr>
        <w:jc w:val="both"/>
        <w:ind w:firstLine="885"/>
        <w:spacing w:after="0" w:line="246" w:lineRule="auto"/>
        <w:tabs>
          <w:tab w:leader="none" w:pos="1674" w:val="left"/>
        </w:tabs>
        <w:numPr>
          <w:ilvl w:val="0"/>
          <w:numId w:val="36"/>
        </w:numPr>
        <w:rPr>
          <w:rFonts w:ascii="Arial" w:cs="Arial" w:eastAsia="Arial" w:hAnsi="Arial"/>
          <w:sz w:val="20"/>
          <w:szCs w:val="20"/>
          <w:color w:val="010000"/>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 This Agreement shall constitute a Financing Document and the Recitals and each reference to the Credit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unless otherwise 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spacing w:after="0" w:line="171" w:lineRule="exact"/>
        <w:rPr>
          <w:rFonts w:ascii="Arial" w:cs="Arial" w:eastAsia="Arial" w:hAnsi="Arial"/>
          <w:sz w:val="20"/>
          <w:szCs w:val="20"/>
          <w:color w:val="010000"/>
        </w:rPr>
      </w:pPr>
    </w:p>
    <w:p>
      <w:pPr>
        <w:jc w:val="both"/>
        <w:ind w:firstLine="885"/>
        <w:spacing w:after="0" w:line="271" w:lineRule="auto"/>
        <w:tabs>
          <w:tab w:leader="none" w:pos="1674" w:val="left"/>
        </w:tabs>
        <w:numPr>
          <w:ilvl w:val="0"/>
          <w:numId w:val="36"/>
        </w:numPr>
        <w:rPr>
          <w:rFonts w:ascii="Arial" w:cs="Arial" w:eastAsia="Arial" w:hAnsi="Arial"/>
          <w:sz w:val="18"/>
          <w:szCs w:val="18"/>
          <w:color w:val="010000"/>
        </w:rPr>
      </w:pPr>
      <w:r>
        <w:rPr>
          <w:rFonts w:ascii="Arial" w:cs="Arial" w:eastAsia="Arial" w:hAnsi="Arial"/>
          <w:sz w:val="18"/>
          <w:szCs w:val="18"/>
          <w:b w:val="1"/>
          <w:bCs w:val="1"/>
          <w:u w:val="single" w:color="auto"/>
          <w:color w:val="auto"/>
        </w:rPr>
        <w:t>Limited Consent</w:t>
      </w:r>
      <w:r>
        <w:rPr>
          <w:rFonts w:ascii="Arial" w:cs="Arial" w:eastAsia="Arial" w:hAnsi="Arial"/>
          <w:sz w:val="18"/>
          <w:szCs w:val="18"/>
          <w:color w:val="auto"/>
        </w:rPr>
        <w:t>. At the request of and as an accommodation to the Borrowers, subject to the satisfaction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including, without limitation, the conditions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in accordance with the terms set forth in this Agreement, Agent and each Required Lender hereby consents to (a) the New Borrower entering into the Aussie Health Acquisition Agreement and the consummation of the Aussie Health Acquisition in accordance with the terms of the Aussie Health Acquisition Agreement and (b) the incurrence of Subordinated Debt under the Aussie Health Seller Note in accordance with the terms thereof and the terms of the Aussie Health Subordination Agreement. The consents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is effective solely for the purposes set forth herein and shall be limited precisely as written and shall not be deemed to (1) be a consent to any amendment, waiver or modification of any other term or condition of the Credit Agreement or of any other Financing Document; (2) prejudice any right that Agent or the Lenders have or may have in the future under or in connection with the Credit Agreement or any other Financing Document; (3) constitute a consent to or waiver of any past, present or future Default or Event of Default or other violation of any provisions of the Credit Agreement or any other Financing Documents, (4) create any obligation to forbear from taking any enforcement action, or to make any further extensions of credit or (5) establish a custom or course of dealing among any of the Credit Parties, on the one hand, or Agent or any Lender, on the other hand.</w:t>
      </w:r>
    </w:p>
    <w:p>
      <w:pPr>
        <w:spacing w:after="0" w:line="153" w:lineRule="exact"/>
        <w:rPr>
          <w:rFonts w:ascii="Arial" w:cs="Arial" w:eastAsia="Arial" w:hAnsi="Arial"/>
          <w:sz w:val="18"/>
          <w:szCs w:val="18"/>
          <w:color w:val="010000"/>
        </w:rPr>
      </w:pPr>
    </w:p>
    <w:p>
      <w:pPr>
        <w:ind w:left="1680" w:hanging="795"/>
        <w:spacing w:after="0"/>
        <w:tabs>
          <w:tab w:leader="none" w:pos="1680" w:val="left"/>
        </w:tabs>
        <w:numPr>
          <w:ilvl w:val="0"/>
          <w:numId w:val="36"/>
        </w:numPr>
        <w:rPr>
          <w:rFonts w:ascii="Arial" w:cs="Arial" w:eastAsia="Arial" w:hAnsi="Arial"/>
          <w:sz w:val="20"/>
          <w:szCs w:val="20"/>
          <w:color w:val="010000"/>
        </w:rPr>
      </w:pPr>
      <w:r>
        <w:rPr>
          <w:rFonts w:ascii="Arial" w:cs="Arial" w:eastAsia="Arial" w:hAnsi="Arial"/>
          <w:sz w:val="20"/>
          <w:szCs w:val="20"/>
          <w:b w:val="1"/>
          <w:bCs w:val="1"/>
          <w:u w:val="single" w:color="auto"/>
          <w:color w:val="auto"/>
        </w:rPr>
        <w:t>Joinder</w:t>
      </w:r>
      <w:r>
        <w:rPr>
          <w:rFonts w:ascii="Arial" w:cs="Arial" w:eastAsia="Arial" w:hAnsi="Arial"/>
          <w:sz w:val="20"/>
          <w:szCs w:val="20"/>
          <w:color w:val="auto"/>
        </w:rPr>
        <w:t>.</w:t>
      </w:r>
    </w:p>
    <w:p>
      <w:pPr>
        <w:spacing w:after="0" w:line="194" w:lineRule="exact"/>
        <w:rPr>
          <w:rFonts w:ascii="Arial" w:cs="Arial" w:eastAsia="Arial" w:hAnsi="Arial"/>
          <w:sz w:val="20"/>
          <w:szCs w:val="20"/>
          <w:color w:val="010000"/>
        </w:rPr>
      </w:pPr>
    </w:p>
    <w:p>
      <w:pPr>
        <w:jc w:val="both"/>
        <w:ind w:firstLine="1763"/>
        <w:spacing w:after="0" w:line="276" w:lineRule="auto"/>
        <w:tabs>
          <w:tab w:leader="none" w:pos="2623"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 xml:space="preserve">Subject to the satisfaction of the conditions precedent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New Borrower hereby assumes the Obligations under the Credit Agreement and joins in, adopts and becomes (i) a Borrower under the Credit Agreement and any Notes, (ii) an Issuer (as defined in the Pledge Agreement) under the Pledge Agreement, and (iii) party to the other Financing Documents applicable to it as a Borrower. Each party hereto agrees that all references to “Borrower” or “Borrowers” contained in the Financing Documents are hereby deemed for all purposes to also refer to and include New Borrower as a Borrower, and New Borrower hereby agrees to comply with all of the terms and conditions of the Financing Documents as if New Borrower was an original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75" w:name="page76"/>
    <w:bookmarkEnd w:id="75"/>
    <w:p>
      <w:pPr>
        <w:jc w:val="both"/>
        <w:ind w:firstLine="1763"/>
        <w:spacing w:after="0" w:line="243" w:lineRule="auto"/>
        <w:tabs>
          <w:tab w:leader="none" w:pos="2634" w:val="left"/>
        </w:tabs>
        <w:numPr>
          <w:ilvl w:val="1"/>
          <w:numId w:val="37"/>
        </w:numPr>
        <w:rPr>
          <w:rFonts w:ascii="Arial" w:cs="Arial" w:eastAsia="Arial" w:hAnsi="Arial"/>
          <w:sz w:val="20"/>
          <w:szCs w:val="20"/>
          <w:color w:val="010000"/>
        </w:rPr>
      </w:pPr>
      <w:r>
        <w:rPr>
          <w:rFonts w:ascii="Arial" w:cs="Arial" w:eastAsia="Arial" w:hAnsi="Arial"/>
          <w:sz w:val="20"/>
          <w:szCs w:val="20"/>
          <w:color w:val="auto"/>
        </w:rPr>
        <w:t xml:space="preserve">Notwithstanding the foregoing, unless Agent shall otherwise agree in writing in its reasonable discretion, no Accounts or Inventory of New Borrower shall be included as Eligible Accounts or Eligible Inventory until a field examination (and, if required by Agent, an Inventory appraisal) with respect thereto has been completed to the reasonable satisfaction of Agent, including the establishment of reserves required in Agent’s reasonable discretion;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field examinations and appraisals in connection with the joinder of New Borrower shall not count against the limited number of field examinations or appraisals for which expense reimbursement may be sought under the Credit Agreement.</w:t>
      </w:r>
    </w:p>
    <w:p>
      <w:pPr>
        <w:spacing w:after="0" w:line="163" w:lineRule="exact"/>
        <w:rPr>
          <w:rFonts w:ascii="Arial" w:cs="Arial" w:eastAsia="Arial" w:hAnsi="Arial"/>
          <w:sz w:val="20"/>
          <w:szCs w:val="20"/>
          <w:color w:val="010000"/>
        </w:rPr>
      </w:pPr>
    </w:p>
    <w:p>
      <w:pPr>
        <w:ind w:firstLine="885"/>
        <w:spacing w:after="0" w:line="323" w:lineRule="auto"/>
        <w:tabs>
          <w:tab w:leader="none" w:pos="1674" w:val="left"/>
        </w:tabs>
        <w:numPr>
          <w:ilvl w:val="0"/>
          <w:numId w:val="38"/>
        </w:numPr>
        <w:rPr>
          <w:rFonts w:ascii="Arial" w:cs="Arial" w:eastAsia="Arial" w:hAnsi="Arial"/>
          <w:sz w:val="18"/>
          <w:szCs w:val="18"/>
          <w:color w:val="010000"/>
        </w:rPr>
      </w:pPr>
      <w:r>
        <w:rPr>
          <w:rFonts w:ascii="Arial" w:cs="Arial" w:eastAsia="Arial" w:hAnsi="Arial"/>
          <w:sz w:val="18"/>
          <w:szCs w:val="18"/>
          <w:b w:val="1"/>
          <w:bCs w:val="1"/>
          <w:u w:val="single" w:color="auto"/>
          <w:color w:val="auto"/>
        </w:rPr>
        <w:t>Amendments to Original Credit Agreement</w:t>
      </w:r>
      <w:r>
        <w:rPr>
          <w:rFonts w:ascii="Arial" w:cs="Arial" w:eastAsia="Arial" w:hAnsi="Arial"/>
          <w:sz w:val="18"/>
          <w:szCs w:val="18"/>
          <w:color w:val="auto"/>
        </w:rPr>
        <w:t>. Subject to the terms and conditions of this Agreement,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the conditions to effectiveness set forth in Section 9 below, the Original Credit Agreement is hereby amended as follows:</w:t>
      </w:r>
    </w:p>
    <w:p>
      <w:pPr>
        <w:spacing w:after="0" w:line="110" w:lineRule="exact"/>
        <w:rPr>
          <w:rFonts w:ascii="Arial" w:cs="Arial" w:eastAsia="Arial" w:hAnsi="Arial"/>
          <w:sz w:val="18"/>
          <w:szCs w:val="18"/>
          <w:color w:val="010000"/>
        </w:rPr>
      </w:pPr>
    </w:p>
    <w:p>
      <w:pPr>
        <w:ind w:left="2640" w:hanging="877"/>
        <w:spacing w:after="0"/>
        <w:tabs>
          <w:tab w:leader="none" w:pos="2640" w:val="left"/>
        </w:tabs>
        <w:numPr>
          <w:ilvl w:val="1"/>
          <w:numId w:val="38"/>
        </w:numPr>
        <w:rPr>
          <w:rFonts w:ascii="Arial" w:cs="Arial" w:eastAsia="Arial" w:hAnsi="Arial"/>
          <w:sz w:val="18"/>
          <w:szCs w:val="18"/>
          <w:color w:val="010000"/>
        </w:rPr>
      </w:pPr>
      <w:r>
        <w:rPr>
          <w:rFonts w:ascii="Arial" w:cs="Arial" w:eastAsia="Arial" w:hAnsi="Arial"/>
          <w:sz w:val="18"/>
          <w:szCs w:val="18"/>
          <w:color w:val="auto"/>
        </w:rPr>
        <w:t>The following definitions are hereby added to Section 1.1 of the Original Credit Agreement in their respective</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alphabetic order:</w:t>
      </w:r>
    </w:p>
    <w:p>
      <w:pPr>
        <w:spacing w:after="0" w:line="18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Aussie Health Acquisition Agreement</w:t>
      </w:r>
      <w:r>
        <w:rPr>
          <w:rFonts w:ascii="Arial" w:cs="Arial" w:eastAsia="Arial" w:hAnsi="Arial"/>
          <w:sz w:val="20"/>
          <w:szCs w:val="20"/>
          <w:color w:val="auto"/>
        </w:rPr>
        <w:t>” has the meaning set forth in the Fourth Amendment.</w:t>
      </w:r>
    </w:p>
    <w:p>
      <w:pPr>
        <w:spacing w:after="0" w:line="18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Aussie Health Seller Note</w:t>
      </w:r>
      <w:r>
        <w:rPr>
          <w:rFonts w:ascii="Arial" w:cs="Arial" w:eastAsia="Arial" w:hAnsi="Arial"/>
          <w:sz w:val="20"/>
          <w:szCs w:val="20"/>
          <w:color w:val="auto"/>
        </w:rPr>
        <w:t>” has the meaning set forth in the Fourth Amendment.</w:t>
      </w:r>
    </w:p>
    <w:p>
      <w:pPr>
        <w:spacing w:after="0" w:line="202" w:lineRule="exact"/>
        <w:rPr>
          <w:sz w:val="20"/>
          <w:szCs w:val="20"/>
          <w:color w:val="auto"/>
        </w:rPr>
      </w:pPr>
    </w:p>
    <w:p>
      <w:pPr>
        <w:jc w:val="both"/>
        <w:ind w:left="1760" w:right="8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Aussie Health Subordination Agreement</w:t>
      </w:r>
      <w:r>
        <w:rPr>
          <w:rFonts w:ascii="Arial" w:cs="Arial" w:eastAsia="Arial" w:hAnsi="Arial"/>
          <w:sz w:val="20"/>
          <w:szCs w:val="20"/>
          <w:color w:val="auto"/>
        </w:rPr>
        <w:t>” means that certain Subordination Agreement, dated as of the Fourth Amendment Effective Date, among the parties signatory thereto, as subordinated creditors, Agent and Borrowers, as such document may be amended, restated, supplemented or otherwise modified from time to time after the date hereof.</w:t>
      </w:r>
    </w:p>
    <w:p>
      <w:pPr>
        <w:spacing w:after="0" w:line="170" w:lineRule="exact"/>
        <w:rPr>
          <w:sz w:val="20"/>
          <w:szCs w:val="20"/>
          <w:color w:val="auto"/>
        </w:rPr>
      </w:pPr>
    </w:p>
    <w:p>
      <w:pPr>
        <w:jc w:val="both"/>
        <w:ind w:left="1760" w:right="8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Fourth Amendment</w:t>
      </w:r>
      <w:r>
        <w:rPr>
          <w:rFonts w:ascii="Arial" w:cs="Arial" w:eastAsia="Arial" w:hAnsi="Arial"/>
          <w:sz w:val="20"/>
          <w:szCs w:val="20"/>
          <w:color w:val="auto"/>
        </w:rPr>
        <w:t>” means that certain Omnibus Limited Consent, Joinder and Amendment No. 4 to Amended and Restated Credit and Security Agreement and Amendment No. 3 to Pledge Agreement, dated as of September 10, 2019, among Borrowers, Agent and Lenders.</w:t>
      </w:r>
    </w:p>
    <w:p>
      <w:pPr>
        <w:spacing w:after="0" w:line="151" w:lineRule="exact"/>
        <w:rPr>
          <w:sz w:val="20"/>
          <w:szCs w:val="20"/>
          <w:color w:val="auto"/>
        </w:rPr>
      </w:pPr>
    </w:p>
    <w:p>
      <w:pPr>
        <w:jc w:val="both"/>
        <w:ind w:left="1760" w:right="8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Fourth Amendment Effective Date</w:t>
      </w:r>
      <w:r>
        <w:rPr>
          <w:rFonts w:ascii="Arial" w:cs="Arial" w:eastAsia="Arial" w:hAnsi="Arial"/>
          <w:sz w:val="20"/>
          <w:szCs w:val="20"/>
          <w:color w:val="auto"/>
        </w:rPr>
        <w:t>” means the first date on which all of the conditions set forth in Section 9 of the Fourth Amendment are satisfied.</w:t>
      </w:r>
    </w:p>
    <w:p>
      <w:pPr>
        <w:spacing w:after="0" w:line="150" w:lineRule="exact"/>
        <w:rPr>
          <w:sz w:val="20"/>
          <w:szCs w:val="20"/>
          <w:color w:val="auto"/>
        </w:rPr>
      </w:pPr>
    </w:p>
    <w:p>
      <w:pPr>
        <w:ind w:firstLine="1763"/>
        <w:spacing w:after="0" w:line="267" w:lineRule="auto"/>
        <w:tabs>
          <w:tab w:leader="none" w:pos="2634" w:val="left"/>
        </w:tabs>
        <w:numPr>
          <w:ilvl w:val="0"/>
          <w:numId w:val="39"/>
        </w:numPr>
        <w:rPr>
          <w:rFonts w:ascii="Arial" w:cs="Arial" w:eastAsia="Arial" w:hAnsi="Arial"/>
          <w:sz w:val="20"/>
          <w:szCs w:val="20"/>
          <w:color w:val="010000"/>
        </w:rPr>
      </w:pPr>
      <w:r>
        <w:rPr>
          <w:rFonts w:ascii="Arial" w:cs="Arial" w:eastAsia="Arial" w:hAnsi="Arial"/>
          <w:sz w:val="20"/>
          <w:szCs w:val="20"/>
          <w:color w:val="auto"/>
        </w:rPr>
        <w:t>The definition of “</w:t>
      </w:r>
      <w:r>
        <w:rPr>
          <w:rFonts w:ascii="Arial" w:cs="Arial" w:eastAsia="Arial" w:hAnsi="Arial"/>
          <w:sz w:val="20"/>
          <w:szCs w:val="20"/>
          <w:b w:val="1"/>
          <w:bCs w:val="1"/>
          <w:color w:val="auto"/>
        </w:rPr>
        <w:t>Subordinated Debt Documents</w:t>
      </w:r>
      <w:r>
        <w:rPr>
          <w:rFonts w:ascii="Arial" w:cs="Arial" w:eastAsia="Arial" w:hAnsi="Arial"/>
          <w:sz w:val="20"/>
          <w:szCs w:val="20"/>
          <w:color w:val="auto"/>
        </w:rPr>
        <w:t>” appearing in Section 1.1 of the Original Credit Agreement is hereby amended and restated in its entirety as follows:</w:t>
      </w:r>
    </w:p>
    <w:p>
      <w:pPr>
        <w:spacing w:after="0" w:line="150" w:lineRule="exact"/>
        <w:rPr>
          <w:sz w:val="20"/>
          <w:szCs w:val="20"/>
          <w:color w:val="auto"/>
        </w:rPr>
      </w:pPr>
    </w:p>
    <w:p>
      <w:pPr>
        <w:jc w:val="both"/>
        <w:ind w:left="176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Debt Documents</w:t>
      </w:r>
      <w:r>
        <w:rPr>
          <w:rFonts w:ascii="Arial" w:cs="Arial" w:eastAsia="Arial" w:hAnsi="Arial"/>
          <w:sz w:val="20"/>
          <w:szCs w:val="20"/>
          <w:color w:val="auto"/>
        </w:rPr>
        <w:t>" means (a) the Aussie Health Seller Note and (b) each other document or agreement evidencing and/or securing Debt governed by a Subordination Agreement or otherwise by its terms subordinated to the Obligations, all of which documents must be in form and substance acceptable to Agent in its sole discretion. As of the Closing Date, there are no Subordinated Debt Documents.</w:t>
      </w:r>
    </w:p>
    <w:p>
      <w:pPr>
        <w:spacing w:after="0" w:line="157" w:lineRule="exact"/>
        <w:rPr>
          <w:sz w:val="20"/>
          <w:szCs w:val="20"/>
          <w:color w:val="auto"/>
        </w:rPr>
      </w:pPr>
    </w:p>
    <w:p>
      <w:pPr>
        <w:ind w:firstLine="1763"/>
        <w:spacing w:after="0" w:line="267" w:lineRule="auto"/>
        <w:tabs>
          <w:tab w:leader="none" w:pos="2623" w:val="left"/>
        </w:tabs>
        <w:numPr>
          <w:ilvl w:val="0"/>
          <w:numId w:val="40"/>
        </w:numPr>
        <w:rPr>
          <w:rFonts w:ascii="Arial" w:cs="Arial" w:eastAsia="Arial" w:hAnsi="Arial"/>
          <w:sz w:val="20"/>
          <w:szCs w:val="20"/>
          <w:color w:val="010000"/>
        </w:rPr>
      </w:pPr>
      <w:r>
        <w:rPr>
          <w:rFonts w:ascii="Arial" w:cs="Arial" w:eastAsia="Arial" w:hAnsi="Arial"/>
          <w:sz w:val="20"/>
          <w:szCs w:val="20"/>
          <w:color w:val="auto"/>
        </w:rPr>
        <w:t>The definition of “</w:t>
      </w:r>
      <w:r>
        <w:rPr>
          <w:rFonts w:ascii="Arial" w:cs="Arial" w:eastAsia="Arial" w:hAnsi="Arial"/>
          <w:sz w:val="20"/>
          <w:szCs w:val="20"/>
          <w:b w:val="1"/>
          <w:bCs w:val="1"/>
          <w:color w:val="auto"/>
        </w:rPr>
        <w:t>Subordination Agreement</w:t>
      </w:r>
      <w:r>
        <w:rPr>
          <w:rFonts w:ascii="Arial" w:cs="Arial" w:eastAsia="Arial" w:hAnsi="Arial"/>
          <w:sz w:val="20"/>
          <w:szCs w:val="20"/>
          <w:color w:val="auto"/>
        </w:rPr>
        <w:t>” appearing in Section 1.1 of the Original Credit Agreement is hereby amended and restated in its entirety as follows:</w:t>
      </w:r>
    </w:p>
    <w:p>
      <w:pPr>
        <w:spacing w:after="0" w:line="150" w:lineRule="exact"/>
        <w:rPr>
          <w:sz w:val="20"/>
          <w:szCs w:val="20"/>
          <w:color w:val="auto"/>
        </w:rPr>
      </w:pPr>
    </w:p>
    <w:p>
      <w:pPr>
        <w:jc w:val="both"/>
        <w:ind w:left="17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means (a) the Aussie Health Subordination Agreement and (b) any other agreement between Agent and another creditor of Borrowers, as the same may be amended, supplemented, restated or otherwise modified from time to time in accordance with the terms thereof, pursuant to which the Debt owing from any Borrower(s) and/or the Liens securing such Debt granted by any Borrower(s)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76" w:name="page77"/>
    <w:bookmarkEnd w:id="76"/>
    <w:p>
      <w:pPr>
        <w:ind w:left="2640" w:hanging="877"/>
        <w:spacing w:after="0"/>
        <w:tabs>
          <w:tab w:leader="none" w:pos="2640"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Section 4.1(d) is hereby amended by adding the following sentence at the end thereof:</w:t>
      </w:r>
    </w:p>
    <w:p>
      <w:pPr>
        <w:spacing w:after="0" w:line="189" w:lineRule="exact"/>
        <w:rPr>
          <w:sz w:val="20"/>
          <w:szCs w:val="20"/>
          <w:color w:val="auto"/>
        </w:rPr>
      </w:pPr>
    </w:p>
    <w:p>
      <w:pPr>
        <w:jc w:val="both"/>
        <w:ind w:left="1760"/>
        <w:spacing w:after="0" w:line="263" w:lineRule="auto"/>
        <w:rPr>
          <w:sz w:val="20"/>
          <w:szCs w:val="20"/>
          <w:color w:val="auto"/>
        </w:rPr>
      </w:pPr>
      <w:r>
        <w:rPr>
          <w:rFonts w:ascii="Arial" w:cs="Arial" w:eastAsia="Arial" w:hAnsi="Arial"/>
          <w:sz w:val="19"/>
          <w:szCs w:val="19"/>
          <w:color w:val="auto"/>
        </w:rPr>
        <w:t>“Notwithstanding anything to the contrary herein, documents required to be delivered pursuant to Section 4.1(d) (to the extent any such documents are included in materials filed with the SEC) may be delivered electronically and if so delivered, shall be deemed to have been delivered on the date on which Borrowers posts such documents, or provides a link thereto, on Borrowers’ website on the Internet at Borrowers’ website address.”</w:t>
      </w:r>
    </w:p>
    <w:p>
      <w:pPr>
        <w:spacing w:after="0" w:line="163" w:lineRule="exact"/>
        <w:rPr>
          <w:sz w:val="20"/>
          <w:szCs w:val="20"/>
          <w:color w:val="auto"/>
        </w:rPr>
      </w:pPr>
    </w:p>
    <w:p>
      <w:pPr>
        <w:jc w:val="both"/>
        <w:ind w:firstLine="1763"/>
        <w:spacing w:after="0" w:line="250" w:lineRule="auto"/>
        <w:tabs>
          <w:tab w:leader="none" w:pos="2623" w:val="left"/>
        </w:tabs>
        <w:numPr>
          <w:ilvl w:val="1"/>
          <w:numId w:val="42"/>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are supplements to the Schedules to the Original Credit Agreement and setting forth the relevant information with respect to New Borrower which are added to the information set forth on Schedules to the Original Credit Agreement to which they apply and shall be deemed attached thereto and become a part thereof.</w:t>
      </w:r>
    </w:p>
    <w:p>
      <w:pPr>
        <w:spacing w:after="0" w:line="166" w:lineRule="exact"/>
        <w:rPr>
          <w:rFonts w:ascii="Arial" w:cs="Arial" w:eastAsia="Arial" w:hAnsi="Arial"/>
          <w:sz w:val="20"/>
          <w:szCs w:val="20"/>
          <w:color w:val="010000"/>
        </w:rPr>
      </w:pPr>
    </w:p>
    <w:p>
      <w:pPr>
        <w:jc w:val="both"/>
        <w:ind w:firstLine="885"/>
        <w:spacing w:after="0" w:line="248" w:lineRule="auto"/>
        <w:tabs>
          <w:tab w:leader="none" w:pos="1674" w:val="left"/>
        </w:tabs>
        <w:numPr>
          <w:ilvl w:val="0"/>
          <w:numId w:val="43"/>
        </w:numPr>
        <w:rPr>
          <w:rFonts w:ascii="Arial" w:cs="Arial" w:eastAsia="Arial" w:hAnsi="Arial"/>
          <w:sz w:val="20"/>
          <w:szCs w:val="20"/>
          <w:color w:val="010000"/>
        </w:rPr>
      </w:pPr>
      <w:r>
        <w:rPr>
          <w:rFonts w:ascii="Arial" w:cs="Arial" w:eastAsia="Arial" w:hAnsi="Arial"/>
          <w:sz w:val="20"/>
          <w:szCs w:val="20"/>
          <w:b w:val="1"/>
          <w:bCs w:val="1"/>
          <w:u w:val="single" w:color="auto"/>
          <w:color w:val="auto"/>
        </w:rPr>
        <w:t>Amendment to Pledge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Each Borrower, including New Borrower, hereby agrees that the schedules 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hereto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are true and correct as of the date hereof and reflect the joinder of New Borrower as an Issuer under the Pledge Agreement and shall be deemed to be added to the schedules of the same number in the Pledge Agreement and shall be deemed attached thereto and become a part thereof.</w:t>
      </w:r>
    </w:p>
    <w:p>
      <w:pPr>
        <w:spacing w:after="0" w:line="156" w:lineRule="exact"/>
        <w:rPr>
          <w:rFonts w:ascii="Arial" w:cs="Arial" w:eastAsia="Arial" w:hAnsi="Arial"/>
          <w:sz w:val="20"/>
          <w:szCs w:val="20"/>
          <w:color w:val="010000"/>
        </w:rPr>
      </w:pPr>
    </w:p>
    <w:p>
      <w:pPr>
        <w:jc w:val="both"/>
        <w:ind w:firstLine="885"/>
        <w:spacing w:after="0" w:line="245" w:lineRule="auto"/>
        <w:tabs>
          <w:tab w:leader="none" w:pos="1674" w:val="left"/>
        </w:tabs>
        <w:numPr>
          <w:ilvl w:val="0"/>
          <w:numId w:val="43"/>
        </w:numPr>
        <w:rPr>
          <w:rFonts w:ascii="Arial" w:cs="Arial" w:eastAsia="Arial" w:hAnsi="Arial"/>
          <w:sz w:val="20"/>
          <w:szCs w:val="20"/>
          <w:color w:val="010000"/>
        </w:rPr>
      </w:pPr>
      <w:r>
        <w:rPr>
          <w:rFonts w:ascii="Arial" w:cs="Arial" w:eastAsia="Arial" w:hAnsi="Arial"/>
          <w:sz w:val="20"/>
          <w:szCs w:val="20"/>
          <w:b w:val="1"/>
          <w:bCs w:val="1"/>
          <w:u w:val="single" w:color="auto"/>
          <w:color w:val="auto"/>
        </w:rPr>
        <w:t>Grant of Security Interest</w:t>
      </w:r>
      <w:r>
        <w:rPr>
          <w:rFonts w:ascii="Arial" w:cs="Arial" w:eastAsia="Arial" w:hAnsi="Arial"/>
          <w:sz w:val="20"/>
          <w:szCs w:val="20"/>
          <w:color w:val="auto"/>
        </w:rPr>
        <w:t>. Consistent with the intent of the parties and in consideration of the accommodations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as further security for the prompt payment in full of all Obligations, and without limiting any other grant of a Lien and security interest in a Security Document, New Borrower hereby collaterally assigns and grants to Agent, for the benefit of itself and Lenders, and subject only to Permitted Liens, a continuing first priority Lien on and security interest in, upon, and to all of New Borrower’s right, title and interest in and to all of New Borrower’s assets, including without limitation, all of New Borrower’s right, title, and interest in and to the following, whether now owned or hereafter created, acquired or arising:</w:t>
      </w:r>
    </w:p>
    <w:p>
      <w:pPr>
        <w:spacing w:after="0" w:line="177" w:lineRule="exact"/>
        <w:rPr>
          <w:rFonts w:ascii="Arial" w:cs="Arial" w:eastAsia="Arial" w:hAnsi="Arial"/>
          <w:sz w:val="20"/>
          <w:szCs w:val="20"/>
          <w:color w:val="010000"/>
        </w:rPr>
      </w:pPr>
    </w:p>
    <w:p>
      <w:pPr>
        <w:jc w:val="both"/>
        <w:ind w:firstLine="1763"/>
        <w:spacing w:after="0" w:line="321" w:lineRule="auto"/>
        <w:tabs>
          <w:tab w:leader="none" w:pos="2623" w:val="left"/>
        </w:tabs>
        <w:numPr>
          <w:ilvl w:val="1"/>
          <w:numId w:val="43"/>
        </w:numPr>
        <w:rPr>
          <w:rFonts w:ascii="Arial" w:cs="Arial" w:eastAsia="Arial" w:hAnsi="Arial"/>
          <w:sz w:val="16"/>
          <w:szCs w:val="16"/>
          <w:color w:val="010000"/>
        </w:rPr>
      </w:pPr>
      <w:r>
        <w:rPr>
          <w:rFonts w:ascii="Arial" w:cs="Arial" w:eastAsia="Arial" w:hAnsi="Arial"/>
          <w:sz w:val="16"/>
          <w:szCs w:val="16"/>
          <w:color w:val="auto"/>
        </w:rPr>
        <w:t>all goods, Accounts (including health-care insurance receivables), Equipment, Inventory, contract rights or rights to payment of money, leases, license agreements, franchise agreements, General Intangibles, commercial tort claims (including each such claim listed on Schedule 9.2(d)),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20" w:lineRule="exact"/>
        <w:rPr>
          <w:rFonts w:ascii="Arial" w:cs="Arial" w:eastAsia="Arial" w:hAnsi="Arial"/>
          <w:sz w:val="16"/>
          <w:szCs w:val="16"/>
          <w:color w:val="010000"/>
        </w:rPr>
      </w:pPr>
    </w:p>
    <w:p>
      <w:pPr>
        <w:ind w:left="2640" w:hanging="877"/>
        <w:spacing w:after="0"/>
        <w:tabs>
          <w:tab w:leader="none" w:pos="2640" w:val="left"/>
        </w:tabs>
        <w:numPr>
          <w:ilvl w:val="1"/>
          <w:numId w:val="43"/>
        </w:numPr>
        <w:rPr>
          <w:rFonts w:ascii="Arial" w:cs="Arial" w:eastAsia="Arial" w:hAnsi="Arial"/>
          <w:sz w:val="20"/>
          <w:szCs w:val="20"/>
          <w:color w:val="010000"/>
        </w:rPr>
      </w:pPr>
      <w:r>
        <w:rPr>
          <w:rFonts w:ascii="Arial" w:cs="Arial" w:eastAsia="Arial" w:hAnsi="Arial"/>
          <w:sz w:val="20"/>
          <w:szCs w:val="20"/>
          <w:color w:val="auto"/>
        </w:rPr>
        <w:t>all of New Borrower's books and records relating to any of the foregoing; and</w:t>
      </w:r>
    </w:p>
    <w:p>
      <w:pPr>
        <w:spacing w:after="0" w:line="188" w:lineRule="exact"/>
        <w:rPr>
          <w:rFonts w:ascii="Arial" w:cs="Arial" w:eastAsia="Arial" w:hAnsi="Arial"/>
          <w:sz w:val="20"/>
          <w:szCs w:val="20"/>
          <w:color w:val="010000"/>
        </w:rPr>
      </w:pPr>
    </w:p>
    <w:p>
      <w:pPr>
        <w:ind w:firstLine="1763"/>
        <w:spacing w:after="0" w:line="316" w:lineRule="auto"/>
        <w:tabs>
          <w:tab w:leader="none" w:pos="2623" w:val="left"/>
        </w:tabs>
        <w:numPr>
          <w:ilvl w:val="1"/>
          <w:numId w:val="43"/>
        </w:numPr>
        <w:rPr>
          <w:rFonts w:ascii="Arial" w:cs="Arial" w:eastAsia="Arial" w:hAnsi="Arial"/>
          <w:sz w:val="18"/>
          <w:szCs w:val="18"/>
          <w:color w:val="010000"/>
        </w:rPr>
      </w:pPr>
      <w:r>
        <w:rPr>
          <w:rFonts w:ascii="Arial" w:cs="Arial" w:eastAsia="Arial" w:hAnsi="Arial"/>
          <w:sz w:val="18"/>
          <w:szCs w:val="18"/>
          <w:color w:val="auto"/>
        </w:rPr>
        <w:t>any and all claims, rights and interests in any of the above and all substitutions for, additions, attachments, accessories, accessions and improvements to and replacements, products, proceeds and insurance proceeds of any or all of the foregoing.</w:t>
      </w:r>
    </w:p>
    <w:p>
      <w:pPr>
        <w:spacing w:after="0" w:line="117"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New Borrower hereby authorizes Agent to file UCC-1 financing statements against New Borrower covering the Collateral owned by New Borrower in such jurisdictions as Agent shall deem necessary, prudent or desirable to perfect and protect the liens and security interests granted to Agent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77" w:name="page78"/>
    <w:bookmarkEnd w:id="77"/>
    <w:p>
      <w:pPr>
        <w:jc w:val="both"/>
        <w:ind w:left="-885" w:firstLine="885"/>
        <w:spacing w:after="0" w:line="271" w:lineRule="auto"/>
        <w:tabs>
          <w:tab w:leader="none" w:pos="789" w:val="left"/>
        </w:tabs>
        <w:numPr>
          <w:ilvl w:val="0"/>
          <w:numId w:val="44"/>
        </w:numPr>
        <w:rPr>
          <w:rFonts w:ascii="Arial" w:cs="Arial" w:eastAsia="Arial" w:hAnsi="Arial"/>
          <w:sz w:val="18"/>
          <w:szCs w:val="18"/>
          <w:color w:val="010000"/>
        </w:rPr>
      </w:pPr>
      <w:r>
        <w:rPr>
          <w:rFonts w:ascii="Arial" w:cs="Arial" w:eastAsia="Arial" w:hAnsi="Arial"/>
          <w:sz w:val="18"/>
          <w:szCs w:val="18"/>
          <w:b w:val="1"/>
          <w:bCs w:val="1"/>
          <w:u w:val="single" w:color="auto"/>
          <w:color w:val="auto"/>
        </w:rPr>
        <w:t>Representations and Warranties; Reaffirmation of Security Interest</w:t>
      </w:r>
      <w:r>
        <w:rPr>
          <w:rFonts w:ascii="Arial" w:cs="Arial" w:eastAsia="Arial" w:hAnsi="Arial"/>
          <w:sz w:val="18"/>
          <w:szCs w:val="18"/>
          <w:color w:val="auto"/>
        </w:rPr>
        <w:t>. Each Borrower hereby (a) confirms that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and (b) covenants to perform its respective obligations under the Credit Agreement. Each Borrower confirms and agrees that all security interests and Liens granted to Agent continue in full force and effect, and all Collateral remains free and clear of any Liens, other than Permitted Liens. Nothing herein is intended to impair or limit the validity, priority or extent of Agent’s security interests in and Liens on the Collateral. Each Borrower acknowledges and agrees that the Credit Agreement, the other Financing Documents and this Agreement constitute the legal, valid and binding obligation of such Borrower, and are enforceable against such Borrower in accordance with its terms, except as the enforceability thereof may be limited by bankruptcy, insolvency or other similar laws relating to the enforcement of creditors’ rights generally and by general equitable principles.</w:t>
      </w:r>
    </w:p>
    <w:p>
      <w:pPr>
        <w:spacing w:after="0" w:line="143" w:lineRule="exact"/>
        <w:rPr>
          <w:rFonts w:ascii="Arial" w:cs="Arial" w:eastAsia="Arial" w:hAnsi="Arial"/>
          <w:sz w:val="18"/>
          <w:szCs w:val="18"/>
          <w:color w:val="010000"/>
        </w:rPr>
      </w:pPr>
    </w:p>
    <w:p>
      <w:pPr>
        <w:jc w:val="both"/>
        <w:ind w:left="-885" w:firstLine="885"/>
        <w:spacing w:after="0" w:line="246" w:lineRule="auto"/>
        <w:tabs>
          <w:tab w:leader="none" w:pos="789" w:val="left"/>
        </w:tabs>
        <w:numPr>
          <w:ilvl w:val="0"/>
          <w:numId w:val="44"/>
        </w:numPr>
        <w:rPr>
          <w:rFonts w:ascii="Arial" w:cs="Arial" w:eastAsia="Arial" w:hAnsi="Arial"/>
          <w:sz w:val="20"/>
          <w:szCs w:val="20"/>
          <w:color w:val="010000"/>
        </w:rPr>
      </w:pPr>
      <w:r>
        <w:rPr>
          <w:rFonts w:ascii="Arial" w:cs="Arial" w:eastAsia="Arial" w:hAnsi="Arial"/>
          <w:sz w:val="20"/>
          <w:szCs w:val="20"/>
          <w:b w:val="1"/>
          <w:bCs w:val="1"/>
          <w:u w:val="single" w:color="auto"/>
          <w:color w:val="auto"/>
        </w:rPr>
        <w:t>Costs and Fees</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Borrowers shall be responsible for the payment of all reasonable and documented out-of-pocket costs</w:t>
      </w:r>
      <w:r>
        <w:rPr>
          <w:rFonts w:ascii="Arial" w:cs="Arial" w:eastAsia="Arial" w:hAnsi="Arial"/>
          <w:sz w:val="20"/>
          <w:szCs w:val="20"/>
          <w:b w:val="1"/>
          <w:bCs w:val="1"/>
          <w:color w:val="auto"/>
        </w:rPr>
        <w:t xml:space="preserve"> </w:t>
      </w:r>
      <w:r>
        <w:rPr>
          <w:rFonts w:ascii="Arial" w:cs="Arial" w:eastAsia="Arial" w:hAnsi="Arial"/>
          <w:sz w:val="20"/>
          <w:szCs w:val="20"/>
          <w:color w:val="auto"/>
        </w:rPr>
        <w:t>and fees of Agent’s counsel incurred in connection with the preparation of this Agreement and any related documents. If Agent or any Lender uses in-house counsel for any of these purposes, Borrowers further agree that the Obligations include reasonable charges for such work commensurate with the fees that would otherwise be charged by outside legal counsel selected by Agent or such Lender for the work performed.</w:t>
      </w:r>
    </w:p>
    <w:p>
      <w:pPr>
        <w:spacing w:after="0" w:line="171" w:lineRule="exact"/>
        <w:rPr>
          <w:rFonts w:ascii="Arial" w:cs="Arial" w:eastAsia="Arial" w:hAnsi="Arial"/>
          <w:sz w:val="20"/>
          <w:szCs w:val="20"/>
          <w:color w:val="010000"/>
        </w:rPr>
      </w:pPr>
    </w:p>
    <w:p>
      <w:pPr>
        <w:jc w:val="both"/>
        <w:ind w:left="-885" w:right="20" w:firstLine="885"/>
        <w:spacing w:after="0" w:line="253" w:lineRule="auto"/>
        <w:tabs>
          <w:tab w:leader="none" w:pos="789" w:val="left"/>
        </w:tabs>
        <w:numPr>
          <w:ilvl w:val="0"/>
          <w:numId w:val="44"/>
        </w:numPr>
        <w:rPr>
          <w:rFonts w:ascii="Arial" w:cs="Arial" w:eastAsia="Arial" w:hAnsi="Arial"/>
          <w:sz w:val="20"/>
          <w:szCs w:val="20"/>
          <w:color w:val="010000"/>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become effective as of the date on which Agent has received each</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document and instrument set forth in this section, each in form and substance satisfactory to Agent, including the satisfaction of the following conditions precedent, each to the satisfaction of Agent in its sole discretion:</w:t>
      </w:r>
    </w:p>
    <w:p>
      <w:pPr>
        <w:spacing w:after="0" w:line="170" w:lineRule="exact"/>
        <w:rPr>
          <w:rFonts w:ascii="Arial" w:cs="Arial" w:eastAsia="Arial" w:hAnsi="Arial"/>
          <w:sz w:val="20"/>
          <w:szCs w:val="20"/>
          <w:color w:val="010000"/>
        </w:rPr>
      </w:pPr>
    </w:p>
    <w:p>
      <w:pPr>
        <w:ind w:left="-5" w:firstLine="816"/>
        <w:spacing w:after="0" w:line="260" w:lineRule="auto"/>
        <w:tabs>
          <w:tab w:leader="none" w:pos="1673" w:val="left"/>
        </w:tabs>
        <w:numPr>
          <w:ilvl w:val="1"/>
          <w:numId w:val="44"/>
        </w:numPr>
        <w:rPr>
          <w:rFonts w:ascii="Arial" w:cs="Arial" w:eastAsia="Arial" w:hAnsi="Arial"/>
          <w:sz w:val="20"/>
          <w:szCs w:val="20"/>
          <w:color w:val="auto"/>
        </w:rPr>
      </w:pPr>
      <w:r>
        <w:rPr>
          <w:rFonts w:ascii="Arial" w:cs="Arial" w:eastAsia="Arial" w:hAnsi="Arial"/>
          <w:sz w:val="20"/>
          <w:szCs w:val="20"/>
          <w:color w:val="auto"/>
        </w:rPr>
        <w:t>Borrowers shall have delivered to Agent this Agreement, duly executed by an authorized officer (or authorized signatory) of each Borrower;</w:t>
      </w:r>
    </w:p>
    <w:p>
      <w:pPr>
        <w:spacing w:after="0" w:line="149" w:lineRule="exact"/>
        <w:rPr>
          <w:rFonts w:ascii="Arial" w:cs="Arial" w:eastAsia="Arial" w:hAnsi="Arial"/>
          <w:sz w:val="20"/>
          <w:szCs w:val="20"/>
          <w:color w:val="auto"/>
        </w:rPr>
      </w:pPr>
    </w:p>
    <w:p>
      <w:pPr>
        <w:ind w:left="-5" w:firstLine="816"/>
        <w:spacing w:after="0" w:line="260" w:lineRule="auto"/>
        <w:tabs>
          <w:tab w:leader="none" w:pos="1684" w:val="left"/>
        </w:tabs>
        <w:numPr>
          <w:ilvl w:val="1"/>
          <w:numId w:val="44"/>
        </w:numPr>
        <w:rPr>
          <w:rFonts w:ascii="Arial" w:cs="Arial" w:eastAsia="Arial" w:hAnsi="Arial"/>
          <w:sz w:val="20"/>
          <w:szCs w:val="20"/>
          <w:color w:val="auto"/>
        </w:rPr>
      </w:pPr>
      <w:r>
        <w:rPr>
          <w:rFonts w:ascii="Arial" w:cs="Arial" w:eastAsia="Arial" w:hAnsi="Arial"/>
          <w:sz w:val="20"/>
          <w:szCs w:val="20"/>
          <w:color w:val="auto"/>
        </w:rPr>
        <w:t>Agent shall have received the Aussie Health Subordination Agreement, duly executed by as subordinated creditors party thereto, Agent and Borrowers;</w:t>
      </w:r>
    </w:p>
    <w:p>
      <w:pPr>
        <w:spacing w:after="0" w:line="163" w:lineRule="exact"/>
        <w:rPr>
          <w:rFonts w:ascii="Arial" w:cs="Arial" w:eastAsia="Arial" w:hAnsi="Arial"/>
          <w:sz w:val="20"/>
          <w:szCs w:val="20"/>
          <w:color w:val="auto"/>
        </w:rPr>
      </w:pPr>
    </w:p>
    <w:p>
      <w:pPr>
        <w:jc w:val="both"/>
        <w:ind w:left="-5" w:firstLine="816"/>
        <w:spacing w:after="0" w:line="246" w:lineRule="auto"/>
        <w:tabs>
          <w:tab w:leader="none" w:pos="1673" w:val="left"/>
        </w:tabs>
        <w:numPr>
          <w:ilvl w:val="1"/>
          <w:numId w:val="44"/>
        </w:numPr>
        <w:rPr>
          <w:rFonts w:ascii="Arial" w:cs="Arial" w:eastAsia="Arial" w:hAnsi="Arial"/>
          <w:sz w:val="20"/>
          <w:szCs w:val="20"/>
          <w:color w:val="auto"/>
        </w:rPr>
      </w:pPr>
      <w:r>
        <w:rPr>
          <w:rFonts w:ascii="Arial" w:cs="Arial" w:eastAsia="Arial" w:hAnsi="Arial"/>
          <w:sz w:val="20"/>
          <w:szCs w:val="20"/>
          <w:color w:val="auto"/>
        </w:rPr>
        <w:t>Agent shall have received a fully executed copy of the Aussie Health Acquisition Agreement and all other material agreements, documents or instruments pursuant to which the Aussie Health Acquisition is to be consummated, any schedules to such agreements, documents or instruments and all other material ancillary agreements, instruments and documents to be executed or delivered in connection therewith;</w:t>
      </w:r>
    </w:p>
    <w:p>
      <w:pPr>
        <w:spacing w:after="0" w:line="178" w:lineRule="exact"/>
        <w:rPr>
          <w:rFonts w:ascii="Arial" w:cs="Arial" w:eastAsia="Arial" w:hAnsi="Arial"/>
          <w:sz w:val="20"/>
          <w:szCs w:val="20"/>
          <w:color w:val="auto"/>
        </w:rPr>
      </w:pPr>
    </w:p>
    <w:p>
      <w:pPr>
        <w:jc w:val="both"/>
        <w:ind w:left="-5" w:firstLine="816"/>
        <w:spacing w:after="0" w:line="246" w:lineRule="auto"/>
        <w:tabs>
          <w:tab w:leader="none" w:pos="1684" w:val="left"/>
        </w:tabs>
        <w:numPr>
          <w:ilvl w:val="1"/>
          <w:numId w:val="44"/>
        </w:numPr>
        <w:rPr>
          <w:rFonts w:ascii="Arial" w:cs="Arial" w:eastAsia="Arial" w:hAnsi="Arial"/>
          <w:sz w:val="20"/>
          <w:szCs w:val="20"/>
          <w:color w:val="auto"/>
        </w:rPr>
      </w:pPr>
      <w:r>
        <w:rPr>
          <w:rFonts w:ascii="Arial" w:cs="Arial" w:eastAsia="Arial" w:hAnsi="Arial"/>
          <w:sz w:val="20"/>
          <w:szCs w:val="20"/>
          <w:color w:val="auto"/>
        </w:rPr>
        <w:t>Substantially concurrently with the effectiveness of this Agreement, the Aussie Health Acquisition has been consummated (i) in all material respects in accordance with the terms of the Aussie Health Acquisition Agreement and (ii) in accordance with applicable Law (and such parties’ delivery of their respective signatures hereto shall be deemed to be its certification thereof);</w:t>
      </w:r>
    </w:p>
    <w:p>
      <w:pPr>
        <w:spacing w:after="0" w:line="164" w:lineRule="exact"/>
        <w:rPr>
          <w:rFonts w:ascii="Arial" w:cs="Arial" w:eastAsia="Arial" w:hAnsi="Arial"/>
          <w:sz w:val="20"/>
          <w:szCs w:val="20"/>
          <w:color w:val="auto"/>
        </w:rPr>
      </w:pPr>
    </w:p>
    <w:p>
      <w:pPr>
        <w:ind w:left="1675" w:hanging="864"/>
        <w:spacing w:after="0"/>
        <w:tabs>
          <w:tab w:leader="none" w:pos="1675"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 Intellectual Property Security Agreement executed by New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358140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535" w:right="239" w:bottom="1440" w:gutter="0" w:footer="0" w:header="0"/>
        </w:sectPr>
      </w:pPr>
    </w:p>
    <w:bookmarkStart w:id="78" w:name="page79"/>
    <w:bookmarkEnd w:id="78"/>
    <w:p>
      <w:pPr>
        <w:jc w:val="both"/>
        <w:ind w:left="-5" w:firstLine="816"/>
        <w:spacing w:after="0" w:line="242" w:lineRule="auto"/>
        <w:tabs>
          <w:tab w:leader="none" w:pos="1651"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certificate from an officer (or another authorized person) of New Borrower certifying as to (i) the names and signatures of each officer or authorized signatories of the New Borrower authorized to execute and deliver this Agreement and all documents executed in connection therewith, (ii) the Organizational Documents (as defined in the Credit Agreement) of New Borrower attached to such certificate are complete and correct copies of such Organizational Documents as in effect on the date of such certification, (iii) the resolutions of New Borrower’s board of directors or other appropriate governing body approving and authorizing the execution, delivery and performance of this Agreement and the other documents executed in connection therewith, and (iv) certificates attesting to the good standing of New Borrower in each applicable jurisdiction, together with, if applicable, related tax certificates;</w:t>
      </w:r>
    </w:p>
    <w:p>
      <w:pPr>
        <w:spacing w:after="0" w:line="170" w:lineRule="exact"/>
        <w:rPr>
          <w:rFonts w:ascii="Arial" w:cs="Arial" w:eastAsia="Arial" w:hAnsi="Arial"/>
          <w:sz w:val="20"/>
          <w:szCs w:val="20"/>
          <w:color w:val="auto"/>
        </w:rPr>
      </w:pPr>
    </w:p>
    <w:p>
      <w:pPr>
        <w:ind w:left="-5" w:firstLine="816"/>
        <w:spacing w:after="0" w:line="260" w:lineRule="auto"/>
        <w:tabs>
          <w:tab w:leader="none" w:pos="1684" w:val="left"/>
        </w:tabs>
        <w:numPr>
          <w:ilvl w:val="1"/>
          <w:numId w:val="45"/>
        </w:numPr>
        <w:rPr>
          <w:rFonts w:ascii="Arial" w:cs="Arial" w:eastAsia="Arial" w:hAnsi="Arial"/>
          <w:sz w:val="20"/>
          <w:szCs w:val="20"/>
          <w:color w:val="auto"/>
        </w:rPr>
      </w:pPr>
      <w:r>
        <w:rPr>
          <w:rFonts w:ascii="Arial" w:cs="Arial" w:eastAsia="Arial" w:hAnsi="Arial"/>
          <w:sz w:val="20"/>
          <w:szCs w:val="20"/>
          <w:color w:val="auto"/>
        </w:rPr>
        <w:t>for the New Borrower, current UCC searches from the Secretary of State of its jurisdiction of organization with results reasonably acceptable to Agent;</w:t>
      </w:r>
    </w:p>
    <w:p>
      <w:pPr>
        <w:spacing w:after="0" w:line="163" w:lineRule="exact"/>
        <w:rPr>
          <w:rFonts w:ascii="Arial" w:cs="Arial" w:eastAsia="Arial" w:hAnsi="Arial"/>
          <w:sz w:val="20"/>
          <w:szCs w:val="20"/>
          <w:color w:val="auto"/>
        </w:rPr>
      </w:pPr>
    </w:p>
    <w:p>
      <w:pPr>
        <w:ind w:left="-5" w:firstLine="816"/>
        <w:spacing w:after="0" w:line="260" w:lineRule="auto"/>
        <w:tabs>
          <w:tab w:leader="none" w:pos="1684" w:val="left"/>
        </w:tabs>
        <w:numPr>
          <w:ilvl w:val="1"/>
          <w:numId w:val="45"/>
        </w:numPr>
        <w:rPr>
          <w:rFonts w:ascii="Arial" w:cs="Arial" w:eastAsia="Arial" w:hAnsi="Arial"/>
          <w:sz w:val="20"/>
          <w:szCs w:val="20"/>
          <w:color w:val="auto"/>
        </w:rPr>
      </w:pPr>
      <w:r>
        <w:rPr>
          <w:rFonts w:ascii="Arial" w:cs="Arial" w:eastAsia="Arial" w:hAnsi="Arial"/>
          <w:sz w:val="20"/>
          <w:szCs w:val="20"/>
          <w:color w:val="auto"/>
        </w:rPr>
        <w:t>Agent shall have received a duly executed legal opinion of New Borrower’s counsel, addressed to Agent and Lenders, addressing matters Agent may reasonably request;</w:t>
      </w:r>
    </w:p>
    <w:p>
      <w:pPr>
        <w:spacing w:after="0" w:line="163" w:lineRule="exact"/>
        <w:rPr>
          <w:rFonts w:ascii="Arial" w:cs="Arial" w:eastAsia="Arial" w:hAnsi="Arial"/>
          <w:sz w:val="20"/>
          <w:szCs w:val="20"/>
          <w:color w:val="auto"/>
        </w:rPr>
      </w:pPr>
    </w:p>
    <w:p>
      <w:pPr>
        <w:jc w:val="both"/>
        <w:ind w:left="-5" w:firstLine="816"/>
        <w:spacing w:after="0" w:line="259" w:lineRule="auto"/>
        <w:tabs>
          <w:tab w:leader="none" w:pos="16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all of the representations and warranties of Borrowers set forth herein and in the other Financing Documents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representations and warranties were true and correct in all material respects (without duplication of any materiality qualifier in the text of such representation or warranty) on and as of such date (and such parties’ delivery of their respective signatures hereto shall be deemed to be its certification thereof);</w:t>
      </w:r>
    </w:p>
    <w:p>
      <w:pPr>
        <w:spacing w:after="0" w:line="151" w:lineRule="exact"/>
        <w:rPr>
          <w:rFonts w:ascii="Arial" w:cs="Arial" w:eastAsia="Arial" w:hAnsi="Arial"/>
          <w:sz w:val="19"/>
          <w:szCs w:val="19"/>
          <w:color w:val="auto"/>
        </w:rPr>
      </w:pPr>
    </w:p>
    <w:p>
      <w:pPr>
        <w:ind w:left="-5" w:firstLine="816"/>
        <w:spacing w:after="0" w:line="260" w:lineRule="auto"/>
        <w:tabs>
          <w:tab w:leader="none" w:pos="16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no Default or Event of Default shall exist under any of the Financing Documents (and such parties’ delivery of their respective signatures hereto shall be deemed to be its certification thereof);</w:t>
      </w:r>
    </w:p>
    <w:p>
      <w:pPr>
        <w:spacing w:after="0" w:line="163" w:lineRule="exact"/>
        <w:rPr>
          <w:rFonts w:ascii="Arial" w:cs="Arial" w:eastAsia="Arial" w:hAnsi="Arial"/>
          <w:sz w:val="20"/>
          <w:szCs w:val="20"/>
          <w:color w:val="auto"/>
        </w:rPr>
      </w:pPr>
    </w:p>
    <w:p>
      <w:pPr>
        <w:jc w:val="both"/>
        <w:ind w:left="-5" w:firstLine="816"/>
        <w:spacing w:after="0" w:line="250" w:lineRule="auto"/>
        <w:tabs>
          <w:tab w:leader="none" w:pos="1684" w:val="left"/>
        </w:tabs>
        <w:numPr>
          <w:ilvl w:val="1"/>
          <w:numId w:val="45"/>
        </w:numPr>
        <w:rPr>
          <w:rFonts w:ascii="Arial" w:cs="Arial" w:eastAsia="Arial" w:hAnsi="Arial"/>
          <w:sz w:val="20"/>
          <w:szCs w:val="20"/>
          <w:color w:val="auto"/>
        </w:rPr>
      </w:pPr>
      <w:r>
        <w:rPr>
          <w:rFonts w:ascii="Arial" w:cs="Arial" w:eastAsia="Arial" w:hAnsi="Arial"/>
          <w:sz w:val="20"/>
          <w:szCs w:val="20"/>
          <w:color w:val="auto"/>
        </w:rPr>
        <w:t>executed copies of all consents and amendments required under the terms of the Horizon Term Loan Credit Agreement in connection with the Aussie Health Acquisition and the Aussie Health Seller Note, in each case, in form and substance reasonably satisfactory to Agent; and</w:t>
      </w:r>
    </w:p>
    <w:p>
      <w:pPr>
        <w:spacing w:after="0" w:line="172" w:lineRule="exact"/>
        <w:rPr>
          <w:rFonts w:ascii="Arial" w:cs="Arial" w:eastAsia="Arial" w:hAnsi="Arial"/>
          <w:sz w:val="20"/>
          <w:szCs w:val="20"/>
          <w:color w:val="auto"/>
        </w:rPr>
      </w:pPr>
    </w:p>
    <w:p>
      <w:pPr>
        <w:jc w:val="both"/>
        <w:ind w:left="-5" w:firstLine="816"/>
        <w:spacing w:after="0" w:line="269" w:lineRule="auto"/>
        <w:tabs>
          <w:tab w:leader="none" w:pos="16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Borrowers shall have delivered such other documents, information, certificates, records, permits, and filings as the Agent may reasonably request, including, without limitation, any agreements, instruments and other documents necessary to ensure that Agent receives a perfected Lien in all of to the extent required by the Credit Agreement.</w:t>
      </w:r>
    </w:p>
    <w:p>
      <w:pPr>
        <w:spacing w:after="0" w:line="137" w:lineRule="exact"/>
        <w:rPr>
          <w:rFonts w:ascii="Arial" w:cs="Arial" w:eastAsia="Arial" w:hAnsi="Arial"/>
          <w:sz w:val="19"/>
          <w:szCs w:val="19"/>
          <w:color w:val="auto"/>
        </w:rPr>
      </w:pPr>
    </w:p>
    <w:p>
      <w:pPr>
        <w:ind w:left="895" w:hanging="895"/>
        <w:spacing w:after="0"/>
        <w:tabs>
          <w:tab w:leader="none" w:pos="895" w:val="left"/>
        </w:tabs>
        <w:numPr>
          <w:ilvl w:val="0"/>
          <w:numId w:val="46"/>
        </w:numPr>
        <w:rPr>
          <w:rFonts w:ascii="Arial" w:cs="Arial" w:eastAsia="Arial" w:hAnsi="Arial"/>
          <w:sz w:val="20"/>
          <w:szCs w:val="20"/>
          <w:color w:val="010000"/>
        </w:rPr>
      </w:pPr>
      <w:r>
        <w:rPr>
          <w:rFonts w:ascii="Arial" w:cs="Arial" w:eastAsia="Arial" w:hAnsi="Arial"/>
          <w:sz w:val="20"/>
          <w:szCs w:val="20"/>
          <w:b w:val="1"/>
          <w:bCs w:val="1"/>
          <w:u w:val="single" w:color="auto"/>
          <w:color w:val="auto"/>
        </w:rPr>
        <w:t>Post-Closing Requirements</w:t>
      </w:r>
      <w:r>
        <w:rPr>
          <w:rFonts w:ascii="Arial" w:cs="Arial" w:eastAsia="Arial" w:hAnsi="Arial"/>
          <w:sz w:val="20"/>
          <w:szCs w:val="20"/>
          <w:color w:val="auto"/>
        </w:rPr>
        <w:t>. New Borrower hereby covenants and agrees that it shall:</w:t>
      </w:r>
    </w:p>
    <w:p>
      <w:pPr>
        <w:spacing w:after="0" w:line="208" w:lineRule="exact"/>
        <w:rPr>
          <w:rFonts w:ascii="Arial" w:cs="Arial" w:eastAsia="Arial" w:hAnsi="Arial"/>
          <w:sz w:val="20"/>
          <w:szCs w:val="20"/>
          <w:color w:val="010000"/>
        </w:rPr>
      </w:pPr>
    </w:p>
    <w:p>
      <w:pPr>
        <w:jc w:val="both"/>
        <w:ind w:left="-885" w:firstLine="1763"/>
        <w:spacing w:after="0" w:line="250" w:lineRule="auto"/>
        <w:tabs>
          <w:tab w:leader="none" w:pos="1738" w:val="left"/>
        </w:tabs>
        <w:numPr>
          <w:ilvl w:val="2"/>
          <w:numId w:val="46"/>
        </w:numPr>
        <w:rPr>
          <w:rFonts w:ascii="Arial" w:cs="Arial" w:eastAsia="Arial" w:hAnsi="Arial"/>
          <w:sz w:val="20"/>
          <w:szCs w:val="20"/>
          <w:color w:val="010000"/>
        </w:rPr>
      </w:pPr>
      <w:r>
        <w:rPr>
          <w:rFonts w:ascii="Arial" w:cs="Arial" w:eastAsia="Arial" w:hAnsi="Arial"/>
          <w:sz w:val="20"/>
          <w:szCs w:val="20"/>
          <w:color w:val="auto"/>
        </w:rPr>
        <w:t>by the date that is thirty (30) days following the date hereof (or such later date as Agent may agree in its sole discretion in writing), provide Agent with insurance certificates and endorsements, naming Agent as additional insured, assignee or lender loss payee, as applicable, as required by Section 4.4 of the Credit Agreement; and</w:t>
      </w:r>
    </w:p>
    <w:p>
      <w:pPr>
        <w:spacing w:after="0" w:line="172" w:lineRule="exact"/>
        <w:rPr>
          <w:rFonts w:ascii="Arial" w:cs="Arial" w:eastAsia="Arial" w:hAnsi="Arial"/>
          <w:sz w:val="20"/>
          <w:szCs w:val="20"/>
          <w:color w:val="010000"/>
        </w:rPr>
      </w:pPr>
    </w:p>
    <w:p>
      <w:pPr>
        <w:jc w:val="both"/>
        <w:ind w:left="-885" w:firstLine="1763"/>
        <w:spacing w:after="0" w:line="243" w:lineRule="auto"/>
        <w:tabs>
          <w:tab w:leader="none" w:pos="1749" w:val="left"/>
        </w:tabs>
        <w:numPr>
          <w:ilvl w:val="2"/>
          <w:numId w:val="46"/>
        </w:numPr>
        <w:rPr>
          <w:rFonts w:ascii="Arial" w:cs="Arial" w:eastAsia="Arial" w:hAnsi="Arial"/>
          <w:sz w:val="20"/>
          <w:szCs w:val="20"/>
          <w:color w:val="010000"/>
        </w:rPr>
      </w:pPr>
      <w:r>
        <w:rPr>
          <w:rFonts w:ascii="Arial" w:cs="Arial" w:eastAsia="Arial" w:hAnsi="Arial"/>
          <w:sz w:val="20"/>
          <w:szCs w:val="20"/>
          <w:color w:val="auto"/>
        </w:rPr>
        <w:t xml:space="preserve">by the date that is thirty (30) days following the date hereof (or such later date as Agent may agree in its sole discretion in writing), provide Agent with fully executed Deposit Account Control Agreements for the deposit accounts of the New Borrower, as and to the extent required by Section 5.14 of the Credit Agreement; </w:t>
      </w:r>
      <w:r>
        <w:rPr>
          <w:rFonts w:ascii="Arial" w:cs="Arial" w:eastAsia="Arial" w:hAnsi="Arial"/>
          <w:sz w:val="20"/>
          <w:szCs w:val="20"/>
          <w:i w:val="1"/>
          <w:iCs w:val="1"/>
          <w:color w:val="auto"/>
        </w:rPr>
        <w:t>provided</w:t>
      </w:r>
      <w:r>
        <w:rPr>
          <w:rFonts w:ascii="Arial" w:cs="Arial" w:eastAsia="Arial" w:hAnsi="Arial"/>
          <w:sz w:val="20"/>
          <w:szCs w:val="20"/>
          <w:color w:val="auto"/>
        </w:rPr>
        <w:t>, that until the New Borrower has provided such Deposit Account Control Agreements or evidence of closure, Borrowers shall not permit the funds held in the New Borrower’s Deposit Accounts to exceed the amount(s) reasonably necessary for New Borrower to maintain solvency, assets, level of income, working capital, or its financial condition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345440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541" w:right="239" w:bottom="1440" w:gutter="0" w:footer="0" w:header="0"/>
        </w:sectPr>
      </w:pPr>
    </w:p>
    <w:bookmarkStart w:id="79" w:name="page80"/>
    <w:bookmarkEnd w:id="79"/>
    <w:p>
      <w:pPr>
        <w:spacing w:after="0" w:line="260" w:lineRule="auto"/>
        <w:rPr>
          <w:sz w:val="20"/>
          <w:szCs w:val="20"/>
          <w:color w:val="auto"/>
        </w:rPr>
      </w:pPr>
      <w:r>
        <w:rPr>
          <w:rFonts w:ascii="Arial" w:cs="Arial" w:eastAsia="Arial" w:hAnsi="Arial"/>
          <w:sz w:val="20"/>
          <w:szCs w:val="20"/>
          <w:color w:val="auto"/>
        </w:rPr>
        <w:t>Credit parties hereby agree that failure to comply with the requirements set forth in Section 10 of this Agreement shall constitute an immediate and automatic Event of Default.</w:t>
      </w:r>
    </w:p>
    <w:p>
      <w:pPr>
        <w:spacing w:after="0" w:line="144" w:lineRule="exact"/>
        <w:rPr>
          <w:sz w:val="20"/>
          <w:szCs w:val="20"/>
          <w:color w:val="auto"/>
        </w:rPr>
      </w:pPr>
    </w:p>
    <w:p>
      <w:pPr>
        <w:jc w:val="both"/>
        <w:ind w:firstLine="885"/>
        <w:spacing w:after="0" w:line="269" w:lineRule="auto"/>
        <w:tabs>
          <w:tab w:leader="none" w:pos="1766" w:val="left"/>
        </w:tabs>
        <w:numPr>
          <w:ilvl w:val="0"/>
          <w:numId w:val="47"/>
        </w:numPr>
        <w:rPr>
          <w:rFonts w:ascii="Arial" w:cs="Arial" w:eastAsia="Arial" w:hAnsi="Arial"/>
          <w:sz w:val="18"/>
          <w:szCs w:val="18"/>
          <w:color w:val="010000"/>
        </w:rPr>
      </w:pPr>
      <w:r>
        <w:rPr>
          <w:rFonts w:ascii="Arial" w:cs="Arial" w:eastAsia="Arial" w:hAnsi="Arial"/>
          <w:sz w:val="18"/>
          <w:szCs w:val="18"/>
          <w:b w:val="1"/>
          <w:bCs w:val="1"/>
          <w:u w:val="single" w:color="auto"/>
          <w:color w:val="auto"/>
        </w:rPr>
        <w:t>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agreements of Agent and Lenders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Arial" w:cs="Arial" w:eastAsia="Arial" w:hAnsi="Arial"/>
          <w:sz w:val="18"/>
          <w:szCs w:val="18"/>
          <w:b w:val="1"/>
          <w:bCs w:val="1"/>
          <w:color w:val="auto"/>
        </w:rPr>
        <w:t>Releasing Parties</w:t>
      </w:r>
      <w:r>
        <w:rPr>
          <w:rFonts w:ascii="Arial" w:cs="Arial" w:eastAsia="Arial" w:hAnsi="Arial"/>
          <w:sz w:val="18"/>
          <w:szCs w:val="18"/>
          <w:color w:val="auto"/>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that relate to, arise out of or otherwise are in connection with: (i) any or all of the Financing Documents or transactions contemplated thereby or any actions or omissions in connection therewith or (ii) any aspect of the dealings or relationships between or among any or all of the Borrowers, on the one hand, and any or all of the Released Parties, on the other hand, relating to any or all of the documents, transactions, actions or omissions referenced in clause (i) hereof. Each Borrower acknowledges that the foregoing release is a material inducement to Agent’s and Lender’s decision to enter into this Agreement and agree to the modifications contemplated hereunder, and has been relied upon by Agent and Lenders in connection therewith.</w:t>
      </w:r>
    </w:p>
    <w:p>
      <w:pPr>
        <w:spacing w:after="0" w:line="161" w:lineRule="exact"/>
        <w:rPr>
          <w:rFonts w:ascii="Arial" w:cs="Arial" w:eastAsia="Arial" w:hAnsi="Arial"/>
          <w:sz w:val="18"/>
          <w:szCs w:val="18"/>
          <w:color w:val="010000"/>
        </w:rPr>
      </w:pPr>
    </w:p>
    <w:p>
      <w:pPr>
        <w:jc w:val="both"/>
        <w:ind w:firstLine="885"/>
        <w:spacing w:after="0" w:line="244" w:lineRule="auto"/>
        <w:tabs>
          <w:tab w:leader="none" w:pos="1773" w:val="left"/>
        </w:tabs>
        <w:numPr>
          <w:ilvl w:val="0"/>
          <w:numId w:val="47"/>
        </w:numPr>
        <w:rPr>
          <w:rFonts w:ascii="Arial" w:cs="Arial" w:eastAsia="Arial" w:hAnsi="Arial"/>
          <w:sz w:val="20"/>
          <w:szCs w:val="20"/>
          <w:color w:val="010000"/>
        </w:rPr>
      </w:pPr>
      <w:r>
        <w:rPr>
          <w:rFonts w:ascii="Arial" w:cs="Arial" w:eastAsia="Arial" w:hAnsi="Arial"/>
          <w:sz w:val="20"/>
          <w:szCs w:val="20"/>
          <w:b w:val="1"/>
          <w:bCs w:val="1"/>
          <w:u w:val="single" w:color="auto"/>
          <w:color w:val="auto"/>
        </w:rPr>
        <w:t>No Waiver or Novation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delivery and effectiveness of this Agreement shall not, except as expressly</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173" w:lineRule="exact"/>
        <w:rPr>
          <w:rFonts w:ascii="Arial" w:cs="Arial" w:eastAsia="Arial" w:hAnsi="Arial"/>
          <w:sz w:val="20"/>
          <w:szCs w:val="20"/>
          <w:color w:val="010000"/>
        </w:rPr>
      </w:pPr>
    </w:p>
    <w:p>
      <w:pPr>
        <w:jc w:val="both"/>
        <w:ind w:firstLine="885"/>
        <w:spacing w:after="0" w:line="257" w:lineRule="auto"/>
        <w:tabs>
          <w:tab w:leader="none" w:pos="1773" w:val="left"/>
        </w:tabs>
        <w:numPr>
          <w:ilvl w:val="0"/>
          <w:numId w:val="47"/>
        </w:numPr>
        <w:rPr>
          <w:rFonts w:ascii="Arial" w:cs="Arial" w:eastAsia="Arial" w:hAnsi="Arial"/>
          <w:sz w:val="19"/>
          <w:szCs w:val="19"/>
          <w:color w:val="010000"/>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No Borrower will disclose the contents of this Agreement, the Credit Agreement or any of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Financing Documents to any third party (other than to such Borrower’s current and prospective direct and indirect financing sources, acquirors and holders of Debt of Credit Parties and the Credit Parties’ direct and indirect equityholders, and its and their respective attorneys, advisors, directors, managers and officers on a need-to-know basis , as otherwise may be required by law or in connection with the resolution of a dispute brought hereunder involving a Credit Party and any of Agent, any Lender, any Participant or in connection with any public or regulatory filing requirement relating to the Financing Documents) without Agent’s prior written consent. Each Borrower agrees to inform all such persons who receive information concerning this Agreement, the Credit Agreement and the other Financing Documents that such information is confidential and may not be disclosed to any other person except as may be required by Law, including to any court or regulatory agency having jurisdiction over such Borrower, any Lender or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80" w:name="page81"/>
    <w:bookmarkEnd w:id="80"/>
    <w:p>
      <w:pPr>
        <w:jc w:val="both"/>
        <w:ind w:firstLine="885"/>
        <w:spacing w:after="0" w:line="260" w:lineRule="auto"/>
        <w:tabs>
          <w:tab w:leader="none" w:pos="1773" w:val="left"/>
        </w:tabs>
        <w:numPr>
          <w:ilvl w:val="0"/>
          <w:numId w:val="48"/>
        </w:numPr>
        <w:rPr>
          <w:rFonts w:ascii="Arial" w:cs="Arial" w:eastAsia="Arial" w:hAnsi="Arial"/>
          <w:sz w:val="19"/>
          <w:szCs w:val="19"/>
          <w:color w:val="010000"/>
        </w:rPr>
      </w:pPr>
      <w:r>
        <w:rPr>
          <w:rFonts w:ascii="Arial" w:cs="Arial" w:eastAsia="Arial" w:hAnsi="Arial"/>
          <w:sz w:val="19"/>
          <w:szCs w:val="19"/>
          <w:b w:val="1"/>
          <w:bCs w:val="1"/>
          <w:u w:val="single" w:color="auto"/>
          <w:color w:val="auto"/>
        </w:rPr>
        <w:t>Affirmation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amended pursuant to the terms hereof, each Borrower hereby acknowledges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the Credit Agreement and all other Financing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spacing w:after="0" w:line="146" w:lineRule="exact"/>
        <w:rPr>
          <w:rFonts w:ascii="Arial" w:cs="Arial" w:eastAsia="Arial" w:hAnsi="Arial"/>
          <w:sz w:val="19"/>
          <w:szCs w:val="19"/>
          <w:color w:val="010000"/>
        </w:rPr>
      </w:pPr>
    </w:p>
    <w:p>
      <w:pPr>
        <w:ind w:left="1780" w:hanging="895"/>
        <w:spacing w:after="0"/>
        <w:tabs>
          <w:tab w:leader="none" w:pos="1780" w:val="left"/>
        </w:tabs>
        <w:numPr>
          <w:ilvl w:val="0"/>
          <w:numId w:val="48"/>
        </w:numPr>
        <w:rPr>
          <w:rFonts w:ascii="Arial" w:cs="Arial" w:eastAsia="Arial" w:hAnsi="Arial"/>
          <w:sz w:val="20"/>
          <w:szCs w:val="20"/>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08" w:lineRule="exact"/>
        <w:rPr>
          <w:rFonts w:ascii="Arial" w:cs="Arial" w:eastAsia="Arial" w:hAnsi="Arial"/>
          <w:sz w:val="20"/>
          <w:szCs w:val="20"/>
          <w:color w:val="010000"/>
        </w:rPr>
      </w:pPr>
    </w:p>
    <w:p>
      <w:pPr>
        <w:jc w:val="both"/>
        <w:ind w:firstLine="1763"/>
        <w:spacing w:after="0" w:line="244" w:lineRule="auto"/>
        <w:tabs>
          <w:tab w:leader="none" w:pos="2623"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Borrower.</w:t>
      </w:r>
    </w:p>
    <w:p>
      <w:pPr>
        <w:spacing w:after="0" w:line="181" w:lineRule="exact"/>
        <w:rPr>
          <w:rFonts w:ascii="Arial" w:cs="Arial" w:eastAsia="Arial" w:hAnsi="Arial"/>
          <w:sz w:val="20"/>
          <w:szCs w:val="20"/>
          <w:color w:val="010000"/>
        </w:rPr>
      </w:pPr>
    </w:p>
    <w:p>
      <w:pPr>
        <w:jc w:val="both"/>
        <w:ind w:firstLine="1763"/>
        <w:spacing w:after="0" w:line="263" w:lineRule="auto"/>
        <w:tabs>
          <w:tab w:leader="none" w:pos="2634" w:val="left"/>
        </w:tabs>
        <w:numPr>
          <w:ilvl w:val="1"/>
          <w:numId w:val="48"/>
        </w:numPr>
        <w:rPr>
          <w:rFonts w:ascii="Arial" w:cs="Arial" w:eastAsia="Arial" w:hAnsi="Arial"/>
          <w:sz w:val="19"/>
          <w:szCs w:val="19"/>
          <w:color w:val="010000"/>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EACH OTHER FINANCING DOCUMENT, AND ALL MATTERS RELATING HERETO OR THERETO OR ARISING THEREFROM (WHETHER SOUNDING IN CONTRACT LAW, TORT LAW OR OTHERWISE), SHALL BE GOVERNED BY, AND SHALL BE CONSTRUED AND ENFORCED IN ACCORDANCE WITH, THE LAWS OF THE STATE OF MARYLAND, WITHOUT REGARD TO CONFLICTS OF LAWS PRINCIPLES.</w:t>
      </w:r>
    </w:p>
    <w:p>
      <w:pPr>
        <w:spacing w:after="0" w:line="149" w:lineRule="exact"/>
        <w:rPr>
          <w:rFonts w:ascii="Arial" w:cs="Arial" w:eastAsia="Arial" w:hAnsi="Arial"/>
          <w:sz w:val="19"/>
          <w:szCs w:val="19"/>
          <w:color w:val="010000"/>
        </w:rPr>
      </w:pPr>
    </w:p>
    <w:p>
      <w:pPr>
        <w:jc w:val="both"/>
        <w:ind w:firstLine="1763"/>
        <w:spacing w:after="0" w:line="250" w:lineRule="auto"/>
        <w:tabs>
          <w:tab w:leader="none" w:pos="2623"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contained in </w:t>
      </w: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(Indemnification), </w:t>
      </w:r>
      <w:r>
        <w:rPr>
          <w:rFonts w:ascii="Arial" w:cs="Arial" w:eastAsia="Arial" w:hAnsi="Arial"/>
          <w:sz w:val="20"/>
          <w:szCs w:val="20"/>
          <w:u w:val="single" w:color="auto"/>
          <w:color w:val="auto"/>
        </w:rPr>
        <w:t>Section 12.8</w:t>
      </w:r>
      <w:r>
        <w:rPr>
          <w:rFonts w:ascii="Arial" w:cs="Arial" w:eastAsia="Arial" w:hAnsi="Arial"/>
          <w:sz w:val="20"/>
          <w:szCs w:val="20"/>
          <w:color w:val="auto"/>
        </w:rPr>
        <w:t xml:space="preserve"> (Submission to Jurisdiction) and </w:t>
      </w:r>
      <w:r>
        <w:rPr>
          <w:rFonts w:ascii="Arial" w:cs="Arial" w:eastAsia="Arial" w:hAnsi="Arial"/>
          <w:sz w:val="20"/>
          <w:szCs w:val="20"/>
          <w:u w:val="single" w:color="auto"/>
          <w:color w:val="auto"/>
        </w:rPr>
        <w:t>Section 12.9</w:t>
      </w:r>
      <w:r>
        <w:rPr>
          <w:rFonts w:ascii="Arial" w:cs="Arial" w:eastAsia="Arial" w:hAnsi="Arial"/>
          <w:sz w:val="20"/>
          <w:szCs w:val="20"/>
          <w:color w:val="auto"/>
        </w:rPr>
        <w:t xml:space="preserve"> (Waiver of Jury Trial) of the Credit Agreement are incorporated herein by reference to the same extent as if reproduced herein in their entirety.</w:t>
      </w:r>
    </w:p>
    <w:p>
      <w:pPr>
        <w:spacing w:after="0" w:line="172" w:lineRule="exact"/>
        <w:rPr>
          <w:rFonts w:ascii="Arial" w:cs="Arial" w:eastAsia="Arial" w:hAnsi="Arial"/>
          <w:sz w:val="20"/>
          <w:szCs w:val="20"/>
          <w:color w:val="010000"/>
        </w:rPr>
      </w:pPr>
    </w:p>
    <w:p>
      <w:pPr>
        <w:ind w:firstLine="1763"/>
        <w:spacing w:after="0" w:line="260" w:lineRule="auto"/>
        <w:tabs>
          <w:tab w:leader="none" w:pos="2634"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63" w:lineRule="exact"/>
        <w:rPr>
          <w:rFonts w:ascii="Arial" w:cs="Arial" w:eastAsia="Arial" w:hAnsi="Arial"/>
          <w:sz w:val="20"/>
          <w:szCs w:val="20"/>
          <w:color w:val="010000"/>
        </w:rPr>
      </w:pPr>
    </w:p>
    <w:p>
      <w:pPr>
        <w:jc w:val="both"/>
        <w:ind w:firstLine="1763"/>
        <w:spacing w:after="0" w:line="263" w:lineRule="auto"/>
        <w:tabs>
          <w:tab w:leader="none" w:pos="2623" w:val="left"/>
        </w:tabs>
        <w:numPr>
          <w:ilvl w:val="1"/>
          <w:numId w:val="48"/>
        </w:numPr>
        <w:rPr>
          <w:rFonts w:ascii="Arial" w:cs="Arial" w:eastAsia="Arial" w:hAnsi="Arial"/>
          <w:sz w:val="19"/>
          <w:szCs w:val="19"/>
          <w:color w:val="010000"/>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49" w:lineRule="exact"/>
        <w:rPr>
          <w:rFonts w:ascii="Arial" w:cs="Arial" w:eastAsia="Arial" w:hAnsi="Arial"/>
          <w:sz w:val="19"/>
          <w:szCs w:val="19"/>
          <w:color w:val="010000"/>
        </w:rPr>
      </w:pPr>
    </w:p>
    <w:p>
      <w:pPr>
        <w:jc w:val="both"/>
        <w:ind w:firstLine="1763"/>
        <w:spacing w:after="0" w:line="250" w:lineRule="auto"/>
        <w:tabs>
          <w:tab w:leader="none" w:pos="2601"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Credit Agreement, as amended hereby, and the other Financing Documents constitute the entire agreement and understanding among the parties hereto and supersedes any and all prior agreements and understandings, oral or written, relating to the subject matter hereof.</w:t>
      </w:r>
    </w:p>
    <w:p>
      <w:pPr>
        <w:spacing w:after="0" w:line="172" w:lineRule="exact"/>
        <w:rPr>
          <w:rFonts w:ascii="Arial" w:cs="Arial" w:eastAsia="Arial" w:hAnsi="Arial"/>
          <w:sz w:val="20"/>
          <w:szCs w:val="20"/>
          <w:color w:val="010000"/>
        </w:rPr>
      </w:pPr>
    </w:p>
    <w:p>
      <w:pPr>
        <w:jc w:val="both"/>
        <w:ind w:firstLine="1763"/>
        <w:spacing w:after="0" w:line="250" w:lineRule="auto"/>
        <w:tabs>
          <w:tab w:leader="none" w:pos="2634" w:val="left"/>
        </w:tabs>
        <w:numPr>
          <w:ilvl w:val="1"/>
          <w:numId w:val="48"/>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2" w:lineRule="exact"/>
        <w:rPr>
          <w:rFonts w:ascii="Arial" w:cs="Arial" w:eastAsia="Arial" w:hAnsi="Arial"/>
          <w:sz w:val="20"/>
          <w:szCs w:val="20"/>
          <w:color w:val="010000"/>
        </w:rPr>
      </w:pPr>
    </w:p>
    <w:p>
      <w:pPr>
        <w:ind w:firstLine="1763"/>
        <w:spacing w:after="0" w:line="287" w:lineRule="auto"/>
        <w:tabs>
          <w:tab w:leader="none" w:pos="2634" w:val="left"/>
        </w:tabs>
        <w:numPr>
          <w:ilvl w:val="1"/>
          <w:numId w:val="48"/>
        </w:numPr>
        <w:rPr>
          <w:rFonts w:ascii="Arial" w:cs="Arial" w:eastAsia="Arial" w:hAnsi="Arial"/>
          <w:sz w:val="19"/>
          <w:szCs w:val="19"/>
          <w:color w:val="010000"/>
        </w:rPr>
      </w:pPr>
      <w:r>
        <w:rPr>
          <w:rFonts w:ascii="Arial" w:cs="Arial" w:eastAsia="Arial" w:hAnsi="Arial"/>
          <w:sz w:val="19"/>
          <w:szCs w:val="19"/>
          <w:u w:val="single" w:color="auto"/>
          <w:color w:val="auto"/>
        </w:rPr>
        <w:t>Successors/Assigns</w:t>
      </w:r>
      <w:r>
        <w:rPr>
          <w:rFonts w:ascii="Arial" w:cs="Arial" w:eastAsia="Arial" w:hAnsi="Arial"/>
          <w:sz w:val="19"/>
          <w:szCs w:val="19"/>
          <w:color w:val="auto"/>
        </w:rPr>
        <w:t>. This Agreement shall bind, and the rights hereunder shall inure to, the respective successors and assigns of the parties hereto, subject to the provisions of the Credit Agreement and the other Financing Documents.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81" w:name="page82"/>
    <w:bookmarkEnd w:id="81"/>
    <w:p>
      <w:pPr>
        <w:ind w:right="20" w:firstLine="877"/>
        <w:spacing w:after="0" w:line="287" w:lineRule="auto"/>
        <w:rPr>
          <w:sz w:val="20"/>
          <w:szCs w:val="20"/>
          <w:color w:val="auto"/>
        </w:rPr>
      </w:pPr>
      <w:r>
        <w:rPr>
          <w:rFonts w:ascii="Arial" w:cs="Arial" w:eastAsia="Arial" w:hAnsi="Arial"/>
          <w:sz w:val="19"/>
          <w:szCs w:val="19"/>
          <w:color w:val="auto"/>
        </w:rPr>
        <w:t>IN WITNESS WHEREOF, intending to be legally bound, and intending that this document constitute an agreement executed under seal, the undersigned have executed this Agreement under seal as of the day and year first hereinabove set forth.</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80" w:type="dxa"/>
            <w:vAlign w:val="bottom"/>
          </w:tcPr>
          <w:p>
            <w:pPr>
              <w:spacing w:after="0"/>
              <w:rPr>
                <w:sz w:val="20"/>
                <w:szCs w:val="20"/>
                <w:color w:val="auto"/>
              </w:rPr>
            </w:pPr>
            <w:r>
              <w:rPr>
                <w:rFonts w:ascii="Arial" w:cs="Arial" w:eastAsia="Arial" w:hAnsi="Arial"/>
                <w:sz w:val="20"/>
                <w:szCs w:val="20"/>
                <w:b w:val="1"/>
                <w:bCs w:val="1"/>
                <w:color w:val="auto"/>
              </w:rPr>
              <w:t>AGENT:</w:t>
            </w:r>
          </w:p>
        </w:tc>
        <w:tc>
          <w:tcPr>
            <w:tcW w:w="7020" w:type="dxa"/>
            <w:vAlign w:val="bottom"/>
            <w:gridSpan w:val="3"/>
          </w:tcPr>
          <w:p>
            <w:pPr>
              <w:ind w:left="2780"/>
              <w:spacing w:after="0"/>
              <w:rPr>
                <w:sz w:val="20"/>
                <w:szCs w:val="20"/>
                <w:color w:val="auto"/>
              </w:rPr>
            </w:pPr>
            <w:r>
              <w:rPr>
                <w:rFonts w:ascii="Arial" w:cs="Arial" w:eastAsia="Arial" w:hAnsi="Arial"/>
                <w:sz w:val="20"/>
                <w:szCs w:val="20"/>
                <w:b w:val="1"/>
                <w:bCs w:val="1"/>
                <w:color w:val="auto"/>
              </w:rPr>
              <w:t>MIDCAP FUNDING IV TRUST</w:t>
            </w: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38"/>
        </w:trPr>
        <w:tc>
          <w:tcPr>
            <w:tcW w:w="2480" w:type="dxa"/>
            <w:vAlign w:val="bottom"/>
          </w:tcPr>
          <w:p>
            <w:pPr>
              <w:spacing w:after="0"/>
              <w:rPr>
                <w:sz w:val="24"/>
                <w:szCs w:val="24"/>
                <w:color w:val="auto"/>
              </w:rPr>
            </w:pPr>
          </w:p>
        </w:tc>
        <w:tc>
          <w:tcPr>
            <w:tcW w:w="7020" w:type="dxa"/>
            <w:vAlign w:val="bottom"/>
            <w:gridSpan w:val="3"/>
          </w:tcPr>
          <w:p>
            <w:pPr>
              <w:ind w:left="2780"/>
              <w:spacing w:after="0"/>
              <w:rPr>
                <w:sz w:val="20"/>
                <w:szCs w:val="20"/>
                <w:color w:val="auto"/>
              </w:rPr>
            </w:pPr>
            <w:r>
              <w:rPr>
                <w:rFonts w:ascii="Arial" w:cs="Arial" w:eastAsia="Arial" w:hAnsi="Arial"/>
                <w:sz w:val="20"/>
                <w:szCs w:val="20"/>
                <w:color w:val="auto"/>
              </w:rPr>
              <w:t>By:  Apollo Capital Management, L.P.,</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480" w:type="dxa"/>
            <w:vAlign w:val="bottom"/>
          </w:tcPr>
          <w:p>
            <w:pPr>
              <w:spacing w:after="0"/>
              <w:rPr>
                <w:sz w:val="21"/>
                <w:szCs w:val="21"/>
                <w:color w:val="auto"/>
              </w:rPr>
            </w:pPr>
          </w:p>
        </w:tc>
        <w:tc>
          <w:tcPr>
            <w:tcW w:w="7020" w:type="dxa"/>
            <w:vAlign w:val="bottom"/>
            <w:gridSpan w:val="3"/>
          </w:tcPr>
          <w:p>
            <w:pPr>
              <w:ind w:left="3220"/>
              <w:spacing w:after="0"/>
              <w:rPr>
                <w:sz w:val="20"/>
                <w:szCs w:val="20"/>
                <w:color w:val="auto"/>
              </w:rPr>
            </w:pPr>
            <w:r>
              <w:rPr>
                <w:rFonts w:ascii="Arial" w:cs="Arial" w:eastAsia="Arial" w:hAnsi="Arial"/>
                <w:sz w:val="20"/>
                <w:szCs w:val="20"/>
                <w:color w:val="auto"/>
              </w:rPr>
              <w:t>its investment manager</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8"/>
        </w:trPr>
        <w:tc>
          <w:tcPr>
            <w:tcW w:w="2480" w:type="dxa"/>
            <w:vAlign w:val="bottom"/>
          </w:tcPr>
          <w:p>
            <w:pPr>
              <w:spacing w:after="0"/>
              <w:rPr>
                <w:sz w:val="24"/>
                <w:szCs w:val="24"/>
                <w:color w:val="auto"/>
              </w:rPr>
            </w:pPr>
          </w:p>
        </w:tc>
        <w:tc>
          <w:tcPr>
            <w:tcW w:w="7020" w:type="dxa"/>
            <w:vAlign w:val="bottom"/>
            <w:gridSpan w:val="3"/>
          </w:tcPr>
          <w:p>
            <w:pPr>
              <w:ind w:left="2780"/>
              <w:spacing w:after="0"/>
              <w:rPr>
                <w:sz w:val="20"/>
                <w:szCs w:val="20"/>
                <w:color w:val="auto"/>
              </w:rPr>
            </w:pPr>
            <w:r>
              <w:rPr>
                <w:rFonts w:ascii="Arial" w:cs="Arial" w:eastAsia="Arial" w:hAnsi="Arial"/>
                <w:sz w:val="20"/>
                <w:szCs w:val="20"/>
                <w:color w:val="auto"/>
              </w:rPr>
              <w:t>By:  Apollo Capital Management GP, LLC,</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480" w:type="dxa"/>
            <w:vAlign w:val="bottom"/>
          </w:tcPr>
          <w:p>
            <w:pPr>
              <w:spacing w:after="0"/>
              <w:rPr>
                <w:sz w:val="21"/>
                <w:szCs w:val="21"/>
                <w:color w:val="auto"/>
              </w:rPr>
            </w:pPr>
          </w:p>
        </w:tc>
        <w:tc>
          <w:tcPr>
            <w:tcW w:w="7020" w:type="dxa"/>
            <w:vAlign w:val="bottom"/>
            <w:gridSpan w:val="3"/>
          </w:tcPr>
          <w:p>
            <w:pPr>
              <w:ind w:left="3220"/>
              <w:spacing w:after="0"/>
              <w:rPr>
                <w:sz w:val="20"/>
                <w:szCs w:val="20"/>
                <w:color w:val="auto"/>
              </w:rPr>
            </w:pPr>
            <w:r>
              <w:rPr>
                <w:rFonts w:ascii="Arial" w:cs="Arial" w:eastAsia="Arial" w:hAnsi="Arial"/>
                <w:sz w:val="20"/>
                <w:szCs w:val="20"/>
                <w:color w:val="auto"/>
              </w:rPr>
              <w:t>its general partner</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85"/>
        </w:trPr>
        <w:tc>
          <w:tcPr>
            <w:tcW w:w="2480" w:type="dxa"/>
            <w:vAlign w:val="bottom"/>
          </w:tcPr>
          <w:p>
            <w:pPr>
              <w:spacing w:after="0"/>
              <w:rPr>
                <w:sz w:val="24"/>
                <w:szCs w:val="24"/>
                <w:color w:val="auto"/>
              </w:rPr>
            </w:pPr>
          </w:p>
        </w:tc>
        <w:tc>
          <w:tcPr>
            <w:tcW w:w="7020" w:type="dxa"/>
            <w:vAlign w:val="bottom"/>
            <w:gridSpan w:val="3"/>
          </w:tcPr>
          <w:p>
            <w:pPr>
              <w:ind w:left="3220"/>
              <w:spacing w:after="0"/>
              <w:rPr>
                <w:sz w:val="20"/>
                <w:szCs w:val="20"/>
                <w:color w:val="auto"/>
              </w:rPr>
            </w:pPr>
            <w:r>
              <w:rPr>
                <w:rFonts w:ascii="Arial" w:cs="Arial" w:eastAsia="Arial" w:hAnsi="Arial"/>
                <w:sz w:val="20"/>
                <w:szCs w:val="20"/>
                <w:color w:val="auto"/>
              </w:rPr>
              <w:t>By: /s/ Maurice Amsellem</w:t>
            </w:r>
          </w:p>
        </w:tc>
        <w:tc>
          <w:tcPr>
            <w:tcW w:w="1920" w:type="dxa"/>
            <w:vAlign w:val="bottom"/>
          </w:tcPr>
          <w:p>
            <w:pPr>
              <w:ind w:left="760"/>
              <w:spacing w:after="0"/>
              <w:rPr>
                <w:sz w:val="20"/>
                <w:szCs w:val="20"/>
                <w:color w:val="auto"/>
              </w:rPr>
            </w:pPr>
            <w:r>
              <w:rPr>
                <w:rFonts w:ascii="Arial" w:cs="Arial" w:eastAsia="Arial" w:hAnsi="Arial"/>
                <w:sz w:val="20"/>
                <w:szCs w:val="20"/>
                <w:color w:val="auto"/>
              </w:rPr>
              <w:t>(SEAL)</w:t>
            </w:r>
          </w:p>
        </w:tc>
        <w:tc>
          <w:tcPr>
            <w:tcW w:w="20" w:type="dxa"/>
            <w:vAlign w:val="bottom"/>
          </w:tcPr>
          <w:p>
            <w:pPr>
              <w:spacing w:after="0"/>
              <w:rPr>
                <w:sz w:val="24"/>
                <w:szCs w:val="24"/>
                <w:color w:val="auto"/>
              </w:rPr>
            </w:pPr>
          </w:p>
        </w:tc>
      </w:tr>
      <w:tr>
        <w:trPr>
          <w:trHeight w:val="206"/>
        </w:trPr>
        <w:tc>
          <w:tcPr>
            <w:tcW w:w="24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20" w:type="dxa"/>
            <w:vAlign w:val="bottom"/>
            <w:tcBorders>
              <w:top w:val="single" w:sz="8" w:color="auto"/>
            </w:tcBorders>
          </w:tcPr>
          <w:p>
            <w:pPr>
              <w:jc w:val="center"/>
              <w:ind w:right="1221"/>
              <w:spacing w:after="0" w:line="207" w:lineRule="exact"/>
              <w:rPr>
                <w:sz w:val="20"/>
                <w:szCs w:val="20"/>
                <w:color w:val="auto"/>
              </w:rPr>
            </w:pPr>
            <w:r>
              <w:rPr>
                <w:rFonts w:ascii="Arial" w:cs="Arial" w:eastAsia="Arial" w:hAnsi="Arial"/>
                <w:sz w:val="20"/>
                <w:szCs w:val="20"/>
                <w:color w:val="auto"/>
                <w:w w:val="91"/>
              </w:rPr>
              <w:t>Name: Maurice Amsellem</w:t>
            </w:r>
          </w:p>
        </w:tc>
        <w:tc>
          <w:tcPr>
            <w:tcW w:w="1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4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20" w:type="dxa"/>
            <w:vAlign w:val="bottom"/>
          </w:tcPr>
          <w:p>
            <w:pPr>
              <w:jc w:val="center"/>
              <w:ind w:right="1141"/>
              <w:spacing w:after="0"/>
              <w:rPr>
                <w:sz w:val="20"/>
                <w:szCs w:val="20"/>
                <w:color w:val="auto"/>
              </w:rPr>
            </w:pPr>
            <w:r>
              <w:rPr>
                <w:rFonts w:ascii="Arial" w:cs="Arial" w:eastAsia="Arial" w:hAnsi="Arial"/>
                <w:sz w:val="20"/>
                <w:szCs w:val="20"/>
                <w:color w:val="auto"/>
                <w:w w:val="92"/>
              </w:rPr>
              <w:t>Title: Authorized Signatory</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89"/>
        </w:trPr>
        <w:tc>
          <w:tcPr>
            <w:tcW w:w="2480" w:type="dxa"/>
            <w:vAlign w:val="bottom"/>
          </w:tcPr>
          <w:p>
            <w:pPr>
              <w:spacing w:after="0"/>
              <w:rPr>
                <w:sz w:val="20"/>
                <w:szCs w:val="20"/>
                <w:color w:val="auto"/>
              </w:rPr>
            </w:pPr>
            <w:r>
              <w:rPr>
                <w:rFonts w:ascii="Arial" w:cs="Arial" w:eastAsia="Arial" w:hAnsi="Arial"/>
                <w:sz w:val="20"/>
                <w:szCs w:val="20"/>
                <w:b w:val="1"/>
                <w:bCs w:val="1"/>
                <w:color w:val="auto"/>
              </w:rPr>
              <w:t>LENDER:</w:t>
            </w:r>
          </w:p>
        </w:tc>
        <w:tc>
          <w:tcPr>
            <w:tcW w:w="7020" w:type="dxa"/>
            <w:vAlign w:val="bottom"/>
            <w:gridSpan w:val="3"/>
          </w:tcPr>
          <w:p>
            <w:pPr>
              <w:ind w:left="2760"/>
              <w:spacing w:after="0"/>
              <w:rPr>
                <w:sz w:val="20"/>
                <w:szCs w:val="20"/>
                <w:color w:val="auto"/>
              </w:rPr>
            </w:pPr>
            <w:r>
              <w:rPr>
                <w:rFonts w:ascii="Arial" w:cs="Arial" w:eastAsia="Arial" w:hAnsi="Arial"/>
                <w:sz w:val="20"/>
                <w:szCs w:val="20"/>
                <w:b w:val="1"/>
                <w:bCs w:val="1"/>
                <w:color w:val="auto"/>
              </w:rPr>
              <w:t>MIDCAP FUNDING IV TRUST</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8"/>
        </w:trPr>
        <w:tc>
          <w:tcPr>
            <w:tcW w:w="2480" w:type="dxa"/>
            <w:vAlign w:val="bottom"/>
          </w:tcPr>
          <w:p>
            <w:pPr>
              <w:spacing w:after="0"/>
              <w:rPr>
                <w:sz w:val="24"/>
                <w:szCs w:val="24"/>
                <w:color w:val="auto"/>
              </w:rPr>
            </w:pPr>
          </w:p>
        </w:tc>
        <w:tc>
          <w:tcPr>
            <w:tcW w:w="7020" w:type="dxa"/>
            <w:vAlign w:val="bottom"/>
            <w:gridSpan w:val="3"/>
          </w:tcPr>
          <w:p>
            <w:pPr>
              <w:ind w:left="2760"/>
              <w:spacing w:after="0"/>
              <w:rPr>
                <w:sz w:val="20"/>
                <w:szCs w:val="20"/>
                <w:color w:val="auto"/>
              </w:rPr>
            </w:pPr>
            <w:r>
              <w:rPr>
                <w:rFonts w:ascii="Arial" w:cs="Arial" w:eastAsia="Arial" w:hAnsi="Arial"/>
                <w:sz w:val="20"/>
                <w:szCs w:val="20"/>
                <w:color w:val="auto"/>
              </w:rPr>
              <w:t>By:  Apollo Capital Management, L.P.,</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480" w:type="dxa"/>
            <w:vAlign w:val="bottom"/>
          </w:tcPr>
          <w:p>
            <w:pPr>
              <w:spacing w:after="0"/>
              <w:rPr>
                <w:sz w:val="21"/>
                <w:szCs w:val="21"/>
                <w:color w:val="auto"/>
              </w:rPr>
            </w:pPr>
          </w:p>
        </w:tc>
        <w:tc>
          <w:tcPr>
            <w:tcW w:w="7020" w:type="dxa"/>
            <w:vAlign w:val="bottom"/>
            <w:gridSpan w:val="3"/>
          </w:tcPr>
          <w:p>
            <w:pPr>
              <w:ind w:left="3180"/>
              <w:spacing w:after="0"/>
              <w:rPr>
                <w:sz w:val="20"/>
                <w:szCs w:val="20"/>
                <w:color w:val="auto"/>
              </w:rPr>
            </w:pPr>
            <w:r>
              <w:rPr>
                <w:rFonts w:ascii="Arial" w:cs="Arial" w:eastAsia="Arial" w:hAnsi="Arial"/>
                <w:sz w:val="20"/>
                <w:szCs w:val="20"/>
                <w:color w:val="auto"/>
              </w:rPr>
              <w:t>its investment manager</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8"/>
        </w:trPr>
        <w:tc>
          <w:tcPr>
            <w:tcW w:w="2480" w:type="dxa"/>
            <w:vAlign w:val="bottom"/>
          </w:tcPr>
          <w:p>
            <w:pPr>
              <w:spacing w:after="0"/>
              <w:rPr>
                <w:sz w:val="24"/>
                <w:szCs w:val="24"/>
                <w:color w:val="auto"/>
              </w:rPr>
            </w:pPr>
          </w:p>
        </w:tc>
        <w:tc>
          <w:tcPr>
            <w:tcW w:w="7020" w:type="dxa"/>
            <w:vAlign w:val="bottom"/>
            <w:gridSpan w:val="3"/>
          </w:tcPr>
          <w:p>
            <w:pPr>
              <w:ind w:left="2760"/>
              <w:spacing w:after="0"/>
              <w:rPr>
                <w:sz w:val="20"/>
                <w:szCs w:val="20"/>
                <w:color w:val="auto"/>
              </w:rPr>
            </w:pPr>
            <w:r>
              <w:rPr>
                <w:rFonts w:ascii="Arial" w:cs="Arial" w:eastAsia="Arial" w:hAnsi="Arial"/>
                <w:sz w:val="20"/>
                <w:szCs w:val="20"/>
                <w:color w:val="auto"/>
              </w:rPr>
              <w:t>By:  Apollo Capital Management GP, LLC,</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480" w:type="dxa"/>
            <w:vAlign w:val="bottom"/>
          </w:tcPr>
          <w:p>
            <w:pPr>
              <w:spacing w:after="0"/>
              <w:rPr>
                <w:sz w:val="21"/>
                <w:szCs w:val="21"/>
                <w:color w:val="auto"/>
              </w:rPr>
            </w:pPr>
          </w:p>
        </w:tc>
        <w:tc>
          <w:tcPr>
            <w:tcW w:w="7020" w:type="dxa"/>
            <w:vAlign w:val="bottom"/>
            <w:gridSpan w:val="3"/>
          </w:tcPr>
          <w:p>
            <w:pPr>
              <w:ind w:left="3180"/>
              <w:spacing w:after="0"/>
              <w:rPr>
                <w:sz w:val="20"/>
                <w:szCs w:val="20"/>
                <w:color w:val="auto"/>
              </w:rPr>
            </w:pPr>
            <w:r>
              <w:rPr>
                <w:rFonts w:ascii="Arial" w:cs="Arial" w:eastAsia="Arial" w:hAnsi="Arial"/>
                <w:sz w:val="20"/>
                <w:szCs w:val="20"/>
                <w:color w:val="auto"/>
              </w:rPr>
              <w:t>its general partner</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85"/>
        </w:trPr>
        <w:tc>
          <w:tcPr>
            <w:tcW w:w="2480" w:type="dxa"/>
            <w:vAlign w:val="bottom"/>
          </w:tcPr>
          <w:p>
            <w:pPr>
              <w:spacing w:after="0"/>
              <w:rPr>
                <w:sz w:val="24"/>
                <w:szCs w:val="24"/>
                <w:color w:val="auto"/>
              </w:rPr>
            </w:pPr>
          </w:p>
        </w:tc>
        <w:tc>
          <w:tcPr>
            <w:tcW w:w="7020" w:type="dxa"/>
            <w:vAlign w:val="bottom"/>
            <w:gridSpan w:val="3"/>
          </w:tcPr>
          <w:p>
            <w:pPr>
              <w:ind w:left="3180"/>
              <w:spacing w:after="0"/>
              <w:rPr>
                <w:sz w:val="20"/>
                <w:szCs w:val="20"/>
                <w:color w:val="auto"/>
              </w:rPr>
            </w:pPr>
            <w:r>
              <w:rPr>
                <w:rFonts w:ascii="Arial" w:cs="Arial" w:eastAsia="Arial" w:hAnsi="Arial"/>
                <w:sz w:val="20"/>
                <w:szCs w:val="20"/>
                <w:color w:val="auto"/>
              </w:rPr>
              <w:t>By: /s/ Maurice Amsellem</w:t>
            </w:r>
          </w:p>
        </w:tc>
        <w:tc>
          <w:tcPr>
            <w:tcW w:w="1920" w:type="dxa"/>
            <w:vAlign w:val="bottom"/>
          </w:tcPr>
          <w:p>
            <w:pPr>
              <w:ind w:left="820"/>
              <w:spacing w:after="0"/>
              <w:rPr>
                <w:sz w:val="20"/>
                <w:szCs w:val="20"/>
                <w:color w:val="auto"/>
              </w:rPr>
            </w:pPr>
            <w:r>
              <w:rPr>
                <w:rFonts w:ascii="Arial" w:cs="Arial" w:eastAsia="Arial" w:hAnsi="Arial"/>
                <w:sz w:val="20"/>
                <w:szCs w:val="20"/>
                <w:color w:val="auto"/>
              </w:rPr>
              <w:t>(SEAL)</w:t>
            </w:r>
          </w:p>
        </w:tc>
        <w:tc>
          <w:tcPr>
            <w:tcW w:w="20" w:type="dxa"/>
            <w:vAlign w:val="bottom"/>
          </w:tcPr>
          <w:p>
            <w:pPr>
              <w:spacing w:after="0"/>
              <w:rPr>
                <w:sz w:val="24"/>
                <w:szCs w:val="24"/>
                <w:color w:val="auto"/>
              </w:rPr>
            </w:pPr>
          </w:p>
        </w:tc>
      </w:tr>
      <w:tr>
        <w:trPr>
          <w:trHeight w:val="206"/>
        </w:trPr>
        <w:tc>
          <w:tcPr>
            <w:tcW w:w="24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6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20"/>
                <w:szCs w:val="20"/>
                <w:color w:val="auto"/>
              </w:rPr>
              <w:t>Name: Maurice Amsellem</w:t>
            </w:r>
          </w:p>
        </w:tc>
        <w:tc>
          <w:tcPr>
            <w:tcW w:w="1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4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460" w:type="dxa"/>
            <w:vAlign w:val="bottom"/>
            <w:gridSpan w:val="2"/>
          </w:tcPr>
          <w:p>
            <w:pPr>
              <w:jc w:val="center"/>
              <w:ind w:right="1181"/>
              <w:spacing w:after="0"/>
              <w:rPr>
                <w:sz w:val="20"/>
                <w:szCs w:val="20"/>
                <w:color w:val="auto"/>
              </w:rPr>
            </w:pPr>
            <w:r>
              <w:rPr>
                <w:rFonts w:ascii="Arial" w:cs="Arial" w:eastAsia="Arial" w:hAnsi="Arial"/>
                <w:sz w:val="20"/>
                <w:szCs w:val="20"/>
                <w:color w:val="auto"/>
                <w:w w:val="92"/>
              </w:rPr>
              <w:t>Title: Authorized Signatory</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59"/>
        </w:trPr>
        <w:tc>
          <w:tcPr>
            <w:tcW w:w="2480" w:type="dxa"/>
            <w:vAlign w:val="bottom"/>
          </w:tcPr>
          <w:p>
            <w:pPr>
              <w:spacing w:after="0"/>
              <w:rPr>
                <w:sz w:val="24"/>
                <w:szCs w:val="24"/>
                <w:color w:val="auto"/>
              </w:rPr>
            </w:pPr>
          </w:p>
        </w:tc>
        <w:tc>
          <w:tcPr>
            <w:tcW w:w="7020" w:type="dxa"/>
            <w:vAlign w:val="bottom"/>
            <w:gridSpan w:val="3"/>
          </w:tcPr>
          <w:p>
            <w:pPr>
              <w:ind w:left="1600"/>
              <w:spacing w:after="0"/>
              <w:rPr>
                <w:sz w:val="20"/>
                <w:szCs w:val="20"/>
                <w:color w:val="auto"/>
              </w:rPr>
            </w:pPr>
            <w:r>
              <w:rPr>
                <w:rFonts w:ascii="Arial" w:cs="Arial" w:eastAsia="Arial" w:hAnsi="Arial"/>
                <w:sz w:val="20"/>
                <w:szCs w:val="20"/>
                <w:color w:val="auto"/>
              </w:rPr>
              <w:t>[Signatures Continue on Following Page]</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0"/>
        </w:trPr>
        <w:tc>
          <w:tcPr>
            <w:tcW w:w="248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6"/>
        </w:trPr>
        <w:tc>
          <w:tcPr>
            <w:tcW w:w="3840" w:type="dxa"/>
            <w:vAlign w:val="bottom"/>
          </w:tcPr>
          <w:p>
            <w:pPr>
              <w:spacing w:after="0"/>
              <w:rPr>
                <w:sz w:val="20"/>
                <w:szCs w:val="20"/>
                <w:color w:val="auto"/>
              </w:rPr>
            </w:pPr>
            <w:r>
              <w:rPr>
                <w:rFonts w:ascii="Arial" w:cs="Arial" w:eastAsia="Arial" w:hAnsi="Arial"/>
                <w:sz w:val="20"/>
                <w:szCs w:val="20"/>
                <w:b w:val="1"/>
                <w:bCs w:val="1"/>
                <w:color w:val="auto"/>
              </w:rPr>
              <w:t>ORIGINAL BORROWERS:</w:t>
            </w: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MOHAWK GROUP HOLDINGS, INC.</w:t>
            </w:r>
          </w:p>
        </w:tc>
        <w:tc>
          <w:tcPr>
            <w:tcW w:w="680" w:type="dxa"/>
            <w:vAlign w:val="bottom"/>
          </w:tcPr>
          <w:p>
            <w:pPr>
              <w:spacing w:after="0"/>
              <w:rPr>
                <w:sz w:val="20"/>
                <w:szCs w:val="20"/>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MOHAWK GROUP, INC.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XTAVA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SUNLABZ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RIF6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VREMI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HOMELABS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VIDAZEN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URBAN SOURCE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ZEPHYRBEAUTY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DISCOCART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VUETI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PUNCHED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SWEETHOMEDEALZ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KITCHENVOX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EXORIDER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KINETIC WAVE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3GIRLSFROMNY LLC</w:t>
            </w:r>
          </w:p>
        </w:tc>
        <w:tc>
          <w:tcPr>
            <w:tcW w:w="68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CHICALLEY LLC</w:t>
            </w:r>
          </w:p>
        </w:tc>
        <w:tc>
          <w:tcPr>
            <w:tcW w:w="680" w:type="dxa"/>
            <w:vAlign w:val="bottom"/>
          </w:tcPr>
          <w:p>
            <w:pPr>
              <w:spacing w:after="0"/>
              <w:rPr>
                <w:sz w:val="19"/>
                <w:szCs w:val="19"/>
                <w:color w:val="auto"/>
              </w:rPr>
            </w:pPr>
          </w:p>
        </w:tc>
      </w:tr>
      <w:tr>
        <w:trPr>
          <w:trHeight w:val="250"/>
        </w:trPr>
        <w:tc>
          <w:tcPr>
            <w:tcW w:w="3840" w:type="dxa"/>
            <w:vAlign w:val="bottom"/>
          </w:tcPr>
          <w:p>
            <w:pPr>
              <w:spacing w:after="0"/>
              <w:rPr>
                <w:sz w:val="21"/>
                <w:szCs w:val="21"/>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BOXWHALE, LLC</w:t>
            </w:r>
          </w:p>
        </w:tc>
        <w:tc>
          <w:tcPr>
            <w:tcW w:w="680" w:type="dxa"/>
            <w:vAlign w:val="bottom"/>
          </w:tcPr>
          <w:p>
            <w:pPr>
              <w:spacing w:after="0"/>
              <w:rPr>
                <w:sz w:val="21"/>
                <w:szCs w:val="21"/>
                <w:color w:val="auto"/>
              </w:rPr>
            </w:pPr>
          </w:p>
        </w:tc>
      </w:tr>
      <w:tr>
        <w:trPr>
          <w:trHeight w:val="455"/>
        </w:trPr>
        <w:tc>
          <w:tcPr>
            <w:tcW w:w="3840" w:type="dxa"/>
            <w:vAlign w:val="bottom"/>
          </w:tcPr>
          <w:p>
            <w:pPr>
              <w:spacing w:after="0"/>
              <w:rPr>
                <w:sz w:val="24"/>
                <w:szCs w:val="24"/>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By:  /s/ Yaniv Sarig</w:t>
            </w:r>
          </w:p>
        </w:tc>
        <w:tc>
          <w:tcPr>
            <w:tcW w:w="680" w:type="dxa"/>
            <w:vAlign w:val="bottom"/>
          </w:tcPr>
          <w:p>
            <w:pPr>
              <w:ind w:left="40"/>
              <w:spacing w:after="0"/>
              <w:rPr>
                <w:sz w:val="20"/>
                <w:szCs w:val="20"/>
                <w:color w:val="auto"/>
              </w:rPr>
            </w:pPr>
            <w:r>
              <w:rPr>
                <w:rFonts w:ascii="Arial" w:cs="Arial" w:eastAsia="Arial" w:hAnsi="Arial"/>
                <w:sz w:val="20"/>
                <w:szCs w:val="20"/>
                <w:color w:val="auto"/>
                <w:w w:val="96"/>
              </w:rPr>
              <w:t>(SEAL)</w:t>
            </w:r>
          </w:p>
        </w:tc>
      </w:tr>
      <w:tr>
        <w:trPr>
          <w:trHeight w:val="206"/>
        </w:trPr>
        <w:tc>
          <w:tcPr>
            <w:tcW w:w="3840" w:type="dxa"/>
            <w:vAlign w:val="bottom"/>
          </w:tcPr>
          <w:p>
            <w:pPr>
              <w:spacing w:after="0"/>
              <w:rPr>
                <w:sz w:val="17"/>
                <w:szCs w:val="17"/>
                <w:color w:val="auto"/>
              </w:rPr>
            </w:pPr>
          </w:p>
        </w:tc>
        <w:tc>
          <w:tcPr>
            <w:tcW w:w="1820" w:type="dxa"/>
            <w:vAlign w:val="bottom"/>
          </w:tcPr>
          <w:p>
            <w:pPr>
              <w:ind w:left="1400"/>
              <w:spacing w:after="0" w:line="206" w:lineRule="exact"/>
              <w:rPr>
                <w:sz w:val="20"/>
                <w:szCs w:val="20"/>
                <w:color w:val="auto"/>
              </w:rPr>
            </w:pPr>
            <w:r>
              <w:rPr>
                <w:rFonts w:ascii="Arial" w:cs="Arial" w:eastAsia="Arial" w:hAnsi="Arial"/>
                <w:sz w:val="19"/>
                <w:szCs w:val="19"/>
                <w:color w:val="auto"/>
                <w:w w:val="71"/>
              </w:rPr>
              <w:t>Name:</w:t>
            </w:r>
          </w:p>
        </w:tc>
        <w:tc>
          <w:tcPr>
            <w:tcW w:w="4580" w:type="dxa"/>
            <w:vAlign w:val="bottom"/>
            <w:tcBorders>
              <w:top w:val="single" w:sz="8" w:color="auto"/>
            </w:tcBorders>
          </w:tcPr>
          <w:p>
            <w:pPr>
              <w:ind w:left="200"/>
              <w:spacing w:after="0" w:line="207" w:lineRule="exact"/>
              <w:rPr>
                <w:sz w:val="20"/>
                <w:szCs w:val="20"/>
                <w:color w:val="auto"/>
              </w:rPr>
            </w:pPr>
            <w:r>
              <w:rPr>
                <w:rFonts w:ascii="Arial" w:cs="Arial" w:eastAsia="Arial" w:hAnsi="Arial"/>
                <w:sz w:val="20"/>
                <w:szCs w:val="20"/>
                <w:color w:val="auto"/>
              </w:rPr>
              <w:t>Yaniv Sarig</w:t>
            </w:r>
          </w:p>
        </w:tc>
        <w:tc>
          <w:tcPr>
            <w:tcW w:w="680" w:type="dxa"/>
            <w:vAlign w:val="bottom"/>
          </w:tcPr>
          <w:p>
            <w:pPr>
              <w:spacing w:after="0"/>
              <w:rPr>
                <w:sz w:val="17"/>
                <w:szCs w:val="17"/>
                <w:color w:val="auto"/>
              </w:rPr>
            </w:pPr>
          </w:p>
        </w:tc>
      </w:tr>
      <w:tr>
        <w:trPr>
          <w:trHeight w:val="250"/>
        </w:trPr>
        <w:tc>
          <w:tcPr>
            <w:tcW w:w="3840" w:type="dxa"/>
            <w:vAlign w:val="bottom"/>
          </w:tcPr>
          <w:p>
            <w:pPr>
              <w:spacing w:after="0"/>
              <w:rPr>
                <w:sz w:val="21"/>
                <w:szCs w:val="21"/>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Title: Chief Executive Officer</w:t>
            </w:r>
          </w:p>
        </w:tc>
        <w:tc>
          <w:tcPr>
            <w:tcW w:w="680" w:type="dxa"/>
            <w:vAlign w:val="bottom"/>
          </w:tcPr>
          <w:p>
            <w:pPr>
              <w:spacing w:after="0"/>
              <w:rPr>
                <w:sz w:val="21"/>
                <w:szCs w:val="21"/>
                <w:color w:val="auto"/>
              </w:rPr>
            </w:pPr>
          </w:p>
        </w:tc>
      </w:tr>
      <w:tr>
        <w:trPr>
          <w:trHeight w:val="689"/>
        </w:trPr>
        <w:tc>
          <w:tcPr>
            <w:tcW w:w="3840" w:type="dxa"/>
            <w:vAlign w:val="bottom"/>
          </w:tcPr>
          <w:p>
            <w:pPr>
              <w:spacing w:after="0"/>
              <w:rPr>
                <w:sz w:val="20"/>
                <w:szCs w:val="20"/>
                <w:color w:val="auto"/>
              </w:rPr>
            </w:pPr>
            <w:r>
              <w:rPr>
                <w:rFonts w:ascii="Arial" w:cs="Arial" w:eastAsia="Arial" w:hAnsi="Arial"/>
                <w:sz w:val="20"/>
                <w:szCs w:val="20"/>
                <w:b w:val="1"/>
                <w:bCs w:val="1"/>
                <w:color w:val="auto"/>
              </w:rPr>
              <w:t>NEW BORROWER:</w:t>
            </w:r>
          </w:p>
        </w:tc>
        <w:tc>
          <w:tcPr>
            <w:tcW w:w="6400" w:type="dxa"/>
            <w:vAlign w:val="bottom"/>
            <w:gridSpan w:val="2"/>
          </w:tcPr>
          <w:p>
            <w:pPr>
              <w:ind w:left="1400"/>
              <w:spacing w:after="0"/>
              <w:rPr>
                <w:sz w:val="20"/>
                <w:szCs w:val="20"/>
                <w:color w:val="auto"/>
              </w:rPr>
            </w:pPr>
            <w:r>
              <w:rPr>
                <w:rFonts w:ascii="Arial" w:cs="Arial" w:eastAsia="Arial" w:hAnsi="Arial"/>
                <w:sz w:val="20"/>
                <w:szCs w:val="20"/>
                <w:b w:val="1"/>
                <w:bCs w:val="1"/>
                <w:color w:val="auto"/>
              </w:rPr>
              <w:t>AUSSIE HEALTH CO, LLC</w:t>
            </w:r>
          </w:p>
        </w:tc>
        <w:tc>
          <w:tcPr>
            <w:tcW w:w="680" w:type="dxa"/>
            <w:vAlign w:val="bottom"/>
          </w:tcPr>
          <w:p>
            <w:pPr>
              <w:spacing w:after="0"/>
              <w:rPr>
                <w:sz w:val="24"/>
                <w:szCs w:val="24"/>
                <w:color w:val="auto"/>
              </w:rPr>
            </w:pPr>
          </w:p>
        </w:tc>
      </w:tr>
      <w:tr>
        <w:trPr>
          <w:trHeight w:val="914"/>
        </w:trPr>
        <w:tc>
          <w:tcPr>
            <w:tcW w:w="3840" w:type="dxa"/>
            <w:vAlign w:val="bottom"/>
          </w:tcPr>
          <w:p>
            <w:pPr>
              <w:spacing w:after="0"/>
              <w:rPr>
                <w:sz w:val="24"/>
                <w:szCs w:val="24"/>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By:  /s/ Fabrice Hamaide</w:t>
            </w:r>
          </w:p>
        </w:tc>
        <w:tc>
          <w:tcPr>
            <w:tcW w:w="680" w:type="dxa"/>
            <w:vAlign w:val="bottom"/>
          </w:tcPr>
          <w:p>
            <w:pPr>
              <w:ind w:left="40"/>
              <w:spacing w:after="0"/>
              <w:rPr>
                <w:sz w:val="20"/>
                <w:szCs w:val="20"/>
                <w:color w:val="auto"/>
              </w:rPr>
            </w:pPr>
            <w:r>
              <w:rPr>
                <w:rFonts w:ascii="Arial" w:cs="Arial" w:eastAsia="Arial" w:hAnsi="Arial"/>
                <w:sz w:val="20"/>
                <w:szCs w:val="20"/>
                <w:color w:val="auto"/>
                <w:w w:val="96"/>
              </w:rPr>
              <w:t>(SEAL)</w:t>
            </w:r>
          </w:p>
        </w:tc>
      </w:tr>
      <w:tr>
        <w:trPr>
          <w:trHeight w:val="206"/>
        </w:trPr>
        <w:tc>
          <w:tcPr>
            <w:tcW w:w="3840" w:type="dxa"/>
            <w:vAlign w:val="bottom"/>
          </w:tcPr>
          <w:p>
            <w:pPr>
              <w:spacing w:after="0"/>
              <w:rPr>
                <w:sz w:val="17"/>
                <w:szCs w:val="17"/>
                <w:color w:val="auto"/>
              </w:rPr>
            </w:pPr>
          </w:p>
        </w:tc>
        <w:tc>
          <w:tcPr>
            <w:tcW w:w="1820" w:type="dxa"/>
            <w:vAlign w:val="bottom"/>
          </w:tcPr>
          <w:p>
            <w:pPr>
              <w:ind w:left="1400"/>
              <w:spacing w:after="0" w:line="206" w:lineRule="exact"/>
              <w:rPr>
                <w:sz w:val="20"/>
                <w:szCs w:val="20"/>
                <w:color w:val="auto"/>
              </w:rPr>
            </w:pPr>
            <w:r>
              <w:rPr>
                <w:rFonts w:ascii="Arial" w:cs="Arial" w:eastAsia="Arial" w:hAnsi="Arial"/>
                <w:sz w:val="19"/>
                <w:szCs w:val="19"/>
                <w:color w:val="auto"/>
                <w:w w:val="71"/>
              </w:rPr>
              <w:t>Name:</w:t>
            </w:r>
          </w:p>
        </w:tc>
        <w:tc>
          <w:tcPr>
            <w:tcW w:w="4580" w:type="dxa"/>
            <w:vAlign w:val="bottom"/>
            <w:tcBorders>
              <w:top w:val="single" w:sz="8" w:color="auto"/>
            </w:tcBorders>
          </w:tcPr>
          <w:p>
            <w:pPr>
              <w:ind w:left="160"/>
              <w:spacing w:after="0" w:line="207" w:lineRule="exact"/>
              <w:rPr>
                <w:sz w:val="20"/>
                <w:szCs w:val="20"/>
                <w:color w:val="auto"/>
              </w:rPr>
            </w:pPr>
            <w:r>
              <w:rPr>
                <w:rFonts w:ascii="Arial" w:cs="Arial" w:eastAsia="Arial" w:hAnsi="Arial"/>
                <w:sz w:val="20"/>
                <w:szCs w:val="20"/>
                <w:color w:val="auto"/>
              </w:rPr>
              <w:t>Fabrice Hamaide</w:t>
            </w:r>
          </w:p>
        </w:tc>
        <w:tc>
          <w:tcPr>
            <w:tcW w:w="680" w:type="dxa"/>
            <w:vAlign w:val="bottom"/>
          </w:tcPr>
          <w:p>
            <w:pPr>
              <w:spacing w:after="0"/>
              <w:rPr>
                <w:sz w:val="17"/>
                <w:szCs w:val="17"/>
                <w:color w:val="auto"/>
              </w:rPr>
            </w:pPr>
          </w:p>
        </w:tc>
      </w:tr>
      <w:tr>
        <w:trPr>
          <w:trHeight w:val="250"/>
        </w:trPr>
        <w:tc>
          <w:tcPr>
            <w:tcW w:w="3840" w:type="dxa"/>
            <w:vAlign w:val="bottom"/>
          </w:tcPr>
          <w:p>
            <w:pPr>
              <w:spacing w:after="0"/>
              <w:rPr>
                <w:sz w:val="21"/>
                <w:szCs w:val="21"/>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Title: Chief Financial Officer</w:t>
            </w:r>
          </w:p>
        </w:tc>
        <w:tc>
          <w:tcPr>
            <w:tcW w:w="680" w:type="dxa"/>
            <w:vAlign w:val="bottom"/>
          </w:tcPr>
          <w:p>
            <w:pPr>
              <w:spacing w:after="0"/>
              <w:rPr>
                <w:sz w:val="21"/>
                <w:szCs w:val="21"/>
                <w:color w:val="auto"/>
              </w:rPr>
            </w:pPr>
          </w:p>
        </w:tc>
      </w:tr>
    </w:tbl>
    <w:p>
      <w:pPr>
        <w:sectPr>
          <w:pgSz w:w="11900" w:h="16838" w:orient="portrait"/>
          <w:cols w:equalWidth="0" w:num="1">
            <w:col w:w="10920"/>
          </w:cols>
          <w:pgMar w:left="240" w:top="562" w:right="739" w:bottom="1440" w:gutter="0" w:footer="0" w:header="0"/>
        </w:sectPr>
      </w:pPr>
    </w:p>
    <w:bookmarkStart w:id="83" w:name="page84"/>
    <w:bookmarkEnd w:id="83"/>
    <w:p>
      <w:pPr>
        <w:ind w:left="10440"/>
        <w:spacing w:after="0"/>
        <w:rPr>
          <w:sz w:val="20"/>
          <w:szCs w:val="20"/>
          <w:color w:val="auto"/>
        </w:rPr>
      </w:pPr>
      <w:r>
        <w:rPr>
          <w:rFonts w:ascii="Arial" w:cs="Arial" w:eastAsia="Arial" w:hAnsi="Arial"/>
          <w:sz w:val="18"/>
          <w:szCs w:val="18"/>
          <w:color w:val="auto"/>
        </w:rPr>
        <w:t>Exhibit 10.2</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20"/>
          <w:szCs w:val="20"/>
          <w:b w:val="1"/>
          <w:bCs w:val="1"/>
          <w:u w:val="single" w:color="auto"/>
          <w:color w:val="auto"/>
        </w:rPr>
        <w:t>OMNIBUS LIMITED CONSENT, JOINDER AND AMENDMENT TO VENTURE LOAN AND SECURITY AGREEMENT</w:t>
      </w:r>
    </w:p>
    <w:p>
      <w:pPr>
        <w:spacing w:after="0" w:line="235"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color w:val="auto"/>
        </w:rPr>
        <w:t>This OMNIBUS LIMITED CONSENT, JOINDER AND AMENDMENT TO VENTURE LOAN AND SECURITY AGREEMENT(this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made as of this </w:t>
      </w:r>
      <w:r>
        <w:rPr>
          <w:rFonts w:ascii="Arial" w:cs="Arial" w:eastAsia="Arial" w:hAnsi="Arial"/>
          <w:sz w:val="19"/>
          <w:szCs w:val="19"/>
          <w:u w:val="single" w:color="auto"/>
          <w:color w:val="auto"/>
        </w:rPr>
        <w:t>10th</w:t>
      </w:r>
      <w:r>
        <w:rPr>
          <w:rFonts w:ascii="Arial" w:cs="Arial" w:eastAsia="Arial" w:hAnsi="Arial"/>
          <w:sz w:val="19"/>
          <w:szCs w:val="19"/>
          <w:color w:val="auto"/>
        </w:rPr>
        <w:t xml:space="preserve"> day of </w:t>
      </w:r>
      <w:r>
        <w:rPr>
          <w:rFonts w:ascii="Arial" w:cs="Arial" w:eastAsia="Arial" w:hAnsi="Arial"/>
          <w:sz w:val="19"/>
          <w:szCs w:val="19"/>
          <w:b w:val="1"/>
          <w:bCs w:val="1"/>
          <w:color w:val="auto"/>
        </w:rPr>
        <w:t>S</w:t>
      </w:r>
      <w:r>
        <w:rPr>
          <w:rFonts w:ascii="Arial" w:cs="Arial" w:eastAsia="Arial" w:hAnsi="Arial"/>
          <w:sz w:val="19"/>
          <w:szCs w:val="19"/>
          <w:color w:val="auto"/>
        </w:rPr>
        <w:t>eptember, 2019, by and among MOHAWK GROUP HOLDINGS, INC., a Delaware corporation (“</w:t>
      </w:r>
      <w:r>
        <w:rPr>
          <w:rFonts w:ascii="Arial" w:cs="Arial" w:eastAsia="Arial" w:hAnsi="Arial"/>
          <w:sz w:val="19"/>
          <w:szCs w:val="19"/>
          <w:b w:val="1"/>
          <w:bCs w:val="1"/>
          <w:color w:val="auto"/>
        </w:rPr>
        <w:t>Mohawk Holdco</w:t>
      </w:r>
      <w:r>
        <w:rPr>
          <w:rFonts w:ascii="Arial" w:cs="Arial" w:eastAsia="Arial" w:hAnsi="Arial"/>
          <w:sz w:val="19"/>
          <w:szCs w:val="19"/>
          <w:color w:val="auto"/>
        </w:rPr>
        <w:t>”), MOHAWK GROUP, INC., a Delaware corporation (“</w:t>
      </w:r>
      <w:r>
        <w:rPr>
          <w:rFonts w:ascii="Arial" w:cs="Arial" w:eastAsia="Arial" w:hAnsi="Arial"/>
          <w:sz w:val="19"/>
          <w:szCs w:val="19"/>
          <w:b w:val="1"/>
          <w:bCs w:val="1"/>
          <w:color w:val="auto"/>
        </w:rPr>
        <w:t>Mohawk</w:t>
      </w:r>
      <w:r>
        <w:rPr>
          <w:rFonts w:ascii="Arial" w:cs="Arial" w:eastAsia="Arial" w:hAnsi="Arial"/>
          <w:sz w:val="19"/>
          <w:szCs w:val="19"/>
          <w:color w:val="auto"/>
        </w:rPr>
        <w:t>”), each of Mohawk’s direct and indirect subsidiaries set forth on the signature pages hereto (each being referred to herein individually as an “</w:t>
      </w:r>
      <w:r>
        <w:rPr>
          <w:rFonts w:ascii="Arial" w:cs="Arial" w:eastAsia="Arial" w:hAnsi="Arial"/>
          <w:sz w:val="19"/>
          <w:szCs w:val="19"/>
          <w:b w:val="1"/>
          <w:bCs w:val="1"/>
          <w:color w:val="auto"/>
        </w:rPr>
        <w:t>Original Borrower</w:t>
      </w:r>
      <w:r>
        <w:rPr>
          <w:rFonts w:ascii="Arial" w:cs="Arial" w:eastAsia="Arial" w:hAnsi="Arial"/>
          <w:sz w:val="19"/>
          <w:szCs w:val="19"/>
          <w:color w:val="auto"/>
        </w:rPr>
        <w:t>”, and collectively as “</w:t>
      </w:r>
      <w:r>
        <w:rPr>
          <w:rFonts w:ascii="Arial" w:cs="Arial" w:eastAsia="Arial" w:hAnsi="Arial"/>
          <w:sz w:val="19"/>
          <w:szCs w:val="19"/>
          <w:b w:val="1"/>
          <w:bCs w:val="1"/>
          <w:color w:val="auto"/>
        </w:rPr>
        <w:t>Original Borrowers</w:t>
      </w:r>
      <w:r>
        <w:rPr>
          <w:rFonts w:ascii="Arial" w:cs="Arial" w:eastAsia="Arial" w:hAnsi="Arial"/>
          <w:sz w:val="19"/>
          <w:szCs w:val="19"/>
          <w:color w:val="auto"/>
        </w:rPr>
        <w:t>”), AUSSIE HEALTH CO, LLC, a Delaware limited liability company (“</w:t>
      </w:r>
      <w:r>
        <w:rPr>
          <w:rFonts w:ascii="Arial" w:cs="Arial" w:eastAsia="Arial" w:hAnsi="Arial"/>
          <w:sz w:val="19"/>
          <w:szCs w:val="19"/>
          <w:b w:val="1"/>
          <w:bCs w:val="1"/>
          <w:color w:val="auto"/>
        </w:rPr>
        <w:t>New Borrower</w:t>
      </w:r>
      <w:r>
        <w:rPr>
          <w:rFonts w:ascii="Arial" w:cs="Arial" w:eastAsia="Arial" w:hAnsi="Arial"/>
          <w:sz w:val="19"/>
          <w:szCs w:val="19"/>
          <w:color w:val="auto"/>
        </w:rPr>
        <w:t>”, and New Borrower, together with the Original Borrowers, the “</w:t>
      </w:r>
      <w:r>
        <w:rPr>
          <w:rFonts w:ascii="Arial" w:cs="Arial" w:eastAsia="Arial" w:hAnsi="Arial"/>
          <w:sz w:val="19"/>
          <w:szCs w:val="19"/>
          <w:b w:val="1"/>
          <w:bCs w:val="1"/>
          <w:color w:val="auto"/>
        </w:rPr>
        <w:t>Borrowers</w:t>
      </w:r>
      <w:r>
        <w:rPr>
          <w:rFonts w:ascii="Arial" w:cs="Arial" w:eastAsia="Arial" w:hAnsi="Arial"/>
          <w:sz w:val="19"/>
          <w:szCs w:val="19"/>
          <w:color w:val="auto"/>
        </w:rPr>
        <w:t>”), HORIZON TECHNOLOGY FINANCE CORPORATION (“</w:t>
      </w:r>
      <w:r>
        <w:rPr>
          <w:rFonts w:ascii="Arial" w:cs="Arial" w:eastAsia="Arial" w:hAnsi="Arial"/>
          <w:sz w:val="19"/>
          <w:szCs w:val="19"/>
          <w:b w:val="1"/>
          <w:bCs w:val="1"/>
          <w:color w:val="auto"/>
        </w:rPr>
        <w:t>HRZN</w:t>
      </w:r>
      <w:r>
        <w:rPr>
          <w:rFonts w:ascii="Arial" w:cs="Arial" w:eastAsia="Arial" w:hAnsi="Arial"/>
          <w:sz w:val="19"/>
          <w:szCs w:val="19"/>
          <w:color w:val="auto"/>
        </w:rPr>
        <w:t>”), as a collateral agent, HORIZON CREDIT II LLC, a Delaware limited liability company (“</w:t>
      </w:r>
      <w:r>
        <w:rPr>
          <w:rFonts w:ascii="Arial" w:cs="Arial" w:eastAsia="Arial" w:hAnsi="Arial"/>
          <w:sz w:val="19"/>
          <w:szCs w:val="19"/>
          <w:b w:val="1"/>
          <w:bCs w:val="1"/>
          <w:color w:val="auto"/>
        </w:rPr>
        <w:t>HCII</w:t>
      </w:r>
      <w:r>
        <w:rPr>
          <w:rFonts w:ascii="Arial" w:cs="Arial" w:eastAsia="Arial" w:hAnsi="Arial"/>
          <w:sz w:val="19"/>
          <w:szCs w:val="19"/>
          <w:color w:val="auto"/>
        </w:rPr>
        <w:t>”), as assignee of HRZN, and HORIZON FUNDING TRUST 2019-1, a Delaware statutory trust (“</w:t>
      </w:r>
      <w:r>
        <w:rPr>
          <w:rFonts w:ascii="Arial" w:cs="Arial" w:eastAsia="Arial" w:hAnsi="Arial"/>
          <w:sz w:val="19"/>
          <w:szCs w:val="19"/>
          <w:b w:val="1"/>
          <w:bCs w:val="1"/>
          <w:color w:val="auto"/>
        </w:rPr>
        <w:t>Horizon Funding Trust</w:t>
      </w:r>
      <w:r>
        <w:rPr>
          <w:rFonts w:ascii="Arial" w:cs="Arial" w:eastAsia="Arial" w:hAnsi="Arial"/>
          <w:sz w:val="19"/>
          <w:szCs w:val="19"/>
          <w:color w:val="auto"/>
        </w:rPr>
        <w:t>” and, collectively with HRZN and HCII, “</w:t>
      </w:r>
      <w:r>
        <w:rPr>
          <w:rFonts w:ascii="Arial" w:cs="Arial" w:eastAsia="Arial" w:hAnsi="Arial"/>
          <w:sz w:val="19"/>
          <w:szCs w:val="19"/>
          <w:b w:val="1"/>
          <w:bCs w:val="1"/>
          <w:color w:val="auto"/>
        </w:rPr>
        <w:t>Lenders</w:t>
      </w:r>
      <w:r>
        <w:rPr>
          <w:rFonts w:ascii="Arial" w:cs="Arial" w:eastAsia="Arial" w:hAnsi="Arial"/>
          <w:sz w:val="19"/>
          <w:szCs w:val="19"/>
          <w:color w:val="auto"/>
        </w:rPr>
        <w:t>”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jc w:val="both"/>
        <w:ind w:firstLine="885"/>
        <w:spacing w:after="0" w:line="246" w:lineRule="auto"/>
        <w:tabs>
          <w:tab w:leader="none" w:pos="1718" w:val="left"/>
        </w:tabs>
        <w:numPr>
          <w:ilvl w:val="0"/>
          <w:numId w:val="49"/>
        </w:numPr>
        <w:rPr>
          <w:rFonts w:ascii="Arial" w:cs="Arial" w:eastAsia="Arial" w:hAnsi="Arial"/>
          <w:sz w:val="20"/>
          <w:szCs w:val="20"/>
          <w:color w:val="auto"/>
        </w:rPr>
      </w:pPr>
      <w:r>
        <w:rPr>
          <w:rFonts w:ascii="Arial" w:cs="Arial" w:eastAsia="Arial" w:hAnsi="Arial"/>
          <w:sz w:val="20"/>
          <w:szCs w:val="20"/>
          <w:color w:val="auto"/>
        </w:rPr>
        <w:t>Lenders and Original Borrowers are parties to that certain Venture Loan and Security Agreement, dated as of December 31, 2018 (as the same is amended hereby and as it may be further amended, modified, supplemented and restated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pursuant to which the Lenders have made certain advances of money to the Original Borrowers and certain of their Affiliates in the amounts and manner set forth in the Credit Agreement.</w:t>
      </w:r>
    </w:p>
    <w:p>
      <w:pPr>
        <w:spacing w:after="0" w:line="178" w:lineRule="exact"/>
        <w:rPr>
          <w:rFonts w:ascii="Arial" w:cs="Arial" w:eastAsia="Arial" w:hAnsi="Arial"/>
          <w:sz w:val="20"/>
          <w:szCs w:val="20"/>
          <w:color w:val="auto"/>
        </w:rPr>
      </w:pPr>
    </w:p>
    <w:p>
      <w:pPr>
        <w:ind w:left="1720" w:hanging="835"/>
        <w:spacing w:after="0"/>
        <w:tabs>
          <w:tab w:leader="none" w:pos="17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Original Borrowers have formed New Borrower as a new Subsidiary of Mohawk.</w:t>
      </w:r>
    </w:p>
    <w:p>
      <w:pPr>
        <w:spacing w:after="0" w:line="188" w:lineRule="exact"/>
        <w:rPr>
          <w:rFonts w:ascii="Arial" w:cs="Arial" w:eastAsia="Arial" w:hAnsi="Arial"/>
          <w:sz w:val="20"/>
          <w:szCs w:val="20"/>
          <w:color w:val="auto"/>
        </w:rPr>
      </w:pPr>
    </w:p>
    <w:p>
      <w:pPr>
        <w:ind w:firstLine="885"/>
        <w:spacing w:after="0" w:line="260" w:lineRule="auto"/>
        <w:tabs>
          <w:tab w:leader="none" w:pos="1707" w:val="left"/>
        </w:tabs>
        <w:numPr>
          <w:ilvl w:val="0"/>
          <w:numId w:val="49"/>
        </w:numPr>
        <w:rPr>
          <w:rFonts w:ascii="Arial" w:cs="Arial" w:eastAsia="Arial" w:hAnsi="Arial"/>
          <w:sz w:val="20"/>
          <w:szCs w:val="20"/>
          <w:color w:val="auto"/>
        </w:rPr>
      </w:pPr>
      <w:r>
        <w:rPr>
          <w:rFonts w:ascii="Arial" w:cs="Arial" w:eastAsia="Arial" w:hAnsi="Arial"/>
          <w:sz w:val="20"/>
          <w:szCs w:val="20"/>
          <w:color w:val="auto"/>
        </w:rPr>
        <w:t>Original Borrowers have requested that the Lenders amend the Credit Agreement to join New Borrower as a party to the Credit Agreement as a Borrower on and subject to the terms hereof.</w:t>
      </w:r>
    </w:p>
    <w:p>
      <w:pPr>
        <w:spacing w:after="0" w:line="163" w:lineRule="exact"/>
        <w:rPr>
          <w:rFonts w:ascii="Arial" w:cs="Arial" w:eastAsia="Arial" w:hAnsi="Arial"/>
          <w:sz w:val="20"/>
          <w:szCs w:val="20"/>
          <w:color w:val="auto"/>
        </w:rPr>
      </w:pPr>
    </w:p>
    <w:p>
      <w:pPr>
        <w:jc w:val="both"/>
        <w:ind w:firstLine="885"/>
        <w:spacing w:after="0" w:line="246" w:lineRule="auto"/>
        <w:tabs>
          <w:tab w:leader="none" w:pos="1718"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New Borrower plans to enter into that certain Asset Purchase Agreement, dated on or about the date hereof and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Aussie Health Acquisition Agreement</w:t>
      </w:r>
      <w:r>
        <w:rPr>
          <w:rFonts w:ascii="Arial" w:cs="Arial" w:eastAsia="Arial" w:hAnsi="Arial"/>
          <w:sz w:val="20"/>
          <w:szCs w:val="20"/>
          <w:color w:val="auto"/>
        </w:rPr>
        <w:t>”), by and among New Borrower, Lukla Ventures Ltd, a Hong Kong company (“</w:t>
      </w:r>
      <w:r>
        <w:rPr>
          <w:rFonts w:ascii="Arial" w:cs="Arial" w:eastAsia="Arial" w:hAnsi="Arial"/>
          <w:sz w:val="20"/>
          <w:szCs w:val="20"/>
          <w:b w:val="1"/>
          <w:bCs w:val="1"/>
          <w:color w:val="auto"/>
        </w:rPr>
        <w:t>Seller</w:t>
      </w:r>
      <w:r>
        <w:rPr>
          <w:rFonts w:ascii="Arial" w:cs="Arial" w:eastAsia="Arial" w:hAnsi="Arial"/>
          <w:sz w:val="20"/>
          <w:szCs w:val="20"/>
          <w:color w:val="auto"/>
        </w:rPr>
        <w:t>”) and the Shareholders party thereto pursuant to which New Borrower will acquire certain assets from Seller (the “</w:t>
      </w:r>
      <w:r>
        <w:rPr>
          <w:rFonts w:ascii="Arial" w:cs="Arial" w:eastAsia="Arial" w:hAnsi="Arial"/>
          <w:sz w:val="20"/>
          <w:szCs w:val="20"/>
          <w:b w:val="1"/>
          <w:bCs w:val="1"/>
          <w:color w:val="auto"/>
        </w:rPr>
        <w:t>Aussie Health</w:t>
      </w:r>
      <w:r>
        <w:rPr>
          <w:rFonts w:ascii="Arial" w:cs="Arial" w:eastAsia="Arial" w:hAnsi="Arial"/>
          <w:sz w:val="20"/>
          <w:szCs w:val="20"/>
          <w:color w:val="auto"/>
        </w:rPr>
        <w:t xml:space="preserve"> </w:t>
      </w:r>
      <w:r>
        <w:rPr>
          <w:rFonts w:ascii="Arial" w:cs="Arial" w:eastAsia="Arial" w:hAnsi="Arial"/>
          <w:sz w:val="20"/>
          <w:szCs w:val="20"/>
          <w:b w:val="1"/>
          <w:bCs w:val="1"/>
          <w:color w:val="auto"/>
        </w:rPr>
        <w:t>Acquisition</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firstLine="885"/>
        <w:spacing w:after="0" w:line="260" w:lineRule="auto"/>
        <w:tabs>
          <w:tab w:leader="none" w:pos="1696" w:val="left"/>
        </w:tabs>
        <w:numPr>
          <w:ilvl w:val="0"/>
          <w:numId w:val="49"/>
        </w:numPr>
        <w:rPr>
          <w:rFonts w:ascii="Arial" w:cs="Arial" w:eastAsia="Arial" w:hAnsi="Arial"/>
          <w:sz w:val="20"/>
          <w:szCs w:val="20"/>
          <w:color w:val="auto"/>
        </w:rPr>
      </w:pPr>
      <w:r>
        <w:rPr>
          <w:rFonts w:ascii="Arial" w:cs="Arial" w:eastAsia="Arial" w:hAnsi="Arial"/>
          <w:sz w:val="20"/>
          <w:szCs w:val="20"/>
          <w:color w:val="auto"/>
        </w:rPr>
        <w:t>Pursuant to Section 7.6 of the Credit Agreement, the Borrowers are not permitted to acquire or enter into any agreement to acquire substantially all of the assets of another Person.</w:t>
      </w:r>
    </w:p>
    <w:p>
      <w:pPr>
        <w:spacing w:after="0" w:line="149" w:lineRule="exact"/>
        <w:rPr>
          <w:rFonts w:ascii="Arial" w:cs="Arial" w:eastAsia="Arial" w:hAnsi="Arial"/>
          <w:sz w:val="20"/>
          <w:szCs w:val="20"/>
          <w:color w:val="auto"/>
        </w:rPr>
      </w:pPr>
    </w:p>
    <w:p>
      <w:pPr>
        <w:jc w:val="both"/>
        <w:ind w:firstLine="885"/>
        <w:spacing w:after="0" w:line="258" w:lineRule="auto"/>
        <w:tabs>
          <w:tab w:leader="none" w:pos="1669"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Borrowers have requested, and Lenders have agreed, on and subject to the terms and conditions set forth in this Agreement, to, among other things, (i) consent to the Borrowers entering into the Aussie Health Acquisition Agreement and the consummation of the Aussie Health Acquisition, (ii) consent to the issuance by New Borrower of a Non-Negotiable Promissory Note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Seller in an aggregate initial principal amount of $195,000 (the “</w:t>
      </w:r>
      <w:r>
        <w:rPr>
          <w:rFonts w:ascii="Arial" w:cs="Arial" w:eastAsia="Arial" w:hAnsi="Arial"/>
          <w:sz w:val="19"/>
          <w:szCs w:val="19"/>
          <w:b w:val="1"/>
          <w:bCs w:val="1"/>
          <w:color w:val="auto"/>
        </w:rPr>
        <w:t>Aussie Health Seller Note</w:t>
      </w:r>
      <w:r>
        <w:rPr>
          <w:rFonts w:ascii="Arial" w:cs="Arial" w:eastAsia="Arial" w:hAnsi="Arial"/>
          <w:sz w:val="19"/>
          <w:szCs w:val="19"/>
          <w:color w:val="auto"/>
        </w:rPr>
        <w:t>”), which Aussie Health Seller Note shall be subordinated to the Obligations pursuant to a Subordination Agreement entered into on the date hereof, (iii) join New Borrower to the Credit Agreement, and the other applicable Loan Documents and (iv) amend certain terms of the Credit Agreement, all in accordance with the terms and subject to the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AGREEMENT</w:t>
      </w:r>
    </w:p>
    <w:p>
      <w:pPr>
        <w:spacing w:after="0" w:line="195" w:lineRule="exact"/>
        <w:rPr>
          <w:sz w:val="20"/>
          <w:szCs w:val="20"/>
          <w:color w:val="auto"/>
        </w:rPr>
      </w:pPr>
    </w:p>
    <w:p>
      <w:pPr>
        <w:ind w:firstLine="877"/>
        <w:spacing w:after="0" w:line="316" w:lineRule="auto"/>
        <w:rPr>
          <w:sz w:val="20"/>
          <w:szCs w:val="20"/>
          <w:color w:val="auto"/>
        </w:rPr>
      </w:pPr>
      <w:r>
        <w:rPr>
          <w:rFonts w:ascii="Arial" w:cs="Arial" w:eastAsia="Arial" w:hAnsi="Arial"/>
          <w:sz w:val="18"/>
          <w:szCs w:val="18"/>
          <w:color w:val="auto"/>
        </w:rPr>
        <w:t>NOW, THEREFORE, in consideration of the foregoing, the terms and conditions set forth in this Agreement, and other good and valuable consideration, the receipt and sufficiency of which are hereby acknowledged, the Lenders and Borrowers hereby agree as follows:</w:t>
      </w:r>
    </w:p>
    <w:p>
      <w:pPr>
        <w:spacing w:after="0" w:line="111" w:lineRule="exact"/>
        <w:rPr>
          <w:sz w:val="20"/>
          <w:szCs w:val="20"/>
          <w:color w:val="auto"/>
        </w:rPr>
      </w:pPr>
    </w:p>
    <w:p>
      <w:pPr>
        <w:jc w:val="both"/>
        <w:ind w:firstLine="885"/>
        <w:spacing w:after="0" w:line="285" w:lineRule="auto"/>
        <w:tabs>
          <w:tab w:leader="none" w:pos="1674" w:val="left"/>
        </w:tabs>
        <w:numPr>
          <w:ilvl w:val="1"/>
          <w:numId w:val="5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Recitals</w:t>
      </w:r>
      <w:r>
        <w:rPr>
          <w:rFonts w:ascii="Arial" w:cs="Arial" w:eastAsia="Arial" w:hAnsi="Arial"/>
          <w:sz w:val="18"/>
          <w:szCs w:val="18"/>
          <w:color w:val="auto"/>
        </w:rPr>
        <w:t>. This Agreement shall constitute a Loan Document and the recitals and each reference to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spacing w:after="0" w:line="137" w:lineRule="exact"/>
        <w:rPr>
          <w:rFonts w:ascii="Arial" w:cs="Arial" w:eastAsia="Arial" w:hAnsi="Arial"/>
          <w:sz w:val="18"/>
          <w:szCs w:val="18"/>
          <w:b w:val="1"/>
          <w:bCs w:val="1"/>
          <w:color w:val="010000"/>
        </w:rPr>
      </w:pPr>
    </w:p>
    <w:p>
      <w:pPr>
        <w:jc w:val="both"/>
        <w:ind w:firstLine="885"/>
        <w:spacing w:after="0" w:line="270" w:lineRule="auto"/>
        <w:tabs>
          <w:tab w:leader="none" w:pos="1674" w:val="left"/>
        </w:tabs>
        <w:numPr>
          <w:ilvl w:val="1"/>
          <w:numId w:val="5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Limited Consent</w:t>
      </w:r>
      <w:r>
        <w:rPr>
          <w:rFonts w:ascii="Arial" w:cs="Arial" w:eastAsia="Arial" w:hAnsi="Arial"/>
          <w:sz w:val="18"/>
          <w:szCs w:val="18"/>
          <w:color w:val="auto"/>
        </w:rPr>
        <w:t>. At the request of and as an accommodation to the Borrowers, subject to the satisfaction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including, without limitation, the conditions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in accordance with the terms set forth in this Agreement, Lenders hereby consent to (a) the New Borrower entering into the Aussie Health Acquisition Agreement and the consummation of the Aussie Health Acquisition in accordance with the terms of the Aussie Health Acquisition Agreement and (b) the incurrence of the Indebtedness under the Aussie Health Seller Note in accordance with the terms thereof and the terms of the Aussie Health Subordination Agreement. The consents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is effective solely for the purposes set forth herein and shall be limited precisely as written and shall not be deemed to</w:t>
      </w:r>
    </w:p>
    <w:p>
      <w:pPr>
        <w:spacing w:after="0" w:line="2" w:lineRule="exact"/>
        <w:rPr>
          <w:rFonts w:ascii="Arial" w:cs="Arial" w:eastAsia="Arial" w:hAnsi="Arial"/>
          <w:sz w:val="18"/>
          <w:szCs w:val="18"/>
          <w:b w:val="1"/>
          <w:bCs w:val="1"/>
          <w:color w:val="010000"/>
        </w:rPr>
      </w:pPr>
    </w:p>
    <w:p>
      <w:pPr>
        <w:jc w:val="both"/>
        <w:ind w:firstLine="8"/>
        <w:spacing w:after="0"/>
        <w:tabs>
          <w:tab w:leader="none" w:pos="307" w:val="left"/>
        </w:tabs>
        <w:numPr>
          <w:ilvl w:val="0"/>
          <w:numId w:val="51"/>
        </w:numPr>
        <w:rPr>
          <w:rFonts w:ascii="Arial" w:cs="Arial" w:eastAsia="Arial" w:hAnsi="Arial"/>
          <w:sz w:val="20"/>
          <w:szCs w:val="20"/>
          <w:color w:val="auto"/>
        </w:rPr>
      </w:pPr>
      <w:r>
        <w:rPr>
          <w:rFonts w:ascii="Arial" w:cs="Arial" w:eastAsia="Arial" w:hAnsi="Arial"/>
          <w:sz w:val="20"/>
          <w:szCs w:val="20"/>
          <w:color w:val="auto"/>
        </w:rPr>
        <w:t>be a consent to any amendment, waiver or modification of any other term or condition of the Credit Agreement or of any other Loan Document; (2) prejudice any right that the Lenders have or may have in the future under or in connection with the Credit Agreement or any other Loan Document; (3) constitute a consent to or waiver of any past, present or future Default or Event of Default or other violation of any provisions of the Credit Agreement or any other Loan Documents, (4) create any obligation to forbear from taking any enforcement action, or to make any further extensions of credit or (5) establish a custom or course of dealing among any of the Borrowers, on the one hand, or any Lender, on the other hand.</w:t>
      </w:r>
    </w:p>
    <w:p>
      <w:pPr>
        <w:spacing w:after="0" w:line="164" w:lineRule="exact"/>
        <w:rPr>
          <w:rFonts w:ascii="Arial" w:cs="Arial" w:eastAsia="Arial" w:hAnsi="Arial"/>
          <w:sz w:val="20"/>
          <w:szCs w:val="20"/>
          <w:color w:val="auto"/>
        </w:rPr>
      </w:pPr>
    </w:p>
    <w:p>
      <w:pPr>
        <w:ind w:left="1680" w:hanging="795"/>
        <w:spacing w:after="0"/>
        <w:tabs>
          <w:tab w:leader="none" w:pos="1680" w:val="left"/>
        </w:tabs>
        <w:numPr>
          <w:ilvl w:val="1"/>
          <w:numId w:val="5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Joinder</w:t>
      </w:r>
      <w:r>
        <w:rPr>
          <w:rFonts w:ascii="Arial" w:cs="Arial" w:eastAsia="Arial" w:hAnsi="Arial"/>
          <w:sz w:val="20"/>
          <w:szCs w:val="20"/>
          <w:color w:val="auto"/>
        </w:rPr>
        <w:t>.</w:t>
      </w:r>
    </w:p>
    <w:p>
      <w:pPr>
        <w:spacing w:after="0" w:line="208" w:lineRule="exact"/>
        <w:rPr>
          <w:rFonts w:ascii="Arial" w:cs="Arial" w:eastAsia="Arial" w:hAnsi="Arial"/>
          <w:sz w:val="20"/>
          <w:szCs w:val="20"/>
          <w:b w:val="1"/>
          <w:bCs w:val="1"/>
          <w:color w:val="010000"/>
        </w:rPr>
      </w:pPr>
    </w:p>
    <w:p>
      <w:pPr>
        <w:jc w:val="both"/>
        <w:ind w:firstLine="1763"/>
        <w:spacing w:after="0" w:line="243" w:lineRule="auto"/>
        <w:tabs>
          <w:tab w:leader="none" w:pos="2623" w:val="left"/>
        </w:tabs>
        <w:numPr>
          <w:ilvl w:val="2"/>
          <w:numId w:val="51"/>
        </w:numPr>
        <w:rPr>
          <w:rFonts w:ascii="Arial" w:cs="Arial" w:eastAsia="Arial" w:hAnsi="Arial"/>
          <w:sz w:val="20"/>
          <w:szCs w:val="20"/>
          <w:color w:val="010000"/>
        </w:rPr>
      </w:pPr>
      <w:r>
        <w:rPr>
          <w:rFonts w:ascii="Arial" w:cs="Arial" w:eastAsia="Arial" w:hAnsi="Arial"/>
          <w:sz w:val="20"/>
          <w:szCs w:val="20"/>
          <w:color w:val="auto"/>
        </w:rPr>
        <w:t xml:space="preserve">Subject to the satisfaction of the conditions precedent set forth in </w:t>
      </w:r>
      <w:r>
        <w:rPr>
          <w:rFonts w:ascii="Arial" w:cs="Arial" w:eastAsia="Arial" w:hAnsi="Arial"/>
          <w:sz w:val="20"/>
          <w:szCs w:val="20"/>
          <w:u w:val="single" w:color="auto"/>
          <w:color w:val="auto"/>
        </w:rPr>
        <w:t>Section 9</w:t>
      </w:r>
      <w:r>
        <w:rPr>
          <w:rFonts w:ascii="Arial" w:cs="Arial" w:eastAsia="Arial" w:hAnsi="Arial"/>
          <w:sz w:val="20"/>
          <w:szCs w:val="20"/>
          <w:color w:val="auto"/>
        </w:rPr>
        <w:t>, New Borrower hereby assumes the Obligations under the Credit Agreement and joins in, adopts and becomes (i) a Borrower under the Credit Agreement and any Notes, and (ii) party to the other Loan Documents applicable to it as a Borrower. Each party hereto agrees that all references to “Borrower” or “Borrowers” contained in the Loan Documents are hereby deemed for all purposes to also refer to and include New Borrower as a Borrower, and New Borrower hereby agrees to comply with all of the terms and conditions of the Loan Documents as if New Borrower was an original signatory thereto.</w:t>
      </w:r>
    </w:p>
    <w:p>
      <w:pPr>
        <w:spacing w:after="0" w:line="182" w:lineRule="exact"/>
        <w:rPr>
          <w:rFonts w:ascii="Arial" w:cs="Arial" w:eastAsia="Arial" w:hAnsi="Arial"/>
          <w:sz w:val="20"/>
          <w:szCs w:val="20"/>
          <w:color w:val="010000"/>
        </w:rPr>
      </w:pPr>
    </w:p>
    <w:p>
      <w:pPr>
        <w:ind w:left="2640" w:hanging="877"/>
        <w:spacing w:after="0"/>
        <w:tabs>
          <w:tab w:leader="none" w:pos="2640" w:val="left"/>
        </w:tabs>
        <w:numPr>
          <w:ilvl w:val="2"/>
          <w:numId w:val="51"/>
        </w:numPr>
        <w:rPr>
          <w:rFonts w:ascii="Arial" w:cs="Arial" w:eastAsia="Arial" w:hAnsi="Arial"/>
          <w:sz w:val="20"/>
          <w:szCs w:val="20"/>
          <w:color w:val="010000"/>
        </w:rPr>
      </w:pPr>
      <w:r>
        <w:rPr>
          <w:rFonts w:ascii="Arial" w:cs="Arial" w:eastAsia="Arial" w:hAnsi="Arial"/>
          <w:sz w:val="20"/>
          <w:szCs w:val="20"/>
          <w:color w:val="auto"/>
        </w:rPr>
        <w:t>Intentionally Omitted.</w:t>
      </w:r>
    </w:p>
    <w:p>
      <w:pPr>
        <w:spacing w:after="0" w:line="182" w:lineRule="exact"/>
        <w:rPr>
          <w:rFonts w:ascii="Arial" w:cs="Arial" w:eastAsia="Arial" w:hAnsi="Arial"/>
          <w:sz w:val="20"/>
          <w:szCs w:val="20"/>
          <w:color w:val="010000"/>
        </w:rPr>
      </w:pPr>
    </w:p>
    <w:p>
      <w:pPr>
        <w:ind w:right="20" w:firstLine="885"/>
        <w:spacing w:after="0" w:line="293" w:lineRule="auto"/>
        <w:tabs>
          <w:tab w:leader="none" w:pos="1674" w:val="left"/>
        </w:tabs>
        <w:numPr>
          <w:ilvl w:val="1"/>
          <w:numId w:val="5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Amendments to Credit Agreement</w:t>
      </w:r>
      <w:r>
        <w:rPr>
          <w:rFonts w:ascii="Arial" w:cs="Arial" w:eastAsia="Arial" w:hAnsi="Arial"/>
          <w:sz w:val="19"/>
          <w:szCs w:val="19"/>
          <w:color w:val="auto"/>
        </w:rPr>
        <w:t>. Subject to the terms and conditions of this Agreement,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the conditions to effectiveness set forth in Section 9 below, the Credit Agreement is hereby amended as follows:</w:t>
      </w:r>
    </w:p>
    <w:p>
      <w:pPr>
        <w:spacing w:after="0" w:line="134" w:lineRule="exact"/>
        <w:rPr>
          <w:rFonts w:ascii="Arial" w:cs="Arial" w:eastAsia="Arial" w:hAnsi="Arial"/>
          <w:sz w:val="19"/>
          <w:szCs w:val="19"/>
          <w:b w:val="1"/>
          <w:bCs w:val="1"/>
          <w:color w:val="010000"/>
        </w:rPr>
      </w:pPr>
    </w:p>
    <w:p>
      <w:pPr>
        <w:ind w:left="2640" w:hanging="877"/>
        <w:spacing w:after="0"/>
        <w:tabs>
          <w:tab w:leader="none" w:pos="2640" w:val="left"/>
        </w:tabs>
        <w:numPr>
          <w:ilvl w:val="2"/>
          <w:numId w:val="51"/>
        </w:numPr>
        <w:rPr>
          <w:rFonts w:ascii="Arial" w:cs="Arial" w:eastAsia="Arial" w:hAnsi="Arial"/>
          <w:sz w:val="18"/>
          <w:szCs w:val="18"/>
          <w:color w:val="010000"/>
        </w:rPr>
      </w:pPr>
      <w:r>
        <w:rPr>
          <w:rFonts w:ascii="Arial" w:cs="Arial" w:eastAsia="Arial" w:hAnsi="Arial"/>
          <w:sz w:val="18"/>
          <w:szCs w:val="18"/>
          <w:color w:val="auto"/>
        </w:rPr>
        <w:t>The following definitions are hereby added to Section 1 of the Credit Agreement in their respective alphabetic</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order:</w:t>
      </w:r>
    </w:p>
    <w:p>
      <w:pPr>
        <w:spacing w:after="0" w:line="18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Aussie Health Acquisition Agreement</w:t>
      </w:r>
      <w:r>
        <w:rPr>
          <w:rFonts w:ascii="Arial" w:cs="Arial" w:eastAsia="Arial" w:hAnsi="Arial"/>
          <w:sz w:val="20"/>
          <w:szCs w:val="20"/>
          <w:color w:val="auto"/>
        </w:rPr>
        <w:t>” has the meaning set forth in the First Amendment.</w:t>
      </w:r>
    </w:p>
    <w:p>
      <w:pPr>
        <w:spacing w:after="0" w:line="18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Aussie Health Seller Note</w:t>
      </w:r>
      <w:r>
        <w:rPr>
          <w:rFonts w:ascii="Arial" w:cs="Arial" w:eastAsia="Arial" w:hAnsi="Arial"/>
          <w:sz w:val="20"/>
          <w:szCs w:val="20"/>
          <w:color w:val="auto"/>
        </w:rPr>
        <w:t>” has the meaning set forth in the First Amendment.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85" w:name="page86"/>
    <w:bookmarkEnd w:id="85"/>
    <w:p>
      <w:pPr>
        <w:jc w:val="both"/>
        <w:ind w:left="1760" w:right="8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Aussie Health Subordination Agreement</w:t>
      </w:r>
      <w:r>
        <w:rPr>
          <w:rFonts w:ascii="Arial" w:cs="Arial" w:eastAsia="Arial" w:hAnsi="Arial"/>
          <w:sz w:val="20"/>
          <w:szCs w:val="20"/>
          <w:color w:val="auto"/>
        </w:rPr>
        <w:t>” means that certain Subordination Agreement, dated as of the First Amendment Effective Date, among the parties signatory thereto, as subordinated creditors, Collateral Agent, Lenders and Borrowers, as such document may be amended, restated, supplemented or otherwise modified from time to time after the date hereof.</w:t>
      </w:r>
    </w:p>
    <w:p>
      <w:pPr>
        <w:spacing w:after="0" w:line="157" w:lineRule="exact"/>
        <w:rPr>
          <w:sz w:val="20"/>
          <w:szCs w:val="20"/>
          <w:color w:val="auto"/>
        </w:rPr>
      </w:pPr>
    </w:p>
    <w:p>
      <w:pPr>
        <w:jc w:val="both"/>
        <w:ind w:left="1760" w:right="88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means that certain Omnibus Limited Consent, Joinder and Amendment to Venture Loan and Security Agreement, dated as of September </w:t>
      </w:r>
      <w:r>
        <w:rPr>
          <w:rFonts w:ascii="Arial" w:cs="Arial" w:eastAsia="Arial" w:hAnsi="Arial"/>
          <w:sz w:val="18"/>
          <w:szCs w:val="18"/>
          <w:b w:val="1"/>
          <w:bCs w:val="1"/>
          <w:color w:val="auto"/>
        </w:rPr>
        <w:t>[ ]</w:t>
      </w:r>
      <w:r>
        <w:rPr>
          <w:rFonts w:ascii="Arial" w:cs="Arial" w:eastAsia="Arial" w:hAnsi="Arial"/>
          <w:sz w:val="18"/>
          <w:szCs w:val="18"/>
          <w:color w:val="auto"/>
        </w:rPr>
        <w:t>, 2019, among Borrowers, Collateral Agent and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-73025</wp:posOffset>
            </wp:positionV>
            <wp:extent cx="93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5" w:lineRule="exact"/>
        <w:rPr>
          <w:sz w:val="20"/>
          <w:szCs w:val="20"/>
          <w:color w:val="auto"/>
        </w:rPr>
      </w:pPr>
    </w:p>
    <w:p>
      <w:pPr>
        <w:jc w:val="both"/>
        <w:ind w:left="1760" w:right="8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Amendment Effective Date</w:t>
      </w:r>
      <w:r>
        <w:rPr>
          <w:rFonts w:ascii="Arial" w:cs="Arial" w:eastAsia="Arial" w:hAnsi="Arial"/>
          <w:sz w:val="20"/>
          <w:szCs w:val="20"/>
          <w:color w:val="auto"/>
        </w:rPr>
        <w:t>” means the first date on which all of the conditions set forth in Section 9 of the First Amendment are satisfied.</w:t>
      </w:r>
    </w:p>
    <w:p>
      <w:pPr>
        <w:spacing w:after="0" w:line="156" w:lineRule="exact"/>
        <w:rPr>
          <w:sz w:val="20"/>
          <w:szCs w:val="20"/>
          <w:color w:val="auto"/>
        </w:rPr>
      </w:pPr>
    </w:p>
    <w:p>
      <w:pPr>
        <w:ind w:right="20" w:firstLine="1763"/>
        <w:spacing w:after="0" w:line="250" w:lineRule="auto"/>
        <w:tabs>
          <w:tab w:leader="none" w:pos="2634"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The definition of “Permitted Indebtedness” appearing in Section 1 of the Credit Agreement is hereby amended by: (1) deleting the reference to “and” at the end of clause (f) thereof, (2) replacing the “.” at the end of clause (g) thereof with “; and” and (3) inserting the following as a new clause (h) thereof:</w:t>
      </w:r>
    </w:p>
    <w:p>
      <w:pPr>
        <w:spacing w:after="0" w:line="15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20"/>
          <w:szCs w:val="20"/>
          <w:color w:val="auto"/>
        </w:rPr>
        <w:t>Indebtedness in respect of the Aussie Health Seller Note.”</w:t>
      </w:r>
    </w:p>
    <w:p>
      <w:pPr>
        <w:spacing w:after="0" w:line="202" w:lineRule="exact"/>
        <w:rPr>
          <w:sz w:val="20"/>
          <w:szCs w:val="20"/>
          <w:color w:val="auto"/>
        </w:rPr>
      </w:pPr>
    </w:p>
    <w:p>
      <w:pPr>
        <w:ind w:left="2640" w:hanging="877"/>
        <w:spacing w:after="0"/>
        <w:tabs>
          <w:tab w:leader="none" w:pos="2640" w:val="left"/>
        </w:tabs>
        <w:numPr>
          <w:ilvl w:val="0"/>
          <w:numId w:val="53"/>
        </w:numPr>
        <w:rPr>
          <w:rFonts w:ascii="Arial" w:cs="Arial" w:eastAsia="Arial" w:hAnsi="Arial"/>
          <w:sz w:val="20"/>
          <w:szCs w:val="20"/>
          <w:color w:val="010000"/>
        </w:rPr>
      </w:pPr>
      <w:r>
        <w:rPr>
          <w:rFonts w:ascii="Arial" w:cs="Arial" w:eastAsia="Arial" w:hAnsi="Arial"/>
          <w:sz w:val="20"/>
          <w:szCs w:val="20"/>
          <w:color w:val="auto"/>
        </w:rPr>
        <w:t>Section 7.9 is hereby amended by hereby amended and restated in its entirety to read as follows:</w:t>
      </w:r>
    </w:p>
    <w:p>
      <w:pPr>
        <w:spacing w:after="0" w:line="202" w:lineRule="exact"/>
        <w:rPr>
          <w:sz w:val="20"/>
          <w:szCs w:val="20"/>
          <w:color w:val="auto"/>
        </w:rPr>
      </w:pPr>
    </w:p>
    <w:p>
      <w:pPr>
        <w:jc w:val="both"/>
        <w:ind w:left="880" w:firstLine="810"/>
        <w:spacing w:after="0" w:line="257"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u w:val="single" w:color="auto"/>
          <w:color w:val="auto"/>
        </w:rPr>
        <w:t>Indebtedness Payments</w:t>
      </w:r>
      <w:r>
        <w:rPr>
          <w:rFonts w:ascii="Arial" w:cs="Arial" w:eastAsia="Arial" w:hAnsi="Arial"/>
          <w:sz w:val="19"/>
          <w:szCs w:val="19"/>
          <w:color w:val="auto"/>
        </w:rPr>
        <w:t>. (a) Prepay, redeem, purchase, defease or otherwise satisfy in any manner prior to the scheduled repayment thereof any Indebtedness for borrowed money (other than amounts due or permitted to be prepaid under this Agreement or under any revolving credit agreement constituting Permitted Indebtedness under clause (d) of the definition of Permitted Indebtedness) or lease obligations, (b) except to the extent permitted by the Intercreditor Agreement, amend, modify or otherwise change the terms of any Indebtedness for borrowed money or lease obligations so as to accelerate the scheduled repayment thereof or (c) repay any notes to officers, directors or shareholders. Notwithstanding the foregoing, Co-Borrowers may declare, pay, make or set aside any amount for payment in respect of the Aussie Health Seller Note to the extent permitted by the Aussie Health Subordination Agreement.”</w:t>
      </w:r>
    </w:p>
    <w:p>
      <w:pPr>
        <w:spacing w:after="0" w:line="154" w:lineRule="exact"/>
        <w:rPr>
          <w:sz w:val="20"/>
          <w:szCs w:val="20"/>
          <w:color w:val="auto"/>
        </w:rPr>
      </w:pPr>
    </w:p>
    <w:p>
      <w:pPr>
        <w:ind w:left="2640" w:hanging="877"/>
        <w:spacing w:after="0"/>
        <w:tabs>
          <w:tab w:leader="none" w:pos="2640"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Section 6.3 is hereby amended by adding the following sentence at the end thereof:</w:t>
      </w:r>
    </w:p>
    <w:p>
      <w:pPr>
        <w:spacing w:after="0" w:line="202" w:lineRule="exact"/>
        <w:rPr>
          <w:sz w:val="20"/>
          <w:szCs w:val="20"/>
          <w:color w:val="auto"/>
        </w:rPr>
      </w:pPr>
    </w:p>
    <w:p>
      <w:pPr>
        <w:jc w:val="both"/>
        <w:ind w:left="1760"/>
        <w:spacing w:after="0" w:line="282" w:lineRule="auto"/>
        <w:rPr>
          <w:sz w:val="20"/>
          <w:szCs w:val="20"/>
          <w:color w:val="auto"/>
        </w:rPr>
      </w:pPr>
      <w:r>
        <w:rPr>
          <w:rFonts w:ascii="Arial" w:cs="Arial" w:eastAsia="Arial" w:hAnsi="Arial"/>
          <w:sz w:val="18"/>
          <w:szCs w:val="18"/>
          <w:color w:val="auto"/>
        </w:rPr>
        <w:t>“Notwithstanding anything to the contrary herein, documents required to be delivered to Lenders after any Co-Borrower becomes a public company (to the extent any such documents are included in materials filed with the SEC) may be delivered electronically and if so delivered, shall be deemed to have been delivered on the date on which Borrowers posts such documents, or provides a link thereto, on Borrowers’ website on the Internet at Borrowers’ website address.”</w:t>
      </w:r>
    </w:p>
    <w:p>
      <w:pPr>
        <w:spacing w:after="0" w:line="148" w:lineRule="exact"/>
        <w:rPr>
          <w:sz w:val="20"/>
          <w:szCs w:val="20"/>
          <w:color w:val="auto"/>
        </w:rPr>
      </w:pPr>
    </w:p>
    <w:p>
      <w:pPr>
        <w:jc w:val="both"/>
        <w:ind w:firstLine="1763"/>
        <w:spacing w:after="0" w:line="250" w:lineRule="auto"/>
        <w:tabs>
          <w:tab w:leader="none" w:pos="2623" w:val="left"/>
        </w:tabs>
        <w:numPr>
          <w:ilvl w:val="1"/>
          <w:numId w:val="55"/>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are supplements to the Disclosure Schedules to the Credit Agreement and setting forth the relevant information with respect to New Borrower which are added to the information set forth on Disclosure Schedules to the Credit Agreement to which they apply and shall be deemed attached thereto and become a part thereof.</w:t>
      </w:r>
    </w:p>
    <w:p>
      <w:pPr>
        <w:spacing w:after="0" w:line="159" w:lineRule="exact"/>
        <w:rPr>
          <w:rFonts w:ascii="Arial" w:cs="Arial" w:eastAsia="Arial" w:hAnsi="Arial"/>
          <w:sz w:val="20"/>
          <w:szCs w:val="20"/>
          <w:color w:val="010000"/>
        </w:rPr>
      </w:pPr>
    </w:p>
    <w:p>
      <w:pPr>
        <w:ind w:left="1680" w:hanging="795"/>
        <w:spacing w:after="0"/>
        <w:tabs>
          <w:tab w:leader="none" w:pos="1680" w:val="left"/>
        </w:tabs>
        <w:numPr>
          <w:ilvl w:val="0"/>
          <w:numId w:val="56"/>
        </w:numPr>
        <w:rPr>
          <w:rFonts w:ascii="Arial" w:cs="Arial" w:eastAsia="Arial" w:hAnsi="Arial"/>
          <w:sz w:val="20"/>
          <w:szCs w:val="20"/>
          <w:b w:val="1"/>
          <w:bCs w:val="1"/>
          <w:color w:val="010000"/>
        </w:rPr>
      </w:pPr>
      <w:r>
        <w:rPr>
          <w:rFonts w:ascii="Arial" w:cs="Arial" w:eastAsia="Arial" w:hAnsi="Arial"/>
          <w:sz w:val="20"/>
          <w:szCs w:val="20"/>
          <w:color w:val="auto"/>
        </w:rPr>
        <w:t>Intentionally Omitted.</w:t>
      </w:r>
    </w:p>
    <w:p>
      <w:pPr>
        <w:spacing w:after="0" w:line="196" w:lineRule="exact"/>
        <w:rPr>
          <w:rFonts w:ascii="Arial" w:cs="Arial" w:eastAsia="Arial" w:hAnsi="Arial"/>
          <w:sz w:val="20"/>
          <w:szCs w:val="20"/>
          <w:b w:val="1"/>
          <w:bCs w:val="1"/>
          <w:color w:val="010000"/>
        </w:rPr>
      </w:pPr>
    </w:p>
    <w:p>
      <w:pPr>
        <w:jc w:val="both"/>
        <w:ind w:firstLine="885"/>
        <w:spacing w:after="0" w:line="246" w:lineRule="auto"/>
        <w:tabs>
          <w:tab w:leader="none" w:pos="1674" w:val="left"/>
        </w:tabs>
        <w:numPr>
          <w:ilvl w:val="0"/>
          <w:numId w:val="5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Grant of Security Interest</w:t>
      </w:r>
      <w:r>
        <w:rPr>
          <w:rFonts w:ascii="Arial" w:cs="Arial" w:eastAsia="Arial" w:hAnsi="Arial"/>
          <w:sz w:val="20"/>
          <w:szCs w:val="20"/>
          <w:color w:val="auto"/>
        </w:rPr>
        <w:t>. Consistent with the intent of the parties and in consideration of the accommodations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as further security for the prompt payment in full of all Obligations, New Borrower hereby collaterally assigns and grants to Lenders, and subject only to Permitted Liens, a continuing Lien on and security interest in, upon, and to all of New Borrower’s right, title and interest in and to all of New Borrower’s assets, including without limitation, all of New Borrower’s right, title, and interest in and to the following, whether now owned or hereafter created, acquired or arising: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86" w:name="page87"/>
    <w:bookmarkEnd w:id="86"/>
    <w:p>
      <w:pPr>
        <w:jc w:val="both"/>
        <w:ind w:firstLine="1763"/>
        <w:spacing w:after="0" w:line="282" w:lineRule="auto"/>
        <w:tabs>
          <w:tab w:leader="none" w:pos="2623" w:val="left"/>
        </w:tabs>
        <w:numPr>
          <w:ilvl w:val="1"/>
          <w:numId w:val="57"/>
        </w:numPr>
        <w:rPr>
          <w:rFonts w:ascii="Arial" w:cs="Arial" w:eastAsia="Arial" w:hAnsi="Arial"/>
          <w:sz w:val="18"/>
          <w:szCs w:val="18"/>
          <w:color w:val="010000"/>
        </w:rPr>
      </w:pPr>
      <w:r>
        <w:rPr>
          <w:rFonts w:ascii="Arial" w:cs="Arial" w:eastAsia="Arial" w:hAnsi="Arial"/>
          <w:sz w:val="18"/>
          <w:szCs w:val="18"/>
          <w:color w:val="auto"/>
        </w:rPr>
        <w:t>All goods (and embedded computer programs and supporting information included within the definition of “goods” under the Code) and equipment now owned or hereafter acquired, including all laboratory equipment, computer equipment, office equipment, machinery, fixtures, vehicles (including motor vehicles and trailers), and any interest in any of the foregoing, and all attachments, accessories, accessions, replacements, substitutions, additions, and improvements to any of the foregoing, wherever located;</w:t>
      </w:r>
    </w:p>
    <w:p>
      <w:pPr>
        <w:spacing w:after="0" w:line="134" w:lineRule="exact"/>
        <w:rPr>
          <w:rFonts w:ascii="Arial" w:cs="Arial" w:eastAsia="Arial" w:hAnsi="Arial"/>
          <w:sz w:val="18"/>
          <w:szCs w:val="18"/>
          <w:color w:val="010000"/>
        </w:rPr>
      </w:pPr>
    </w:p>
    <w:p>
      <w:pPr>
        <w:jc w:val="both"/>
        <w:ind w:firstLine="1763"/>
        <w:spacing w:after="0" w:line="244" w:lineRule="auto"/>
        <w:tabs>
          <w:tab w:leader="none" w:pos="2634" w:val="left"/>
        </w:tabs>
        <w:numPr>
          <w:ilvl w:val="1"/>
          <w:numId w:val="57"/>
        </w:numPr>
        <w:rPr>
          <w:rFonts w:ascii="Arial" w:cs="Arial" w:eastAsia="Arial" w:hAnsi="Arial"/>
          <w:sz w:val="20"/>
          <w:szCs w:val="20"/>
          <w:color w:val="010000"/>
        </w:rPr>
      </w:pPr>
      <w:r>
        <w:rPr>
          <w:rFonts w:ascii="Arial" w:cs="Arial" w:eastAsia="Arial" w:hAnsi="Arial"/>
          <w:sz w:val="20"/>
          <w:szCs w:val="20"/>
          <w:color w:val="auto"/>
        </w:rPr>
        <w:t>All inventory now owned or hereafter acquired, including all merchandise, raw materials, parts, supplies, packing and shipping materials, work in process and finished products including such inventory as is temporarily out of New Borrower’s custody or possession or in transit and including any returns upon any accounts or other proceeds, including insurance proceeds, resulting from the sale or disposition of any of the foregoing and any documents of title representing any of the above, and New Borrower’s books relating to any of the foregoing;</w:t>
      </w:r>
    </w:p>
    <w:p>
      <w:pPr>
        <w:spacing w:after="0" w:line="181" w:lineRule="exact"/>
        <w:rPr>
          <w:rFonts w:ascii="Arial" w:cs="Arial" w:eastAsia="Arial" w:hAnsi="Arial"/>
          <w:sz w:val="20"/>
          <w:szCs w:val="20"/>
          <w:color w:val="010000"/>
        </w:rPr>
      </w:pPr>
    </w:p>
    <w:p>
      <w:pPr>
        <w:jc w:val="both"/>
        <w:ind w:firstLine="1763"/>
        <w:spacing w:after="0" w:line="263" w:lineRule="auto"/>
        <w:tabs>
          <w:tab w:leader="none" w:pos="2623"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All contract rights and general intangibles (including Intellectual Property), now owned or hereafter acquired, including goodwill, license agreements, franchise agreements, blueprints, drawings, purchase orders, customer lists, route lists, infringements, claims, software, computer programs, computer disks, computer tapes, literature, reports, catalogs, design rights, income tax refunds, payment intangibles, commercial tort claims, payments of insurance and rights to payment of any kind;</w:t>
      </w:r>
    </w:p>
    <w:p>
      <w:pPr>
        <w:spacing w:after="0" w:line="163" w:lineRule="exact"/>
        <w:rPr>
          <w:rFonts w:ascii="Arial" w:cs="Arial" w:eastAsia="Arial" w:hAnsi="Arial"/>
          <w:sz w:val="19"/>
          <w:szCs w:val="19"/>
          <w:color w:val="010000"/>
        </w:rPr>
      </w:pPr>
    </w:p>
    <w:p>
      <w:pPr>
        <w:jc w:val="both"/>
        <w:ind w:firstLine="1763"/>
        <w:spacing w:after="0" w:line="278" w:lineRule="auto"/>
        <w:tabs>
          <w:tab w:leader="none" w:pos="2634" w:val="left"/>
        </w:tabs>
        <w:numPr>
          <w:ilvl w:val="1"/>
          <w:numId w:val="57"/>
        </w:numPr>
        <w:rPr>
          <w:rFonts w:ascii="Arial" w:cs="Arial" w:eastAsia="Arial" w:hAnsi="Arial"/>
          <w:sz w:val="18"/>
          <w:szCs w:val="18"/>
          <w:color w:val="010000"/>
        </w:rPr>
      </w:pPr>
      <w:r>
        <w:rPr>
          <w:rFonts w:ascii="Arial" w:cs="Arial" w:eastAsia="Arial" w:hAnsi="Arial"/>
          <w:sz w:val="18"/>
          <w:szCs w:val="18"/>
          <w:color w:val="auto"/>
        </w:rPr>
        <w:t>All now existing and hereafter arising accounts, contract rights, royalties, license rights, license fees and all other forms of obligations owing to New Borrower arising out of the sale or lease of goods, the licensing of technology or the rendering of services by New Borrower (subject, in each case, to the contractual rights of third parties to require funds received by New Borrower to be expended in a particular manner), whether or not earned by performance, and any and all credit insurance, guaranties, and other security therefor, as well as all merchandise returned to or reclaimed by New Borrower and New Borrower’s books relating to any of the foregoing;</w:t>
      </w:r>
    </w:p>
    <w:p>
      <w:pPr>
        <w:spacing w:after="0" w:line="138" w:lineRule="exact"/>
        <w:rPr>
          <w:rFonts w:ascii="Arial" w:cs="Arial" w:eastAsia="Arial" w:hAnsi="Arial"/>
          <w:sz w:val="18"/>
          <w:szCs w:val="18"/>
          <w:color w:val="010000"/>
        </w:rPr>
      </w:pPr>
    </w:p>
    <w:p>
      <w:pPr>
        <w:jc w:val="both"/>
        <w:ind w:firstLine="1763"/>
        <w:spacing w:after="0" w:line="260" w:lineRule="auto"/>
        <w:tabs>
          <w:tab w:leader="none" w:pos="2623"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All documents, cash, deposit accounts, letters of credit and letters of credit rights (whether or not the letter of credit is evidenced by a writing) and other supporting obligations, certificates of deposit, instruments, promissory notes, chattel paper (whether tangible or electronic) and investment property, including all securities, whether certificated or uncertificated, security entitlements, securities accounts, commodity contracts and commodity accounts, and all financial assets held in any securities account or otherwise, wherever located, now owned or hereafter acquired and New Borrower’s books relating to the foregoing; and</w:t>
      </w:r>
    </w:p>
    <w:p>
      <w:pPr>
        <w:spacing w:after="0" w:line="167" w:lineRule="exact"/>
        <w:rPr>
          <w:rFonts w:ascii="Arial" w:cs="Arial" w:eastAsia="Arial" w:hAnsi="Arial"/>
          <w:sz w:val="19"/>
          <w:szCs w:val="19"/>
          <w:color w:val="010000"/>
        </w:rPr>
      </w:pPr>
    </w:p>
    <w:p>
      <w:pPr>
        <w:jc w:val="both"/>
        <w:ind w:firstLine="1763"/>
        <w:spacing w:after="0" w:line="246" w:lineRule="auto"/>
        <w:tabs>
          <w:tab w:leader="none" w:pos="2601" w:val="left"/>
        </w:tabs>
        <w:numPr>
          <w:ilvl w:val="1"/>
          <w:numId w:val="57"/>
        </w:numPr>
        <w:rPr>
          <w:rFonts w:ascii="Arial" w:cs="Arial" w:eastAsia="Arial" w:hAnsi="Arial"/>
          <w:sz w:val="20"/>
          <w:szCs w:val="20"/>
          <w:color w:val="010000"/>
        </w:rPr>
      </w:pPr>
      <w:r>
        <w:rPr>
          <w:rFonts w:ascii="Arial" w:cs="Arial" w:eastAsia="Arial" w:hAnsi="Arial"/>
          <w:sz w:val="20"/>
          <w:szCs w:val="20"/>
          <w:color w:val="auto"/>
        </w:rPr>
        <w:t>To the extent not covered by clauses (a) through (e), all other personal property of New Borrower, whether tangible or intangible, and any and all rights and interests in any of the above and the foregoing and, any and all claims, rights and interests in any of the above and all substitutions for, additions and accessions to and proceeds thereof, including insurance, condemnation, requisition or similar payments and proceeds of the sale or licensing of Intellectual Property.</w:t>
      </w:r>
    </w:p>
    <w:p>
      <w:pPr>
        <w:spacing w:after="0" w:line="178" w:lineRule="exact"/>
        <w:rPr>
          <w:rFonts w:ascii="Arial" w:cs="Arial" w:eastAsia="Arial" w:hAnsi="Arial"/>
          <w:sz w:val="20"/>
          <w:szCs w:val="20"/>
          <w:color w:val="010000"/>
        </w:rPr>
      </w:pPr>
    </w:p>
    <w:p>
      <w:pPr>
        <w:jc w:val="both"/>
        <w:ind w:firstLine="1763"/>
        <w:spacing w:after="0" w:line="250" w:lineRule="auto"/>
        <w:tabs>
          <w:tab w:leader="none" w:pos="2634" w:val="left"/>
        </w:tabs>
        <w:numPr>
          <w:ilvl w:val="1"/>
          <w:numId w:val="57"/>
        </w:numPr>
        <w:rPr>
          <w:rFonts w:ascii="Arial" w:cs="Arial" w:eastAsia="Arial" w:hAnsi="Arial"/>
          <w:sz w:val="20"/>
          <w:szCs w:val="20"/>
          <w:color w:val="010000"/>
        </w:rPr>
      </w:pPr>
      <w:r>
        <w:rPr>
          <w:rFonts w:ascii="Arial" w:cs="Arial" w:eastAsia="Arial" w:hAnsi="Arial"/>
          <w:sz w:val="20"/>
          <w:szCs w:val="20"/>
          <w:color w:val="auto"/>
        </w:rPr>
        <w:t>New Borrower hereby authorizes Lenders to file UCC-1 financing statements against New Borrower covering the Collateral owned by New Borrower in such jurisdictions as Lenders shall deem necessary, prudent or desirable to perfect and protect the liens and security interests granted to Lenders hereunder.</w:t>
      </w:r>
    </w:p>
    <w:p>
      <w:pPr>
        <w:spacing w:after="0" w:line="153" w:lineRule="exact"/>
        <w:rPr>
          <w:rFonts w:ascii="Arial" w:cs="Arial" w:eastAsia="Arial" w:hAnsi="Arial"/>
          <w:sz w:val="20"/>
          <w:szCs w:val="20"/>
          <w:color w:val="010000"/>
        </w:rPr>
      </w:pPr>
    </w:p>
    <w:p>
      <w:pPr>
        <w:jc w:val="both"/>
        <w:ind w:firstLine="885"/>
        <w:spacing w:after="0" w:line="262" w:lineRule="auto"/>
        <w:tabs>
          <w:tab w:leader="none" w:pos="1674" w:val="left"/>
        </w:tabs>
        <w:numPr>
          <w:ilvl w:val="0"/>
          <w:numId w:val="58"/>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Representations and Warranties; Reaffirmation of Security Interest</w:t>
      </w:r>
      <w:r>
        <w:rPr>
          <w:rFonts w:ascii="Arial" w:cs="Arial" w:eastAsia="Arial" w:hAnsi="Arial"/>
          <w:sz w:val="19"/>
          <w:szCs w:val="19"/>
          <w:color w:val="auto"/>
        </w:rPr>
        <w:t>. Each Borrower hereby (a) confirms that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and warranties set forth in the Credit Agreement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 or warranty shall be true and correct in all material respects as of such earlier date, and (b) covenants to perform its respective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87" w:name="page88"/>
    <w:bookmarkEnd w:id="87"/>
    <w:p>
      <w:pPr>
        <w:jc w:val="both"/>
        <w:spacing w:after="0" w:line="276" w:lineRule="auto"/>
        <w:rPr>
          <w:sz w:val="20"/>
          <w:szCs w:val="20"/>
          <w:color w:val="auto"/>
        </w:rPr>
      </w:pPr>
      <w:r>
        <w:rPr>
          <w:rFonts w:ascii="Arial" w:cs="Arial" w:eastAsia="Arial" w:hAnsi="Arial"/>
          <w:sz w:val="18"/>
          <w:szCs w:val="18"/>
          <w:color w:val="auto"/>
        </w:rPr>
        <w:t>obligations under the Credit Agreement. Each Borrower confirms and agrees that all security interests and Liens granted to Lenders continue in full force and effect, and all Collateral remains free and clear of any Liens, other than Permitted Liens. Nothing herein is intended to impair or limit the validity, priority or extent of Lenders’ security interests in and Liens on the Collateral. Each Borrower acknowledges and agrees that the Credit Agreement, the other Loan Documents and this Agreement constitute the legal, valid and binding obligation of such Borrower, and are enforceable against such Borrower in accordance with its terms, except as the enforceability thereof may be limited by bankruptcy, insolvency or other similar laws relating to the enforcement of creditors’ rights generally and by general equitable principles.</w:t>
      </w:r>
    </w:p>
    <w:p>
      <w:pPr>
        <w:spacing w:after="0" w:line="132" w:lineRule="exact"/>
        <w:rPr>
          <w:sz w:val="20"/>
          <w:szCs w:val="20"/>
          <w:color w:val="auto"/>
        </w:rPr>
      </w:pPr>
    </w:p>
    <w:p>
      <w:pPr>
        <w:jc w:val="both"/>
        <w:ind w:firstLine="885"/>
        <w:spacing w:after="0" w:line="285" w:lineRule="auto"/>
        <w:tabs>
          <w:tab w:leader="none" w:pos="1674" w:val="left"/>
        </w:tabs>
        <w:numPr>
          <w:ilvl w:val="0"/>
          <w:numId w:val="5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Costs and Fees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shall be responsible for the payment of all reasonable and documented out-of-pocket costs</w:t>
      </w:r>
      <w:r>
        <w:rPr>
          <w:rFonts w:ascii="Arial" w:cs="Arial" w:eastAsia="Arial" w:hAnsi="Arial"/>
          <w:sz w:val="18"/>
          <w:szCs w:val="18"/>
          <w:b w:val="1"/>
          <w:bCs w:val="1"/>
          <w:color w:val="auto"/>
        </w:rPr>
        <w:t xml:space="preserve"> </w:t>
      </w:r>
      <w:r>
        <w:rPr>
          <w:rFonts w:ascii="Arial" w:cs="Arial" w:eastAsia="Arial" w:hAnsi="Arial"/>
          <w:sz w:val="18"/>
          <w:szCs w:val="18"/>
          <w:color w:val="auto"/>
        </w:rPr>
        <w:t>and fees of Lenders’ counsel incurred in connection with the preparation of this Agreement and any related documents. If any Lender uses in-house counsel for any of these purposes, Borrowers further agree that the Obligations include reasonable charges for such work commensurate with the fees that would otherwise be charged by outside legal counsel selected by such Lender for the work performed.</w:t>
      </w:r>
    </w:p>
    <w:p>
      <w:pPr>
        <w:spacing w:after="0" w:line="137" w:lineRule="exact"/>
        <w:rPr>
          <w:rFonts w:ascii="Arial" w:cs="Arial" w:eastAsia="Arial" w:hAnsi="Arial"/>
          <w:sz w:val="18"/>
          <w:szCs w:val="18"/>
          <w:b w:val="1"/>
          <w:bCs w:val="1"/>
          <w:color w:val="010000"/>
        </w:rPr>
      </w:pPr>
    </w:p>
    <w:p>
      <w:pPr>
        <w:jc w:val="both"/>
        <w:ind w:firstLine="885"/>
        <w:spacing w:after="0" w:line="253" w:lineRule="auto"/>
        <w:tabs>
          <w:tab w:leader="none" w:pos="1674" w:val="left"/>
        </w:tabs>
        <w:numPr>
          <w:ilvl w:val="0"/>
          <w:numId w:val="59"/>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Conditions to Effectiveness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become effective as of the date on which Lenders have received each</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document and instrument set forth in this section, each in form and substance satisfactory to Lenders, including the satisfaction of the following conditions precedent, each to the satisfaction of Lenders in their sole discretion:</w:t>
      </w:r>
    </w:p>
    <w:p>
      <w:pPr>
        <w:spacing w:after="0" w:line="170" w:lineRule="exact"/>
        <w:rPr>
          <w:rFonts w:ascii="Arial" w:cs="Arial" w:eastAsia="Arial" w:hAnsi="Arial"/>
          <w:sz w:val="20"/>
          <w:szCs w:val="20"/>
          <w:b w:val="1"/>
          <w:bCs w:val="1"/>
          <w:color w:val="010000"/>
        </w:rPr>
      </w:pPr>
    </w:p>
    <w:p>
      <w:pPr>
        <w:ind w:left="880" w:right="20" w:firstLine="816"/>
        <w:spacing w:after="0" w:line="260" w:lineRule="auto"/>
        <w:tabs>
          <w:tab w:leader="none" w:pos="2558" w:val="left"/>
        </w:tabs>
        <w:numPr>
          <w:ilvl w:val="1"/>
          <w:numId w:val="59"/>
        </w:numPr>
        <w:rPr>
          <w:rFonts w:ascii="Arial" w:cs="Arial" w:eastAsia="Arial" w:hAnsi="Arial"/>
          <w:sz w:val="20"/>
          <w:szCs w:val="20"/>
          <w:color w:val="auto"/>
        </w:rPr>
      </w:pPr>
      <w:r>
        <w:rPr>
          <w:rFonts w:ascii="Arial" w:cs="Arial" w:eastAsia="Arial" w:hAnsi="Arial"/>
          <w:sz w:val="20"/>
          <w:szCs w:val="20"/>
          <w:color w:val="auto"/>
        </w:rPr>
        <w:t>Borrowers shall have delivered to Lenders this Agreement, duly executed by an authorized officer (or authorized signatory) of each Borrower;</w:t>
      </w:r>
    </w:p>
    <w:p>
      <w:pPr>
        <w:spacing w:after="0" w:line="149" w:lineRule="exact"/>
        <w:rPr>
          <w:rFonts w:ascii="Arial" w:cs="Arial" w:eastAsia="Arial" w:hAnsi="Arial"/>
          <w:sz w:val="20"/>
          <w:szCs w:val="20"/>
          <w:color w:val="auto"/>
        </w:rPr>
      </w:pPr>
    </w:p>
    <w:p>
      <w:pPr>
        <w:ind w:left="880" w:right="20" w:firstLine="816"/>
        <w:spacing w:after="0" w:line="260" w:lineRule="auto"/>
        <w:tabs>
          <w:tab w:leader="none" w:pos="2569" w:val="left"/>
        </w:tabs>
        <w:numPr>
          <w:ilvl w:val="1"/>
          <w:numId w:val="59"/>
        </w:numPr>
        <w:rPr>
          <w:rFonts w:ascii="Arial" w:cs="Arial" w:eastAsia="Arial" w:hAnsi="Arial"/>
          <w:sz w:val="20"/>
          <w:szCs w:val="20"/>
          <w:color w:val="auto"/>
        </w:rPr>
      </w:pPr>
      <w:r>
        <w:rPr>
          <w:rFonts w:ascii="Arial" w:cs="Arial" w:eastAsia="Arial" w:hAnsi="Arial"/>
          <w:sz w:val="20"/>
          <w:szCs w:val="20"/>
          <w:color w:val="auto"/>
        </w:rPr>
        <w:t>Lenders shall have received the Aussie Health Subordination Agreement, duly executed by as subordinated creditors party thereto, Lenders and Borrowers;</w:t>
      </w:r>
    </w:p>
    <w:p>
      <w:pPr>
        <w:spacing w:after="0" w:line="163" w:lineRule="exact"/>
        <w:rPr>
          <w:rFonts w:ascii="Arial" w:cs="Arial" w:eastAsia="Arial" w:hAnsi="Arial"/>
          <w:sz w:val="20"/>
          <w:szCs w:val="20"/>
          <w:color w:val="auto"/>
        </w:rPr>
      </w:pPr>
    </w:p>
    <w:p>
      <w:pPr>
        <w:jc w:val="both"/>
        <w:ind w:left="880" w:firstLine="816"/>
        <w:spacing w:after="0" w:line="246" w:lineRule="auto"/>
        <w:tabs>
          <w:tab w:leader="none" w:pos="2558" w:val="left"/>
        </w:tabs>
        <w:numPr>
          <w:ilvl w:val="1"/>
          <w:numId w:val="59"/>
        </w:numPr>
        <w:rPr>
          <w:rFonts w:ascii="Arial" w:cs="Arial" w:eastAsia="Arial" w:hAnsi="Arial"/>
          <w:sz w:val="20"/>
          <w:szCs w:val="20"/>
          <w:color w:val="auto"/>
        </w:rPr>
      </w:pPr>
      <w:r>
        <w:rPr>
          <w:rFonts w:ascii="Arial" w:cs="Arial" w:eastAsia="Arial" w:hAnsi="Arial"/>
          <w:sz w:val="20"/>
          <w:szCs w:val="20"/>
          <w:color w:val="auto"/>
        </w:rPr>
        <w:t>Lenders shall have received a fully executed copy of the Aussie Health Acquisition Agreement and all other material agreements, documents or instruments pursuant to which the Aussie Health Acquisition is to be consummated, any schedules to such agreements, documents or instruments and all other material ancillary agreements, instruments and documents to be executed or delivered in connection therewith;</w:t>
      </w:r>
    </w:p>
    <w:p>
      <w:pPr>
        <w:spacing w:after="0" w:line="178" w:lineRule="exact"/>
        <w:rPr>
          <w:rFonts w:ascii="Arial" w:cs="Arial" w:eastAsia="Arial" w:hAnsi="Arial"/>
          <w:sz w:val="20"/>
          <w:szCs w:val="20"/>
          <w:color w:val="auto"/>
        </w:rPr>
      </w:pPr>
    </w:p>
    <w:p>
      <w:pPr>
        <w:jc w:val="both"/>
        <w:ind w:left="880" w:firstLine="816"/>
        <w:spacing w:after="0" w:line="246" w:lineRule="auto"/>
        <w:tabs>
          <w:tab w:leader="none" w:pos="2569" w:val="left"/>
        </w:tabs>
        <w:numPr>
          <w:ilvl w:val="1"/>
          <w:numId w:val="59"/>
        </w:numPr>
        <w:rPr>
          <w:rFonts w:ascii="Arial" w:cs="Arial" w:eastAsia="Arial" w:hAnsi="Arial"/>
          <w:sz w:val="20"/>
          <w:szCs w:val="20"/>
          <w:color w:val="auto"/>
        </w:rPr>
      </w:pPr>
      <w:r>
        <w:rPr>
          <w:rFonts w:ascii="Arial" w:cs="Arial" w:eastAsia="Arial" w:hAnsi="Arial"/>
          <w:sz w:val="20"/>
          <w:szCs w:val="20"/>
          <w:color w:val="auto"/>
        </w:rPr>
        <w:t>Substantially concurrently with the effectiveness of this Agreement, the Aussie Health Acquisition has been consummated (i) in all material respects in accordance with the terms of the Aussie Health Acquisition Agreement and (ii) in accordance with applicable law (and such parties’ delivery of their respective signatures hereto shall be deemed to be its certification thereof);</w:t>
      </w:r>
    </w:p>
    <w:p>
      <w:pPr>
        <w:spacing w:after="0" w:line="164" w:lineRule="exact"/>
        <w:rPr>
          <w:rFonts w:ascii="Arial" w:cs="Arial" w:eastAsia="Arial" w:hAnsi="Arial"/>
          <w:sz w:val="20"/>
          <w:szCs w:val="20"/>
          <w:color w:val="auto"/>
        </w:rPr>
      </w:pPr>
    </w:p>
    <w:p>
      <w:pPr>
        <w:ind w:left="2560" w:hanging="864"/>
        <w:spacing w:after="0"/>
        <w:tabs>
          <w:tab w:leader="none" w:pos="256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Grant of Security Interests Trademarks executed by the New Borrower;</w:t>
      </w:r>
    </w:p>
    <w:p>
      <w:pPr>
        <w:spacing w:after="0" w:line="202" w:lineRule="exact"/>
        <w:rPr>
          <w:rFonts w:ascii="Arial" w:cs="Arial" w:eastAsia="Arial" w:hAnsi="Arial"/>
          <w:sz w:val="20"/>
          <w:szCs w:val="20"/>
          <w:color w:val="auto"/>
        </w:rPr>
      </w:pPr>
    </w:p>
    <w:p>
      <w:pPr>
        <w:jc w:val="both"/>
        <w:ind w:left="880" w:firstLine="816"/>
        <w:spacing w:after="0" w:line="274" w:lineRule="auto"/>
        <w:tabs>
          <w:tab w:leader="none" w:pos="253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certificate from an officer (or another authorized person) of New Borrower certifying as to (i) the names and signatures of each officer or authorized signatories of the New Borrower authorized to execute and deliver this Agreement and all documents executed in connection therewith, (ii) the organizational documents of New Borrower attached to such certificate are complete and correct copies of such organizational documents as in effect on the date of such certification, (iii) the resolutions of New Borrower’s board of directors or other appropriate governing body approving and authorizing the execution, delivery and performance of this Agreement and the other documents executed in connection therewith, and (iv) certificates attesting to the good standing of New Borrower in each applicable jurisdiction, together with, if applicable, related tax certificates;</w:t>
      </w:r>
    </w:p>
    <w:p>
      <w:pPr>
        <w:spacing w:after="0" w:line="155" w:lineRule="exact"/>
        <w:rPr>
          <w:rFonts w:ascii="Arial" w:cs="Arial" w:eastAsia="Arial" w:hAnsi="Arial"/>
          <w:sz w:val="18"/>
          <w:szCs w:val="18"/>
          <w:color w:val="auto"/>
        </w:rPr>
      </w:pPr>
    </w:p>
    <w:p>
      <w:pPr>
        <w:ind w:left="880" w:firstLine="816"/>
        <w:spacing w:after="0" w:line="260" w:lineRule="auto"/>
        <w:tabs>
          <w:tab w:leader="none" w:pos="2569" w:val="left"/>
        </w:tabs>
        <w:numPr>
          <w:ilvl w:val="1"/>
          <w:numId w:val="59"/>
        </w:numPr>
        <w:rPr>
          <w:rFonts w:ascii="Arial" w:cs="Arial" w:eastAsia="Arial" w:hAnsi="Arial"/>
          <w:sz w:val="20"/>
          <w:szCs w:val="20"/>
          <w:color w:val="auto"/>
        </w:rPr>
      </w:pPr>
      <w:r>
        <w:rPr>
          <w:rFonts w:ascii="Arial" w:cs="Arial" w:eastAsia="Arial" w:hAnsi="Arial"/>
          <w:sz w:val="20"/>
          <w:szCs w:val="20"/>
          <w:color w:val="auto"/>
        </w:rPr>
        <w:t>for the New Borrower current UCC searches from the Secretary of State of its jurisdiction of organization with results reasonably acceptable to Lenders;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88" w:name="page89"/>
    <w:bookmarkEnd w:id="88"/>
    <w:p>
      <w:pPr>
        <w:ind w:left="880" w:firstLine="816"/>
        <w:spacing w:after="0" w:line="260" w:lineRule="auto"/>
        <w:tabs>
          <w:tab w:leader="none" w:pos="2569" w:val="left"/>
        </w:tabs>
        <w:numPr>
          <w:ilvl w:val="1"/>
          <w:numId w:val="60"/>
        </w:numPr>
        <w:rPr>
          <w:rFonts w:ascii="Arial" w:cs="Arial" w:eastAsia="Arial" w:hAnsi="Arial"/>
          <w:sz w:val="20"/>
          <w:szCs w:val="20"/>
          <w:color w:val="auto"/>
        </w:rPr>
      </w:pPr>
      <w:r>
        <w:rPr>
          <w:rFonts w:ascii="Arial" w:cs="Arial" w:eastAsia="Arial" w:hAnsi="Arial"/>
          <w:sz w:val="20"/>
          <w:szCs w:val="20"/>
          <w:color w:val="auto"/>
        </w:rPr>
        <w:t>Lenders shall have received a duly executed legal opinion of New Borrower’s counsel, addressed to Lenders, addressing matters Lenders may reasonably request;</w:t>
      </w:r>
    </w:p>
    <w:p>
      <w:pPr>
        <w:spacing w:after="0" w:line="149" w:lineRule="exact"/>
        <w:rPr>
          <w:rFonts w:ascii="Arial" w:cs="Arial" w:eastAsia="Arial" w:hAnsi="Arial"/>
          <w:sz w:val="20"/>
          <w:szCs w:val="20"/>
          <w:color w:val="auto"/>
        </w:rPr>
      </w:pPr>
    </w:p>
    <w:p>
      <w:pPr>
        <w:jc w:val="both"/>
        <w:ind w:left="880" w:firstLine="816"/>
        <w:spacing w:after="0" w:line="259" w:lineRule="auto"/>
        <w:tabs>
          <w:tab w:leader="none" w:pos="2525" w:val="left"/>
        </w:tabs>
        <w:numPr>
          <w:ilvl w:val="1"/>
          <w:numId w:val="60"/>
        </w:numPr>
        <w:rPr>
          <w:rFonts w:ascii="Arial" w:cs="Arial" w:eastAsia="Arial" w:hAnsi="Arial"/>
          <w:sz w:val="19"/>
          <w:szCs w:val="19"/>
          <w:color w:val="auto"/>
        </w:rPr>
      </w:pPr>
      <w:r>
        <w:rPr>
          <w:rFonts w:ascii="Arial" w:cs="Arial" w:eastAsia="Arial" w:hAnsi="Arial"/>
          <w:sz w:val="19"/>
          <w:szCs w:val="19"/>
          <w:color w:val="auto"/>
        </w:rPr>
        <w:t>all of the representations and warranties of Borrowers set forth herein and in the other Loan Documents are true and correct in all material respects (without duplication of any materiality qualifier in the text of such representation or warranty) with respect to such Borrower as of the date hereof except to the extent that any such representation or warranty relates to a specific date in which case such representations and warranties were true and correct in all material respects (without duplication of any materiality qualifier in the text of such representation or warranty) on and as of such date (and such parties’ delivery of their respective signatures hereto shall be deemed to be its certification thereof);</w:t>
      </w:r>
    </w:p>
    <w:p>
      <w:pPr>
        <w:spacing w:after="0" w:line="165" w:lineRule="exact"/>
        <w:rPr>
          <w:rFonts w:ascii="Arial" w:cs="Arial" w:eastAsia="Arial" w:hAnsi="Arial"/>
          <w:sz w:val="19"/>
          <w:szCs w:val="19"/>
          <w:color w:val="auto"/>
        </w:rPr>
      </w:pPr>
    </w:p>
    <w:p>
      <w:pPr>
        <w:ind w:left="880" w:firstLine="816"/>
        <w:spacing w:after="0" w:line="260" w:lineRule="auto"/>
        <w:tabs>
          <w:tab w:leader="none" w:pos="2525" w:val="left"/>
        </w:tabs>
        <w:numPr>
          <w:ilvl w:val="1"/>
          <w:numId w:val="60"/>
        </w:numPr>
        <w:rPr>
          <w:rFonts w:ascii="Arial" w:cs="Arial" w:eastAsia="Arial" w:hAnsi="Arial"/>
          <w:sz w:val="20"/>
          <w:szCs w:val="20"/>
          <w:color w:val="auto"/>
        </w:rPr>
      </w:pPr>
      <w:r>
        <w:rPr>
          <w:rFonts w:ascii="Arial" w:cs="Arial" w:eastAsia="Arial" w:hAnsi="Arial"/>
          <w:sz w:val="20"/>
          <w:szCs w:val="20"/>
          <w:color w:val="auto"/>
        </w:rPr>
        <w:t>no Default or Event of Default shall exist under any of the Loan Documents (and such parties’ delivery of their respective signatures hereto shall be deemed to be its certification thereof);</w:t>
      </w:r>
    </w:p>
    <w:p>
      <w:pPr>
        <w:spacing w:after="0" w:line="163" w:lineRule="exact"/>
        <w:rPr>
          <w:rFonts w:ascii="Arial" w:cs="Arial" w:eastAsia="Arial" w:hAnsi="Arial"/>
          <w:sz w:val="20"/>
          <w:szCs w:val="20"/>
          <w:color w:val="auto"/>
        </w:rPr>
      </w:pPr>
    </w:p>
    <w:p>
      <w:pPr>
        <w:jc w:val="both"/>
        <w:ind w:left="880" w:firstLine="816"/>
        <w:spacing w:after="0" w:line="282" w:lineRule="auto"/>
        <w:tabs>
          <w:tab w:leader="none" w:pos="2569"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executed copies of all consents and amendments required under the terms of the Amended and Restated Credit and Security Agreement dated as of November 23, 2018 (as amended from time to time) by and among MidCap Funding IV Trust as agent, the Lenders party thereto and the Credit Parties party thereto, in connection with the Aussie Health Acquisition and the Aussie Health Seller Note, in each case, in form and substance reasonably satisfactory to Lenders; and</w:t>
      </w:r>
    </w:p>
    <w:p>
      <w:pPr>
        <w:spacing w:after="0" w:line="134" w:lineRule="exact"/>
        <w:rPr>
          <w:rFonts w:ascii="Arial" w:cs="Arial" w:eastAsia="Arial" w:hAnsi="Arial"/>
          <w:sz w:val="18"/>
          <w:szCs w:val="18"/>
          <w:color w:val="auto"/>
        </w:rPr>
      </w:pPr>
    </w:p>
    <w:p>
      <w:pPr>
        <w:jc w:val="both"/>
        <w:ind w:left="880" w:firstLine="816"/>
        <w:spacing w:after="0" w:line="269" w:lineRule="auto"/>
        <w:tabs>
          <w:tab w:leader="none" w:pos="2525" w:val="left"/>
        </w:tabs>
        <w:numPr>
          <w:ilvl w:val="1"/>
          <w:numId w:val="60"/>
        </w:numPr>
        <w:rPr>
          <w:rFonts w:ascii="Arial" w:cs="Arial" w:eastAsia="Arial" w:hAnsi="Arial"/>
          <w:sz w:val="19"/>
          <w:szCs w:val="19"/>
          <w:color w:val="auto"/>
        </w:rPr>
      </w:pPr>
      <w:r>
        <w:rPr>
          <w:rFonts w:ascii="Arial" w:cs="Arial" w:eastAsia="Arial" w:hAnsi="Arial"/>
          <w:sz w:val="19"/>
          <w:szCs w:val="19"/>
          <w:color w:val="auto"/>
        </w:rPr>
        <w:t>Borrowers shall have delivered such other documents, information, certificates, records, permits, and filings as Lenders may reasonably request, including, without limitation, any agreements, instruments and other documents necessary to ensure that Lenders receive a perfected Lien in all of to the extent required by the Credit Agreement.</w:t>
      </w:r>
    </w:p>
    <w:p>
      <w:pPr>
        <w:spacing w:after="0" w:line="150" w:lineRule="exact"/>
        <w:rPr>
          <w:rFonts w:ascii="Arial" w:cs="Arial" w:eastAsia="Arial" w:hAnsi="Arial"/>
          <w:sz w:val="19"/>
          <w:szCs w:val="19"/>
          <w:color w:val="auto"/>
        </w:rPr>
      </w:pPr>
    </w:p>
    <w:p>
      <w:pPr>
        <w:ind w:left="1780" w:hanging="895"/>
        <w:spacing w:after="0"/>
        <w:tabs>
          <w:tab w:leader="none" w:pos="1780" w:val="left"/>
        </w:tabs>
        <w:numPr>
          <w:ilvl w:val="0"/>
          <w:numId w:val="6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Post-Closing Requirements</w:t>
      </w:r>
      <w:r>
        <w:rPr>
          <w:rFonts w:ascii="Arial" w:cs="Arial" w:eastAsia="Arial" w:hAnsi="Arial"/>
          <w:sz w:val="20"/>
          <w:szCs w:val="20"/>
          <w:color w:val="auto"/>
        </w:rPr>
        <w:t>. New Borrower hereby covenants and agrees that it shall:</w:t>
      </w:r>
    </w:p>
    <w:p>
      <w:pPr>
        <w:spacing w:after="0" w:line="208" w:lineRule="exact"/>
        <w:rPr>
          <w:rFonts w:ascii="Arial" w:cs="Arial" w:eastAsia="Arial" w:hAnsi="Arial"/>
          <w:sz w:val="20"/>
          <w:szCs w:val="20"/>
          <w:b w:val="1"/>
          <w:bCs w:val="1"/>
          <w:color w:val="010000"/>
        </w:rPr>
      </w:pPr>
    </w:p>
    <w:p>
      <w:pPr>
        <w:jc w:val="both"/>
        <w:ind w:firstLine="1763"/>
        <w:spacing w:after="0" w:line="250" w:lineRule="auto"/>
        <w:tabs>
          <w:tab w:leader="none" w:pos="2623" w:val="left"/>
        </w:tabs>
        <w:numPr>
          <w:ilvl w:val="2"/>
          <w:numId w:val="61"/>
        </w:numPr>
        <w:rPr>
          <w:rFonts w:ascii="Arial" w:cs="Arial" w:eastAsia="Arial" w:hAnsi="Arial"/>
          <w:sz w:val="20"/>
          <w:szCs w:val="20"/>
          <w:color w:val="010000"/>
        </w:rPr>
      </w:pPr>
      <w:r>
        <w:rPr>
          <w:rFonts w:ascii="Arial" w:cs="Arial" w:eastAsia="Arial" w:hAnsi="Arial"/>
          <w:sz w:val="20"/>
          <w:szCs w:val="20"/>
          <w:color w:val="auto"/>
        </w:rPr>
        <w:t>by the date that is thirty (30) days following the date hereof (or such later date as Lenders may agree in their sole discretion in writing), provide Lenders with insurance certificates and endorsements, naming Lenders as additional insured, assignee or lender loss payee, as applicable, as required by Section 6.8 of the Credit Agreement; and</w:t>
      </w:r>
    </w:p>
    <w:p>
      <w:pPr>
        <w:spacing w:after="0" w:line="159" w:lineRule="exact"/>
        <w:rPr>
          <w:rFonts w:ascii="Arial" w:cs="Arial" w:eastAsia="Arial" w:hAnsi="Arial"/>
          <w:sz w:val="20"/>
          <w:szCs w:val="20"/>
          <w:color w:val="010000"/>
        </w:rPr>
      </w:pPr>
    </w:p>
    <w:p>
      <w:pPr>
        <w:jc w:val="both"/>
        <w:ind w:firstLine="1763"/>
        <w:spacing w:after="0" w:line="243" w:lineRule="auto"/>
        <w:tabs>
          <w:tab w:leader="none" w:pos="2634" w:val="left"/>
        </w:tabs>
        <w:numPr>
          <w:ilvl w:val="2"/>
          <w:numId w:val="61"/>
        </w:numPr>
        <w:rPr>
          <w:rFonts w:ascii="Arial" w:cs="Arial" w:eastAsia="Arial" w:hAnsi="Arial"/>
          <w:sz w:val="20"/>
          <w:szCs w:val="20"/>
          <w:color w:val="010000"/>
        </w:rPr>
      </w:pPr>
      <w:r>
        <w:rPr>
          <w:rFonts w:ascii="Arial" w:cs="Arial" w:eastAsia="Arial" w:hAnsi="Arial"/>
          <w:sz w:val="20"/>
          <w:szCs w:val="20"/>
          <w:color w:val="auto"/>
        </w:rPr>
        <w:t xml:space="preserve">by the date that is thirty (30) days following the date hereof (or such later date as Lenders may agree in their sole discretion in writing), provide Lenders with fully executed Deposit Account Control Agreements for the deposit accounts of the New Borrower, as and to the extent required by Section 7.13 of the Credit Agreement; </w:t>
      </w:r>
      <w:r>
        <w:rPr>
          <w:rFonts w:ascii="Arial" w:cs="Arial" w:eastAsia="Arial" w:hAnsi="Arial"/>
          <w:sz w:val="20"/>
          <w:szCs w:val="20"/>
          <w:i w:val="1"/>
          <w:iCs w:val="1"/>
          <w:color w:val="auto"/>
        </w:rPr>
        <w:t>provided</w:t>
      </w:r>
      <w:r>
        <w:rPr>
          <w:rFonts w:ascii="Arial" w:cs="Arial" w:eastAsia="Arial" w:hAnsi="Arial"/>
          <w:sz w:val="20"/>
          <w:szCs w:val="20"/>
          <w:color w:val="auto"/>
        </w:rPr>
        <w:t>, that until the New Borrower has provided such Deposit Account Control Agreements or evidence of closure, Borrowers shall not permit the funds held in the New Borrower’s Deposit Accounts to exceed the amount(s) reasonably necessary for New Borrower to maintain solvency, assets, level of income, working capital, or its financial condition in the ordinary course of business.</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Borrowers hereby agree that failure to comply with the requirements set forth in Section 10 of this Agreement shall constitute an immediate and automatic Event of Default.</w:t>
      </w:r>
    </w:p>
    <w:p>
      <w:pPr>
        <w:spacing w:after="0" w:line="157" w:lineRule="exact"/>
        <w:rPr>
          <w:sz w:val="20"/>
          <w:szCs w:val="20"/>
          <w:color w:val="auto"/>
        </w:rPr>
      </w:pPr>
    </w:p>
    <w:p>
      <w:pPr>
        <w:jc w:val="both"/>
        <w:ind w:firstLine="885"/>
        <w:spacing w:after="0" w:line="245" w:lineRule="auto"/>
        <w:tabs>
          <w:tab w:leader="none" w:pos="1762" w:val="left"/>
        </w:tabs>
        <w:numPr>
          <w:ilvl w:val="0"/>
          <w:numId w:val="62"/>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Release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agreements of Lenders contained herein and for other good and valuable consideration,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and sufficiency of which is hereby acknowledged, each Borrower,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Arial" w:cs="Arial" w:eastAsia="Arial" w:hAnsi="Arial"/>
          <w:sz w:val="20"/>
          <w:szCs w:val="20"/>
          <w:b w:val="1"/>
          <w:bCs w:val="1"/>
          <w:color w:val="auto"/>
        </w:rPr>
        <w:t>Releasing Parties</w:t>
      </w:r>
      <w:r>
        <w:rPr>
          <w:rFonts w:ascii="Arial" w:cs="Arial" w:eastAsia="Arial" w:hAnsi="Arial"/>
          <w:sz w:val="20"/>
          <w:szCs w:val="20"/>
          <w:color w:val="auto"/>
        </w:rPr>
        <w:t>”) does hereby fully and completely release,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89" w:name="page90"/>
    <w:bookmarkEnd w:id="89"/>
    <w:p>
      <w:pPr>
        <w:jc w:val="both"/>
        <w:spacing w:after="0" w:line="308" w:lineRule="auto"/>
        <w:rPr>
          <w:sz w:val="20"/>
          <w:szCs w:val="20"/>
          <w:color w:val="auto"/>
        </w:rPr>
      </w:pPr>
      <w:r>
        <w:rPr>
          <w:rFonts w:ascii="Arial" w:cs="Arial" w:eastAsia="Arial" w:hAnsi="Arial"/>
          <w:sz w:val="16"/>
          <w:szCs w:val="16"/>
          <w:color w:val="auto"/>
        </w:rPr>
        <w:t>acquit and forever discharge each of Lenders, and each their respective parents, subsidiaries, affiliates, members, managers, shareholders, directors, officers and employees, and each of their respective predecessors, successors, heirs, and assigns (individually and collectively, the “</w:t>
      </w:r>
      <w:r>
        <w:rPr>
          <w:rFonts w:ascii="Arial" w:cs="Arial" w:eastAsia="Arial" w:hAnsi="Arial"/>
          <w:sz w:val="16"/>
          <w:szCs w:val="16"/>
          <w:b w:val="1"/>
          <w:bCs w:val="1"/>
          <w:color w:val="auto"/>
        </w:rPr>
        <w:t>Released Parties</w:t>
      </w:r>
      <w:r>
        <w:rPr>
          <w:rFonts w:ascii="Arial" w:cs="Arial" w:eastAsia="Arial" w:hAnsi="Arial"/>
          <w:sz w:val="16"/>
          <w:szCs w:val="16"/>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 now known, existing on or before the date hereof, that relate to, arise out of or otherwise are in connection with: (i) any or all of the Loan Documents or transactions contemplated thereby or any actions or omissions in connection therewith or (ii) any aspect of the dealings or relationships between or among any or all of the Borrowers, on the one hand, and any or all of the Released Parties, on the other hand, relating to any or all of the documents, transactions, actions or omissions referenced in clause (i) hereof. Each Borrower acknowledges that the foregoing release is a material inducement to each Lender’s decision to enter into this Agreement and agree to the modifications contemplated hereunder, and has been relied upon by Lenders in connection therewith.</w:t>
      </w:r>
    </w:p>
    <w:p>
      <w:pPr>
        <w:spacing w:after="0" w:line="347" w:lineRule="exact"/>
        <w:rPr>
          <w:sz w:val="20"/>
          <w:szCs w:val="20"/>
          <w:color w:val="auto"/>
        </w:rPr>
      </w:pPr>
    </w:p>
    <w:p>
      <w:pPr>
        <w:jc w:val="both"/>
        <w:ind w:firstLine="885"/>
        <w:spacing w:after="0" w:line="244" w:lineRule="auto"/>
        <w:tabs>
          <w:tab w:leader="none" w:pos="1773" w:val="left"/>
        </w:tabs>
        <w:numPr>
          <w:ilvl w:val="0"/>
          <w:numId w:val="63"/>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No Waiver or Novation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delivery and effectiveness of this Agreement shall not, except as expressly</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in this Agreement, operate as a waiver of any right, power or remedy of Lenders, nor constitute a waiver of any provision of the Credit Agreement, the Loan Documents or any other documents, instruments and agreements executed or delivered in connection with any of the foregoing. Nothing herein is intended or shall be construed as a waiver of any existing Defaults or Events of Default under the Credit Agreement or the other Loan Documents or any of Lenders’ rights and remedies in respect of such Defaults or Events of Default. This Agreement (together with any other document executed in connection herewith) is not intended to be, nor shall it be construed as, a novation of the Credit Agreement.</w:t>
      </w:r>
    </w:p>
    <w:p>
      <w:pPr>
        <w:spacing w:after="0" w:line="173" w:lineRule="exact"/>
        <w:rPr>
          <w:rFonts w:ascii="Arial" w:cs="Arial" w:eastAsia="Arial" w:hAnsi="Arial"/>
          <w:sz w:val="20"/>
          <w:szCs w:val="20"/>
          <w:b w:val="1"/>
          <w:bCs w:val="1"/>
          <w:color w:val="010000"/>
        </w:rPr>
      </w:pPr>
    </w:p>
    <w:p>
      <w:pPr>
        <w:jc w:val="both"/>
        <w:ind w:firstLine="885"/>
        <w:spacing w:after="0" w:line="274" w:lineRule="auto"/>
        <w:tabs>
          <w:tab w:leader="none" w:pos="1773" w:val="left"/>
        </w:tabs>
        <w:numPr>
          <w:ilvl w:val="0"/>
          <w:numId w:val="63"/>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No Borrower will disclose the contents of this Agreement, the Credit Agreement or any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to any third party (other than to such Borrower’s current and prospective direct and indirect financing sources, acquirors and holders of debt and the Borrowers’ direct and indirect equityholders, and its and their respective attorneys, advisors, directors, managers and officers on a need-to-know basis, as otherwise may be required by law or in connection with the resolution of a dispute brought hereunder involving a Borrower and any Lender, or in connection with any public or regulatory filing requirement relating to the Loan Documents) without Lenders’ prior written consent. Each Borrower agrees to inform all such persons who receive information concerning this Agreement, the Credit Agreement and the other Loan Documents that such information is confidential and may not be disclosed to any other person except as may be required by law, including to any court or regulatory agency having jurisdiction over such Borrower, or any Lender.</w:t>
      </w:r>
    </w:p>
    <w:p>
      <w:pPr>
        <w:spacing w:after="0" w:line="148" w:lineRule="exact"/>
        <w:rPr>
          <w:rFonts w:ascii="Arial" w:cs="Arial" w:eastAsia="Arial" w:hAnsi="Arial"/>
          <w:sz w:val="18"/>
          <w:szCs w:val="18"/>
          <w:b w:val="1"/>
          <w:bCs w:val="1"/>
          <w:color w:val="010000"/>
        </w:rPr>
      </w:pPr>
    </w:p>
    <w:p>
      <w:pPr>
        <w:jc w:val="both"/>
        <w:ind w:firstLine="885"/>
        <w:spacing w:after="0" w:line="245" w:lineRule="auto"/>
        <w:tabs>
          <w:tab w:leader="none" w:pos="1773" w:val="left"/>
        </w:tabs>
        <w:numPr>
          <w:ilvl w:val="0"/>
          <w:numId w:val="63"/>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Affirmation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specifically amended pursuant to the terms hereof, each Borrower hereby acknowledges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agrees that the Credit Agreement and all other Loan Documents (and all covenants, terms, conditions and agreements therein) shall remain in full force and effect, and are hereby ratified and confirmed in all respects by such Borrower. Each Borrower covenants and agrees to comply with all of the terms, covenants and conditions of the Credit Agreement and the Loan Documents, notwithstanding any prior course of conduct, waivers, releases or other actions or inactions on any Lender’s part which might otherwise constitute or be construed as a waiver of or amendment to such terms, covenants and conditions.</w:t>
      </w:r>
    </w:p>
    <w:p>
      <w:pPr>
        <w:spacing w:after="0" w:line="157" w:lineRule="exact"/>
        <w:rPr>
          <w:rFonts w:ascii="Arial" w:cs="Arial" w:eastAsia="Arial" w:hAnsi="Arial"/>
          <w:sz w:val="20"/>
          <w:szCs w:val="20"/>
          <w:b w:val="1"/>
          <w:bCs w:val="1"/>
          <w:color w:val="010000"/>
        </w:rPr>
      </w:pPr>
    </w:p>
    <w:p>
      <w:pPr>
        <w:ind w:left="1780" w:hanging="895"/>
        <w:spacing w:after="0"/>
        <w:tabs>
          <w:tab w:leader="none" w:pos="1780" w:val="left"/>
        </w:tabs>
        <w:numPr>
          <w:ilvl w:val="0"/>
          <w:numId w:val="63"/>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08" w:lineRule="exact"/>
        <w:rPr>
          <w:rFonts w:ascii="Arial" w:cs="Arial" w:eastAsia="Arial" w:hAnsi="Arial"/>
          <w:sz w:val="20"/>
          <w:szCs w:val="20"/>
          <w:b w:val="1"/>
          <w:bCs w:val="1"/>
          <w:color w:val="010000"/>
        </w:rPr>
      </w:pPr>
    </w:p>
    <w:p>
      <w:pPr>
        <w:jc w:val="both"/>
        <w:ind w:firstLine="1763"/>
        <w:spacing w:after="0" w:line="244" w:lineRule="auto"/>
        <w:tabs>
          <w:tab w:leader="none" w:pos="2623" w:val="left"/>
        </w:tabs>
        <w:numPr>
          <w:ilvl w:val="1"/>
          <w:numId w:val="63"/>
        </w:numPr>
        <w:rPr>
          <w:rFonts w:ascii="Arial" w:cs="Arial" w:eastAsia="Arial" w:hAnsi="Arial"/>
          <w:sz w:val="20"/>
          <w:szCs w:val="20"/>
          <w:color w:val="010000"/>
        </w:rPr>
      </w:pPr>
      <w:r>
        <w:rPr>
          <w:rFonts w:ascii="Arial" w:cs="Arial" w:eastAsia="Arial" w:hAnsi="Arial"/>
          <w:sz w:val="20"/>
          <w:szCs w:val="20"/>
          <w:u w:val="single" w:color="auto"/>
          <w:color w:val="auto"/>
        </w:rPr>
        <w:t>Reference to the Effect on the Credit Agreement</w:t>
      </w:r>
      <w:r>
        <w:rPr>
          <w:rFonts w:ascii="Arial" w:cs="Arial" w:eastAsia="Arial" w:hAnsi="Arial"/>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Loan Documents (and all covenants, terms, conditions and agreements therein), shall remain in full force and effect, and are hereby ratified and confirmed in all respects by each Borrower.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90" w:name="page91"/>
    <w:bookmarkEnd w:id="90"/>
    <w:p>
      <w:pPr>
        <w:jc w:val="both"/>
        <w:ind w:firstLine="1763"/>
        <w:spacing w:after="0" w:line="263" w:lineRule="auto"/>
        <w:tabs>
          <w:tab w:leader="none" w:pos="2634" w:val="left"/>
        </w:tabs>
        <w:numPr>
          <w:ilvl w:val="0"/>
          <w:numId w:val="64"/>
        </w:numPr>
        <w:rPr>
          <w:rFonts w:ascii="Arial" w:cs="Arial" w:eastAsia="Arial" w:hAnsi="Arial"/>
          <w:sz w:val="19"/>
          <w:szCs w:val="19"/>
          <w:color w:val="010000"/>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EACH OTHER LOAN DOCUMENT, AND ALL MATTERS RELATING HERETO OR THERETO OR ARISING THEREFROM (WHETHER SOUNDING IN CONTRACT LAW, TORT LAW OR OTHERWISE), SHALL BE GOVERNED BY, AND SHALL BE CONSTRUED AND ENFORCED IN ACCORDANCE WITH, THE LAWS OF THE STATE OF CONNECTICUT, WITHOUT REGARD TO CONFLICTS OF LAWS PRINCIPLES.</w:t>
      </w:r>
    </w:p>
    <w:p>
      <w:pPr>
        <w:spacing w:after="0" w:line="149" w:lineRule="exact"/>
        <w:rPr>
          <w:rFonts w:ascii="Arial" w:cs="Arial" w:eastAsia="Arial" w:hAnsi="Arial"/>
          <w:sz w:val="19"/>
          <w:szCs w:val="19"/>
          <w:color w:val="010000"/>
        </w:rPr>
      </w:pPr>
    </w:p>
    <w:p>
      <w:pPr>
        <w:ind w:right="20" w:firstLine="1763"/>
        <w:spacing w:after="0" w:line="260" w:lineRule="auto"/>
        <w:tabs>
          <w:tab w:leader="none" w:pos="2623" w:val="left"/>
        </w:tabs>
        <w:numPr>
          <w:ilvl w:val="0"/>
          <w:numId w:val="64"/>
        </w:numPr>
        <w:rPr>
          <w:rFonts w:ascii="Arial" w:cs="Arial" w:eastAsia="Arial" w:hAnsi="Arial"/>
          <w:sz w:val="20"/>
          <w:szCs w:val="20"/>
          <w:color w:val="010000"/>
        </w:rPr>
      </w:pPr>
      <w:r>
        <w:rPr>
          <w:rFonts w:ascii="Arial" w:cs="Arial" w:eastAsia="Arial" w:hAnsi="Arial"/>
          <w:sz w:val="20"/>
          <w:szCs w:val="20"/>
          <w:u w:val="single" w:color="auto"/>
          <w:color w:val="auto"/>
        </w:rPr>
        <w:t>Incorporation of Credit Agreement Provisions</w:t>
      </w:r>
      <w:r>
        <w:rPr>
          <w:rFonts w:ascii="Arial" w:cs="Arial" w:eastAsia="Arial" w:hAnsi="Arial"/>
          <w:sz w:val="20"/>
          <w:szCs w:val="20"/>
          <w:color w:val="auto"/>
        </w:rPr>
        <w:t xml:space="preserve">. The provisions contained in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of the Credit Agreement is incorporated herein by reference to the same extent as if reproduced herein in their entirety.</w:t>
      </w:r>
    </w:p>
    <w:p>
      <w:pPr>
        <w:spacing w:after="0" w:line="163" w:lineRule="exact"/>
        <w:rPr>
          <w:rFonts w:ascii="Arial" w:cs="Arial" w:eastAsia="Arial" w:hAnsi="Arial"/>
          <w:sz w:val="20"/>
          <w:szCs w:val="20"/>
          <w:color w:val="010000"/>
        </w:rPr>
      </w:pPr>
    </w:p>
    <w:p>
      <w:pPr>
        <w:ind w:firstLine="1763"/>
        <w:spacing w:after="0" w:line="260" w:lineRule="auto"/>
        <w:tabs>
          <w:tab w:leader="none" w:pos="2634" w:val="left"/>
        </w:tabs>
        <w:numPr>
          <w:ilvl w:val="0"/>
          <w:numId w:val="64"/>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Agreement are included for convenience of reference only and shall not constitute a part of this Agreement for any other purpose.</w:t>
      </w:r>
    </w:p>
    <w:p>
      <w:pPr>
        <w:spacing w:after="0" w:line="163" w:lineRule="exact"/>
        <w:rPr>
          <w:rFonts w:ascii="Arial" w:cs="Arial" w:eastAsia="Arial" w:hAnsi="Arial"/>
          <w:sz w:val="20"/>
          <w:szCs w:val="20"/>
          <w:color w:val="010000"/>
        </w:rPr>
      </w:pPr>
    </w:p>
    <w:p>
      <w:pPr>
        <w:jc w:val="both"/>
        <w:ind w:firstLine="1763"/>
        <w:spacing w:after="0" w:line="263" w:lineRule="auto"/>
        <w:tabs>
          <w:tab w:leader="none" w:pos="2623" w:val="left"/>
        </w:tabs>
        <w:numPr>
          <w:ilvl w:val="0"/>
          <w:numId w:val="64"/>
        </w:numPr>
        <w:rPr>
          <w:rFonts w:ascii="Arial" w:cs="Arial" w:eastAsia="Arial" w:hAnsi="Arial"/>
          <w:sz w:val="19"/>
          <w:szCs w:val="19"/>
          <w:color w:val="010000"/>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signed in any number of counterparts, each of which shall be deemed an original and all of which when taken together shall constitute one and the same instrument. Delivery of an executed counterpart of this Agreement by facsimile or by electronic mail delivery of an electronic version (e.g., .pdf or .tif file) of an executed signature page shall be effective as delivery of an original executed counterpart hereof and shall bind the parties hereto.</w:t>
      </w:r>
    </w:p>
    <w:p>
      <w:pPr>
        <w:spacing w:after="0" w:line="149" w:lineRule="exact"/>
        <w:rPr>
          <w:rFonts w:ascii="Arial" w:cs="Arial" w:eastAsia="Arial" w:hAnsi="Arial"/>
          <w:sz w:val="19"/>
          <w:szCs w:val="19"/>
          <w:color w:val="010000"/>
        </w:rPr>
      </w:pPr>
    </w:p>
    <w:p>
      <w:pPr>
        <w:jc w:val="both"/>
        <w:ind w:firstLine="1763"/>
        <w:spacing w:after="0" w:line="250" w:lineRule="auto"/>
        <w:tabs>
          <w:tab w:leader="none" w:pos="2601" w:val="left"/>
        </w:tabs>
        <w:numPr>
          <w:ilvl w:val="0"/>
          <w:numId w:val="64"/>
        </w:numPr>
        <w:rPr>
          <w:rFonts w:ascii="Arial" w:cs="Arial" w:eastAsia="Arial" w:hAnsi="Arial"/>
          <w:sz w:val="20"/>
          <w:szCs w:val="20"/>
          <w:color w:val="010000"/>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Credit Agreement, as amended hereby, and the other Loan Documents constitute the entire agreement and understanding among the parties hereto and supersedes any and all prior agreements and understandings, oral or written, relating to the subject matter hereof.</w:t>
      </w:r>
    </w:p>
    <w:p>
      <w:pPr>
        <w:spacing w:after="0" w:line="172" w:lineRule="exact"/>
        <w:rPr>
          <w:rFonts w:ascii="Arial" w:cs="Arial" w:eastAsia="Arial" w:hAnsi="Arial"/>
          <w:sz w:val="20"/>
          <w:szCs w:val="20"/>
          <w:color w:val="010000"/>
        </w:rPr>
      </w:pPr>
    </w:p>
    <w:p>
      <w:pPr>
        <w:jc w:val="both"/>
        <w:ind w:firstLine="1763"/>
        <w:spacing w:after="0" w:line="250" w:lineRule="auto"/>
        <w:tabs>
          <w:tab w:leader="none" w:pos="2634" w:val="left"/>
        </w:tabs>
        <w:numPr>
          <w:ilvl w:val="0"/>
          <w:numId w:val="64"/>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spacing w:after="0" w:line="172" w:lineRule="exact"/>
        <w:rPr>
          <w:rFonts w:ascii="Arial" w:cs="Arial" w:eastAsia="Arial" w:hAnsi="Arial"/>
          <w:sz w:val="20"/>
          <w:szCs w:val="20"/>
          <w:color w:val="010000"/>
        </w:rPr>
      </w:pPr>
    </w:p>
    <w:p>
      <w:pPr>
        <w:ind w:firstLine="1763"/>
        <w:spacing w:after="0" w:line="287" w:lineRule="auto"/>
        <w:tabs>
          <w:tab w:leader="none" w:pos="2634" w:val="left"/>
        </w:tabs>
        <w:numPr>
          <w:ilvl w:val="0"/>
          <w:numId w:val="64"/>
        </w:numPr>
        <w:rPr>
          <w:rFonts w:ascii="Arial" w:cs="Arial" w:eastAsia="Arial" w:hAnsi="Arial"/>
          <w:sz w:val="19"/>
          <w:szCs w:val="19"/>
          <w:color w:val="010000"/>
        </w:rPr>
      </w:pPr>
      <w:r>
        <w:rPr>
          <w:rFonts w:ascii="Arial" w:cs="Arial" w:eastAsia="Arial" w:hAnsi="Arial"/>
          <w:sz w:val="19"/>
          <w:szCs w:val="19"/>
          <w:u w:val="single" w:color="auto"/>
          <w:color w:val="auto"/>
        </w:rPr>
        <w:t>Successors/Assigns</w:t>
      </w:r>
      <w:r>
        <w:rPr>
          <w:rFonts w:ascii="Arial" w:cs="Arial" w:eastAsia="Arial" w:hAnsi="Arial"/>
          <w:sz w:val="19"/>
          <w:szCs w:val="19"/>
          <w:color w:val="auto"/>
        </w:rPr>
        <w:t>. This Agreement shall bind, and the rights hereunder shall inure to, the respective successors and assigns of the parties hereto, subject to the provisions of the Credit Agreement and the other Loan Documents.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91" w:name="page92"/>
    <w:bookmarkEnd w:id="91"/>
    <w:p>
      <w:pPr>
        <w:ind w:firstLine="877"/>
        <w:spacing w:after="0" w:line="287" w:lineRule="auto"/>
        <w:rPr>
          <w:sz w:val="20"/>
          <w:szCs w:val="20"/>
          <w:color w:val="auto"/>
        </w:rPr>
      </w:pPr>
      <w:r>
        <w:rPr>
          <w:rFonts w:ascii="Arial" w:cs="Arial" w:eastAsia="Arial" w:hAnsi="Arial"/>
          <w:sz w:val="19"/>
          <w:szCs w:val="19"/>
          <w:color w:val="auto"/>
        </w:rPr>
        <w:t>IN WITNESS WHEREOF, intending to be legally bound, and intending that this document constitute an agreement executed under seal, the undersigned have executed this Agreement under seal as of the day and year first hereinabove set forth.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[Signatures Continue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6"/>
        </w:trPr>
        <w:tc>
          <w:tcPr>
            <w:tcW w:w="3840" w:type="dxa"/>
            <w:vAlign w:val="bottom"/>
          </w:tcPr>
          <w:p>
            <w:pPr>
              <w:spacing w:after="0"/>
              <w:rPr>
                <w:sz w:val="20"/>
                <w:szCs w:val="20"/>
                <w:color w:val="auto"/>
              </w:rPr>
            </w:pPr>
            <w:r>
              <w:rPr>
                <w:rFonts w:ascii="Arial" w:cs="Arial" w:eastAsia="Arial" w:hAnsi="Arial"/>
                <w:sz w:val="20"/>
                <w:szCs w:val="20"/>
                <w:b w:val="1"/>
                <w:bCs w:val="1"/>
                <w:color w:val="auto"/>
              </w:rPr>
              <w:t>ORIGINAL BORROWERS:</w:t>
            </w: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MOHAWK GROUP HOLDINGS, INC.</w:t>
            </w:r>
          </w:p>
        </w:tc>
        <w:tc>
          <w:tcPr>
            <w:tcW w:w="1200" w:type="dxa"/>
            <w:vAlign w:val="bottom"/>
          </w:tcPr>
          <w:p>
            <w:pPr>
              <w:spacing w:after="0"/>
              <w:rPr>
                <w:sz w:val="20"/>
                <w:szCs w:val="20"/>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MOHAWK GROUP, INC.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XTAVA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SUNLABZ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RIF6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VREMI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HOMELABS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VIDAZEN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URBAN SOURCE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ZEPHYRBEAUTY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DISCOCART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VUETI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PUNCHED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SWEETHOMEDEALZ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KITCHENVOX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EXORIDER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KINETIC WAVE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3GIRLSFROMNY LLC</w:t>
            </w:r>
          </w:p>
        </w:tc>
        <w:tc>
          <w:tcPr>
            <w:tcW w:w="12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CHICALLEY LLC</w:t>
            </w:r>
          </w:p>
        </w:tc>
        <w:tc>
          <w:tcPr>
            <w:tcW w:w="1200" w:type="dxa"/>
            <w:vAlign w:val="bottom"/>
          </w:tcPr>
          <w:p>
            <w:pPr>
              <w:spacing w:after="0"/>
              <w:rPr>
                <w:sz w:val="19"/>
                <w:szCs w:val="19"/>
                <w:color w:val="auto"/>
              </w:rPr>
            </w:pPr>
          </w:p>
        </w:tc>
      </w:tr>
      <w:tr>
        <w:trPr>
          <w:trHeight w:val="250"/>
        </w:trPr>
        <w:tc>
          <w:tcPr>
            <w:tcW w:w="3840" w:type="dxa"/>
            <w:vAlign w:val="bottom"/>
          </w:tcPr>
          <w:p>
            <w:pPr>
              <w:spacing w:after="0"/>
              <w:rPr>
                <w:sz w:val="21"/>
                <w:szCs w:val="21"/>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BOXWHALE, LLC</w:t>
            </w:r>
          </w:p>
        </w:tc>
        <w:tc>
          <w:tcPr>
            <w:tcW w:w="1200" w:type="dxa"/>
            <w:vAlign w:val="bottom"/>
          </w:tcPr>
          <w:p>
            <w:pPr>
              <w:spacing w:after="0"/>
              <w:rPr>
                <w:sz w:val="21"/>
                <w:szCs w:val="21"/>
                <w:color w:val="auto"/>
              </w:rPr>
            </w:pPr>
          </w:p>
        </w:tc>
      </w:tr>
      <w:tr>
        <w:trPr>
          <w:trHeight w:val="455"/>
        </w:trPr>
        <w:tc>
          <w:tcPr>
            <w:tcW w:w="3840" w:type="dxa"/>
            <w:vAlign w:val="bottom"/>
          </w:tcPr>
          <w:p>
            <w:pPr>
              <w:spacing w:after="0"/>
              <w:rPr>
                <w:sz w:val="24"/>
                <w:szCs w:val="24"/>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By:  /s/ Yaniv Sarig</w:t>
            </w:r>
          </w:p>
        </w:tc>
        <w:tc>
          <w:tcPr>
            <w:tcW w:w="1200" w:type="dxa"/>
            <w:vAlign w:val="bottom"/>
          </w:tcPr>
          <w:p>
            <w:pPr>
              <w:spacing w:after="0"/>
              <w:rPr>
                <w:sz w:val="24"/>
                <w:szCs w:val="24"/>
                <w:color w:val="auto"/>
              </w:rPr>
            </w:pPr>
          </w:p>
        </w:tc>
      </w:tr>
      <w:tr>
        <w:trPr>
          <w:trHeight w:val="206"/>
        </w:trPr>
        <w:tc>
          <w:tcPr>
            <w:tcW w:w="3840" w:type="dxa"/>
            <w:vAlign w:val="bottom"/>
          </w:tcPr>
          <w:p>
            <w:pPr>
              <w:spacing w:after="0"/>
              <w:rPr>
                <w:sz w:val="17"/>
                <w:szCs w:val="17"/>
                <w:color w:val="auto"/>
              </w:rPr>
            </w:pPr>
          </w:p>
        </w:tc>
        <w:tc>
          <w:tcPr>
            <w:tcW w:w="1820" w:type="dxa"/>
            <w:vAlign w:val="bottom"/>
          </w:tcPr>
          <w:p>
            <w:pPr>
              <w:ind w:left="1400"/>
              <w:spacing w:after="0" w:line="206" w:lineRule="exact"/>
              <w:rPr>
                <w:sz w:val="20"/>
                <w:szCs w:val="20"/>
                <w:color w:val="auto"/>
              </w:rPr>
            </w:pPr>
            <w:r>
              <w:rPr>
                <w:rFonts w:ascii="Arial" w:cs="Arial" w:eastAsia="Arial" w:hAnsi="Arial"/>
                <w:sz w:val="19"/>
                <w:szCs w:val="19"/>
                <w:color w:val="auto"/>
                <w:w w:val="71"/>
              </w:rPr>
              <w:t>Name:</w:t>
            </w:r>
          </w:p>
        </w:tc>
        <w:tc>
          <w:tcPr>
            <w:tcW w:w="4580" w:type="dxa"/>
            <w:vAlign w:val="bottom"/>
            <w:tcBorders>
              <w:top w:val="single" w:sz="8" w:color="auto"/>
            </w:tcBorders>
          </w:tcPr>
          <w:p>
            <w:pPr>
              <w:ind w:left="200"/>
              <w:spacing w:after="0" w:line="207" w:lineRule="exact"/>
              <w:rPr>
                <w:sz w:val="20"/>
                <w:szCs w:val="20"/>
                <w:color w:val="auto"/>
              </w:rPr>
            </w:pPr>
            <w:r>
              <w:rPr>
                <w:rFonts w:ascii="Arial" w:cs="Arial" w:eastAsia="Arial" w:hAnsi="Arial"/>
                <w:sz w:val="20"/>
                <w:szCs w:val="20"/>
                <w:color w:val="auto"/>
              </w:rPr>
              <w:t>Yaniv Sarig</w:t>
            </w:r>
          </w:p>
        </w:tc>
        <w:tc>
          <w:tcPr>
            <w:tcW w:w="1200" w:type="dxa"/>
            <w:vAlign w:val="bottom"/>
          </w:tcPr>
          <w:p>
            <w:pPr>
              <w:spacing w:after="0"/>
              <w:rPr>
                <w:sz w:val="17"/>
                <w:szCs w:val="17"/>
                <w:color w:val="auto"/>
              </w:rPr>
            </w:pPr>
          </w:p>
        </w:tc>
      </w:tr>
      <w:tr>
        <w:trPr>
          <w:trHeight w:val="250"/>
        </w:trPr>
        <w:tc>
          <w:tcPr>
            <w:tcW w:w="3840" w:type="dxa"/>
            <w:vAlign w:val="bottom"/>
          </w:tcPr>
          <w:p>
            <w:pPr>
              <w:spacing w:after="0"/>
              <w:rPr>
                <w:sz w:val="21"/>
                <w:szCs w:val="21"/>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Title: Chief Executive Officer</w:t>
            </w:r>
          </w:p>
        </w:tc>
        <w:tc>
          <w:tcPr>
            <w:tcW w:w="1200" w:type="dxa"/>
            <w:vAlign w:val="bottom"/>
          </w:tcPr>
          <w:p>
            <w:pPr>
              <w:spacing w:after="0"/>
              <w:rPr>
                <w:sz w:val="21"/>
                <w:szCs w:val="21"/>
                <w:color w:val="auto"/>
              </w:rPr>
            </w:pPr>
          </w:p>
        </w:tc>
      </w:tr>
      <w:tr>
        <w:trPr>
          <w:trHeight w:val="689"/>
        </w:trPr>
        <w:tc>
          <w:tcPr>
            <w:tcW w:w="3840" w:type="dxa"/>
            <w:vAlign w:val="bottom"/>
          </w:tcPr>
          <w:p>
            <w:pPr>
              <w:spacing w:after="0"/>
              <w:rPr>
                <w:sz w:val="20"/>
                <w:szCs w:val="20"/>
                <w:color w:val="auto"/>
              </w:rPr>
            </w:pPr>
            <w:r>
              <w:rPr>
                <w:rFonts w:ascii="Arial" w:cs="Arial" w:eastAsia="Arial" w:hAnsi="Arial"/>
                <w:sz w:val="20"/>
                <w:szCs w:val="20"/>
                <w:b w:val="1"/>
                <w:bCs w:val="1"/>
                <w:color w:val="auto"/>
              </w:rPr>
              <w:t>NEW BORROWER:</w:t>
            </w:r>
          </w:p>
        </w:tc>
        <w:tc>
          <w:tcPr>
            <w:tcW w:w="6400" w:type="dxa"/>
            <w:vAlign w:val="bottom"/>
            <w:gridSpan w:val="2"/>
          </w:tcPr>
          <w:p>
            <w:pPr>
              <w:ind w:left="1400"/>
              <w:spacing w:after="0"/>
              <w:rPr>
                <w:sz w:val="20"/>
                <w:szCs w:val="20"/>
                <w:color w:val="auto"/>
              </w:rPr>
            </w:pPr>
            <w:r>
              <w:rPr>
                <w:rFonts w:ascii="Arial" w:cs="Arial" w:eastAsia="Arial" w:hAnsi="Arial"/>
                <w:sz w:val="20"/>
                <w:szCs w:val="20"/>
                <w:b w:val="1"/>
                <w:bCs w:val="1"/>
                <w:color w:val="auto"/>
              </w:rPr>
              <w:t>AUSSIE HEALTH CO, LLC</w:t>
            </w:r>
          </w:p>
        </w:tc>
        <w:tc>
          <w:tcPr>
            <w:tcW w:w="1200" w:type="dxa"/>
            <w:vAlign w:val="bottom"/>
          </w:tcPr>
          <w:p>
            <w:pPr>
              <w:spacing w:after="0"/>
              <w:rPr>
                <w:sz w:val="24"/>
                <w:szCs w:val="24"/>
                <w:color w:val="auto"/>
              </w:rPr>
            </w:pPr>
          </w:p>
        </w:tc>
      </w:tr>
      <w:tr>
        <w:trPr>
          <w:trHeight w:val="914"/>
        </w:trPr>
        <w:tc>
          <w:tcPr>
            <w:tcW w:w="3840" w:type="dxa"/>
            <w:vAlign w:val="bottom"/>
          </w:tcPr>
          <w:p>
            <w:pPr>
              <w:spacing w:after="0"/>
              <w:rPr>
                <w:sz w:val="24"/>
                <w:szCs w:val="24"/>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By:  /s/ Fabrice Hamaide</w:t>
            </w:r>
          </w:p>
        </w:tc>
        <w:tc>
          <w:tcPr>
            <w:tcW w:w="1200" w:type="dxa"/>
            <w:vAlign w:val="bottom"/>
          </w:tcPr>
          <w:p>
            <w:pPr>
              <w:spacing w:after="0"/>
              <w:rPr>
                <w:sz w:val="24"/>
                <w:szCs w:val="24"/>
                <w:color w:val="auto"/>
              </w:rPr>
            </w:pPr>
          </w:p>
        </w:tc>
      </w:tr>
      <w:tr>
        <w:trPr>
          <w:trHeight w:val="206"/>
        </w:trPr>
        <w:tc>
          <w:tcPr>
            <w:tcW w:w="3840" w:type="dxa"/>
            <w:vAlign w:val="bottom"/>
          </w:tcPr>
          <w:p>
            <w:pPr>
              <w:spacing w:after="0"/>
              <w:rPr>
                <w:sz w:val="17"/>
                <w:szCs w:val="17"/>
                <w:color w:val="auto"/>
              </w:rPr>
            </w:pPr>
          </w:p>
        </w:tc>
        <w:tc>
          <w:tcPr>
            <w:tcW w:w="1820" w:type="dxa"/>
            <w:vAlign w:val="bottom"/>
          </w:tcPr>
          <w:p>
            <w:pPr>
              <w:ind w:left="1400"/>
              <w:spacing w:after="0" w:line="206" w:lineRule="exact"/>
              <w:rPr>
                <w:sz w:val="20"/>
                <w:szCs w:val="20"/>
                <w:color w:val="auto"/>
              </w:rPr>
            </w:pPr>
            <w:r>
              <w:rPr>
                <w:rFonts w:ascii="Arial" w:cs="Arial" w:eastAsia="Arial" w:hAnsi="Arial"/>
                <w:sz w:val="19"/>
                <w:szCs w:val="19"/>
                <w:color w:val="auto"/>
                <w:w w:val="71"/>
              </w:rPr>
              <w:t>Name:</w:t>
            </w:r>
          </w:p>
        </w:tc>
        <w:tc>
          <w:tcPr>
            <w:tcW w:w="4580" w:type="dxa"/>
            <w:vAlign w:val="bottom"/>
            <w:tcBorders>
              <w:top w:val="single" w:sz="8" w:color="auto"/>
            </w:tcBorders>
          </w:tcPr>
          <w:p>
            <w:pPr>
              <w:ind w:left="160"/>
              <w:spacing w:after="0" w:line="207" w:lineRule="exact"/>
              <w:rPr>
                <w:sz w:val="20"/>
                <w:szCs w:val="20"/>
                <w:color w:val="auto"/>
              </w:rPr>
            </w:pPr>
            <w:r>
              <w:rPr>
                <w:rFonts w:ascii="Arial" w:cs="Arial" w:eastAsia="Arial" w:hAnsi="Arial"/>
                <w:sz w:val="20"/>
                <w:szCs w:val="20"/>
                <w:color w:val="auto"/>
              </w:rPr>
              <w:t>Fabrice Hamaide</w:t>
            </w:r>
          </w:p>
        </w:tc>
        <w:tc>
          <w:tcPr>
            <w:tcW w:w="1200" w:type="dxa"/>
            <w:vAlign w:val="bottom"/>
          </w:tcPr>
          <w:p>
            <w:pPr>
              <w:spacing w:after="0"/>
              <w:rPr>
                <w:sz w:val="17"/>
                <w:szCs w:val="17"/>
                <w:color w:val="auto"/>
              </w:rPr>
            </w:pPr>
          </w:p>
        </w:tc>
      </w:tr>
      <w:tr>
        <w:trPr>
          <w:trHeight w:val="250"/>
        </w:trPr>
        <w:tc>
          <w:tcPr>
            <w:tcW w:w="3840" w:type="dxa"/>
            <w:vAlign w:val="bottom"/>
          </w:tcPr>
          <w:p>
            <w:pPr>
              <w:spacing w:after="0"/>
              <w:rPr>
                <w:sz w:val="21"/>
                <w:szCs w:val="21"/>
                <w:color w:val="auto"/>
              </w:rPr>
            </w:pPr>
          </w:p>
        </w:tc>
        <w:tc>
          <w:tcPr>
            <w:tcW w:w="6400" w:type="dxa"/>
            <w:vAlign w:val="bottom"/>
            <w:gridSpan w:val="2"/>
          </w:tcPr>
          <w:p>
            <w:pPr>
              <w:ind w:left="1400"/>
              <w:spacing w:after="0"/>
              <w:rPr>
                <w:sz w:val="20"/>
                <w:szCs w:val="20"/>
                <w:color w:val="auto"/>
              </w:rPr>
            </w:pPr>
            <w:r>
              <w:rPr>
                <w:rFonts w:ascii="Arial" w:cs="Arial" w:eastAsia="Arial" w:hAnsi="Arial"/>
                <w:sz w:val="20"/>
                <w:szCs w:val="20"/>
                <w:color w:val="auto"/>
              </w:rPr>
              <w:t>Title: Chief Financial Officer</w:t>
            </w:r>
          </w:p>
        </w:tc>
        <w:tc>
          <w:tcPr>
            <w:tcW w:w="1200" w:type="dxa"/>
            <w:vAlign w:val="bottom"/>
          </w:tcPr>
          <w:p>
            <w:pPr>
              <w:spacing w:after="0"/>
              <w:rPr>
                <w:sz w:val="21"/>
                <w:szCs w:val="21"/>
                <w:color w:val="auto"/>
              </w:rPr>
            </w:pPr>
          </w:p>
        </w:tc>
      </w:tr>
      <w:tr>
        <w:trPr>
          <w:trHeight w:val="773"/>
        </w:trPr>
        <w:tc>
          <w:tcPr>
            <w:tcW w:w="3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2" w:right="219" w:bottom="1440" w:gutter="0" w:footer="0" w:header="0"/>
        </w:sectPr>
      </w:pPr>
    </w:p>
    <w:bookmarkStart w:id="93" w:name="page94"/>
    <w:bookmarkEnd w:id="93"/>
    <w:p>
      <w:pPr>
        <w:spacing w:after="0"/>
        <w:tabs>
          <w:tab w:leader="none" w:pos="5260" w:val="left"/>
        </w:tabs>
        <w:rPr>
          <w:sz w:val="20"/>
          <w:szCs w:val="20"/>
          <w:color w:val="auto"/>
        </w:rPr>
      </w:pPr>
      <w:r>
        <w:rPr>
          <w:rFonts w:ascii="Arial" w:cs="Arial" w:eastAsia="Arial" w:hAnsi="Arial"/>
          <w:sz w:val="19"/>
          <w:szCs w:val="19"/>
          <w:b w:val="1"/>
          <w:bCs w:val="1"/>
          <w:color w:val="auto"/>
        </w:rPr>
        <w:t>LENDERS:</w:t>
      </w:r>
      <w:r>
        <w:rPr>
          <w:sz w:val="20"/>
          <w:szCs w:val="20"/>
          <w:color w:val="auto"/>
        </w:rPr>
        <w:tab/>
      </w:r>
      <w:r>
        <w:rPr>
          <w:rFonts w:ascii="Arial" w:cs="Arial" w:eastAsia="Arial" w:hAnsi="Arial"/>
          <w:sz w:val="19"/>
          <w:szCs w:val="19"/>
          <w:color w:val="auto"/>
        </w:rPr>
        <w:t>HORIZON TECHNOLOGY FINANCE CORPORATION</w:t>
      </w:r>
    </w:p>
    <w:p>
      <w:pPr>
        <w:spacing w:after="0" w:line="200" w:lineRule="exact"/>
        <w:rPr>
          <w:sz w:val="20"/>
          <w:szCs w:val="20"/>
          <w:color w:val="auto"/>
        </w:rPr>
      </w:pPr>
    </w:p>
    <w:p>
      <w:pPr>
        <w:spacing w:after="0" w:line="276"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0270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0"/>
          <w:szCs w:val="20"/>
          <w:color w:val="auto"/>
        </w:rPr>
        <w:t>Name: Robert D. Pomeroy, Jr.</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Title: Chief Executive Officer</w:t>
      </w:r>
    </w:p>
    <w:p>
      <w:pPr>
        <w:spacing w:after="0" w:line="213"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HORIZON CREDIT II LLC</w:t>
      </w:r>
    </w:p>
    <w:p>
      <w:pPr>
        <w:spacing w:after="0" w:line="200" w:lineRule="exact"/>
        <w:rPr>
          <w:sz w:val="20"/>
          <w:szCs w:val="20"/>
          <w:color w:val="auto"/>
        </w:rPr>
      </w:pPr>
    </w:p>
    <w:p>
      <w:pPr>
        <w:spacing w:after="0" w:line="259"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0270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0"/>
          <w:szCs w:val="20"/>
          <w:color w:val="auto"/>
        </w:rPr>
        <w:t>Name: Robert D. Pomeroy, Jr.</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Title: Chief Executive Officer</w:t>
      </w:r>
    </w:p>
    <w:p>
      <w:pPr>
        <w:spacing w:after="0" w:line="213"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HORIZON FUNDING TRUST 2019-1</w:t>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By: Horizon Technology Finance Corporation, its agent</w:t>
      </w:r>
    </w:p>
    <w:p>
      <w:pPr>
        <w:spacing w:after="0" w:line="200" w:lineRule="exact"/>
        <w:rPr>
          <w:sz w:val="20"/>
          <w:szCs w:val="20"/>
          <w:color w:val="auto"/>
        </w:rPr>
      </w:pPr>
    </w:p>
    <w:p>
      <w:pPr>
        <w:spacing w:after="0" w:line="254"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0270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0"/>
          <w:szCs w:val="20"/>
          <w:color w:val="auto"/>
        </w:rPr>
        <w:t>Name: Robert D. Pomeroy, Jr.</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Title: Chief Executive Officer</w:t>
      </w:r>
    </w:p>
    <w:p>
      <w:pPr>
        <w:sectPr>
          <w:pgSz w:w="11900" w:h="16838" w:orient="portrait"/>
          <w:cols w:equalWidth="0" w:num="1">
            <w:col w:w="10219"/>
          </w:cols>
          <w:pgMar w:left="240" w:top="562"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72"/>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200" w:firstLine="8"/>
        <w:spacing w:after="0" w:line="264"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60" w:right="160" w:firstLine="8"/>
        <w:spacing w:after="0" w:line="306" w:lineRule="auto"/>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400" w:firstLine="8"/>
        <w:spacing w:after="0" w:line="277" w:lineRule="auto"/>
        <w:tabs>
          <w:tab w:leader="none" w:pos="7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40" w:right="100" w:hanging="9"/>
        <w:spacing w:after="0" w:line="264" w:lineRule="auto"/>
        <w:tabs>
          <w:tab w:leader="none" w:pos="131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140" w:right="400" w:hanging="9"/>
        <w:spacing w:after="0" w:line="325" w:lineRule="auto"/>
        <w:tabs>
          <w:tab w:leader="none" w:pos="13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80" w:hanging="9"/>
        <w:spacing w:after="0" w:line="264" w:lineRule="auto"/>
        <w:tabs>
          <w:tab w:leader="none" w:pos="131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60" w:right="100" w:firstLine="8"/>
        <w:spacing w:after="0" w:line="306" w:lineRule="auto"/>
        <w:tabs>
          <w:tab w:leader="none" w:pos="73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140" w:right="640" w:hanging="9"/>
        <w:spacing w:after="0" w:line="325"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40" w:right="320" w:hanging="9"/>
        <w:spacing w:after="0" w:line="277" w:lineRule="auto"/>
        <w:tabs>
          <w:tab w:leader="none" w:pos="131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Fabrice Hamaide, certify that:</w:t>
      </w:r>
    </w:p>
    <w:p>
      <w:pPr>
        <w:spacing w:after="0" w:line="77" w:lineRule="exact"/>
        <w:rPr>
          <w:sz w:val="20"/>
          <w:szCs w:val="20"/>
          <w:color w:val="auto"/>
        </w:rPr>
      </w:pPr>
    </w:p>
    <w:p>
      <w:pPr>
        <w:ind w:left="740" w:hanging="172"/>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200" w:firstLine="8"/>
        <w:spacing w:after="0" w:line="264" w:lineRule="auto"/>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560" w:right="160" w:firstLine="8"/>
        <w:spacing w:after="0" w:line="306" w:lineRule="auto"/>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400" w:firstLine="8"/>
        <w:spacing w:after="0" w:line="277" w:lineRule="auto"/>
        <w:tabs>
          <w:tab w:leader="none" w:pos="7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40" w:right="100" w:hanging="9"/>
        <w:spacing w:after="0" w:line="264" w:lineRule="auto"/>
        <w:tabs>
          <w:tab w:leader="none" w:pos="131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140" w:right="400" w:hanging="9"/>
        <w:spacing w:after="0" w:line="325" w:lineRule="auto"/>
        <w:tabs>
          <w:tab w:leader="none" w:pos="13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40" w:right="80" w:hanging="9"/>
        <w:spacing w:after="0" w:line="264" w:lineRule="auto"/>
        <w:tabs>
          <w:tab w:leader="none" w:pos="131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560" w:right="100" w:firstLine="8"/>
        <w:spacing w:after="0" w:line="306" w:lineRule="auto"/>
        <w:tabs>
          <w:tab w:leader="none" w:pos="73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140" w:right="640" w:hanging="9"/>
        <w:spacing w:after="0" w:line="325"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40" w:right="320" w:hanging="9"/>
        <w:spacing w:after="0" w:line="277" w:lineRule="auto"/>
        <w:tabs>
          <w:tab w:leader="none" w:pos="131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Fabrice Hamaide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Fabrice Hamaide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560"/>
        <w:spacing w:after="0" w:line="264" w:lineRule="auto"/>
        <w:rPr>
          <w:sz w:val="20"/>
          <w:szCs w:val="20"/>
          <w:color w:val="auto"/>
        </w:rPr>
      </w:pPr>
      <w:r>
        <w:rPr>
          <w:rFonts w:ascii="Arial" w:cs="Arial" w:eastAsia="Arial" w:hAnsi="Arial"/>
          <w:sz w:val="18"/>
          <w:szCs w:val="18"/>
          <w:color w:val="auto"/>
        </w:rPr>
        <w:t>In connection with the Quarterly Report on Form 10-Q of Mohawk Group Holdings, Inc. (the “Company”) for the period ended September 30, 2019 as filed with the Securities and Exchange Commission on the date hereof (the “Report”), the undersigned hereby certify, pursuant to 18 U.S.C. Section 1350, as adopted pursuant to Section 906 of the Sarbanes-Oxley Act of 2002, to their knowledge that:</w:t>
      </w:r>
    </w:p>
    <w:p>
      <w:pPr>
        <w:spacing w:after="0" w:line="33" w:lineRule="exact"/>
        <w:rPr>
          <w:sz w:val="20"/>
          <w:szCs w:val="20"/>
          <w:color w:val="auto"/>
        </w:rPr>
      </w:pPr>
    </w:p>
    <w:p>
      <w:pPr>
        <w:ind w:left="820" w:hanging="252"/>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820" w:hanging="252"/>
        <w:spacing w:after="0"/>
        <w:tabs>
          <w:tab w:leader="none" w:pos="8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300" w:type="dxa"/>
            <w:vAlign w:val="bottom"/>
          </w:tcPr>
          <w:p>
            <w:pPr>
              <w:spacing w:after="0"/>
              <w:rPr>
                <w:sz w:val="21"/>
                <w:szCs w:val="21"/>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Fabrice Hamaide</w:t>
            </w: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5440" w:type="dxa"/>
            <w:vAlign w:val="bottom"/>
          </w:tcPr>
          <w:p>
            <w:pPr>
              <w:spacing w:after="0"/>
              <w:rPr>
                <w:sz w:val="20"/>
                <w:szCs w:val="20"/>
                <w:color w:val="auto"/>
              </w:rPr>
            </w:pPr>
            <w:r>
              <w:rPr>
                <w:rFonts w:ascii="Arial" w:cs="Arial" w:eastAsia="Arial" w:hAnsi="Arial"/>
                <w:sz w:val="18"/>
                <w:szCs w:val="18"/>
                <w:color w:val="auto"/>
              </w:rPr>
              <w:t>Fabrice Hamaide</w:t>
            </w:r>
          </w:p>
        </w:tc>
      </w:tr>
      <w:tr>
        <w:trPr>
          <w:trHeight w:val="243"/>
        </w:trPr>
        <w:tc>
          <w:tcPr>
            <w:tcW w:w="59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54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November 5, 2019</w:t>
            </w:r>
          </w:p>
        </w:tc>
        <w:tc>
          <w:tcPr>
            <w:tcW w:w="5440" w:type="dxa"/>
            <w:vAlign w:val="bottom"/>
          </w:tcPr>
          <w:p>
            <w:pPr>
              <w:spacing w:after="0"/>
              <w:rPr>
                <w:sz w:val="20"/>
                <w:szCs w:val="20"/>
                <w:color w:val="auto"/>
              </w:rPr>
            </w:pPr>
            <w:r>
              <w:rPr>
                <w:rFonts w:ascii="Arial" w:cs="Arial" w:eastAsia="Arial" w:hAnsi="Arial"/>
                <w:sz w:val="18"/>
                <w:szCs w:val="18"/>
                <w:color w:val="auto"/>
              </w:rPr>
              <w:t>November 5, 2019</w:t>
            </w:r>
          </w:p>
        </w:tc>
      </w:tr>
    </w:tbl>
    <w:p>
      <w:pPr>
        <w:spacing w:after="0" w:line="175" w:lineRule="exact"/>
        <w:rPr>
          <w:sz w:val="20"/>
          <w:szCs w:val="20"/>
          <w:color w:val="auto"/>
        </w:rPr>
      </w:pPr>
    </w:p>
    <w:p>
      <w:pPr>
        <w:ind w:right="480" w:firstLine="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right="60" w:firstLine="560"/>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2"/>
    </w:lvl>
  </w:abstractNum>
  <w:abstractNum w:abstractNumId="5">
    <w:nsid w:val="3804823E"/>
    <w:multiLevelType w:val="hybridMultilevel"/>
    <w:lvl w:ilvl="0">
      <w:lvlJc w:val="left"/>
      <w:lvlText w:val="%1."/>
      <w:numFmt w:val="decimal"/>
      <w:start w:val="3"/>
    </w:lvl>
  </w:abstractNum>
  <w:abstractNum w:abstractNumId="6">
    <w:nsid w:val="77465F01"/>
    <w:multiLevelType w:val="hybridMultilevel"/>
    <w:lvl w:ilvl="0">
      <w:lvlJc w:val="left"/>
      <w:lvlText w:val="%1."/>
      <w:numFmt w:val="decimal"/>
      <w:start w:val="4"/>
    </w:lvl>
  </w:abstractNum>
  <w:abstractNum w:abstractNumId="7">
    <w:nsid w:val="7724C67E"/>
    <w:multiLevelType w:val="hybridMultilevel"/>
    <w:lvl w:ilvl="0">
      <w:lvlJc w:val="left"/>
      <w:lvlText w:val="%1."/>
      <w:numFmt w:val="decimal"/>
      <w:start w:val="5"/>
    </w:lvl>
  </w:abstractNum>
  <w:abstractNum w:abstractNumId="8">
    <w:nsid w:val="5C482A97"/>
    <w:multiLevelType w:val="hybridMultilevel"/>
    <w:lvl w:ilvl="0">
      <w:lvlJc w:val="left"/>
      <w:lvlText w:val="%1."/>
      <w:numFmt w:val="decimal"/>
      <w:start w:val="6"/>
    </w:lvl>
  </w:abstractNum>
  <w:abstractNum w:abstractNumId="9">
    <w:nsid w:val="2463B9EA"/>
    <w:multiLevelType w:val="hybridMultilevel"/>
    <w:lvl w:ilvl="0">
      <w:lvlJc w:val="left"/>
      <w:lvlText w:val="(%1)"/>
      <w:numFmt w:val="lowerRoman"/>
      <w:start w:val="3"/>
    </w:lvl>
  </w:abstractNum>
  <w:abstractNum w:abstractNumId="10">
    <w:nsid w:val="5E884ADC"/>
    <w:multiLevelType w:val="hybridMultilevel"/>
    <w:lvl w:ilvl="0">
      <w:lvlJc w:val="left"/>
      <w:lvlText w:val="%1."/>
      <w:numFmt w:val="decimal"/>
      <w:start w:val="8"/>
    </w:lvl>
  </w:abstractNum>
  <w:abstractNum w:abstractNumId="11">
    <w:nsid w:val="51EAD36B"/>
    <w:multiLevelType w:val="hybridMultilevel"/>
    <w:lvl w:ilvl="0">
      <w:lvlJc w:val="left"/>
      <w:lvlText w:val="%1."/>
      <w:numFmt w:val="decimal"/>
      <w:start w:val="9"/>
    </w:lvl>
  </w:abstractNum>
  <w:abstractNum w:abstractNumId="12">
    <w:nsid w:val="2D517796"/>
    <w:multiLevelType w:val="hybridMultilevel"/>
    <w:lvl w:ilvl="0">
      <w:lvlJc w:val="left"/>
      <w:lvlText w:val="%1."/>
      <w:numFmt w:val="decimal"/>
      <w:start w:val="10"/>
    </w:lvl>
  </w:abstractNum>
  <w:abstractNum w:abstractNumId="13">
    <w:nsid w:val="580BD78F"/>
    <w:multiLevelType w:val="hybridMultilevel"/>
    <w:lvl w:ilvl="0">
      <w:lvlJc w:val="left"/>
      <w:lvlText w:val="(%1)"/>
      <w:numFmt w:val="lowerLetter"/>
      <w:start w:val="2"/>
    </w:lvl>
  </w:abstractNum>
  <w:abstractNum w:abstractNumId="14">
    <w:nsid w:val="153EA438"/>
    <w:multiLevelType w:val="hybridMultilevel"/>
    <w:lvl w:ilvl="0">
      <w:lvlJc w:val="left"/>
      <w:lvlText w:val="%1."/>
      <w:numFmt w:val="decimal"/>
      <w:start w:val="1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lowerRoman"/>
      <w:start w:val="1"/>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lowerRoman"/>
      <w:start w:val="2"/>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upperLetter"/>
      <w:start w:val="1"/>
    </w:lvl>
  </w:abstractNum>
  <w:abstractNum w:abstractNumId="34">
    <w:nsid w:val="1BA026FA"/>
    <w:multiLevelType w:val="hybridMultilevel"/>
    <w:lvl w:ilvl="0">
      <w:lvlJc w:val="left"/>
      <w:lvlText w:val="%1."/>
      <w:numFmt w:val="upperLetter"/>
      <w:start w:val="6"/>
    </w:lvl>
  </w:abstractNum>
  <w:abstractNum w:abstractNumId="35">
    <w:nsid w:val="79A1DEAA"/>
    <w:multiLevelType w:val="hybridMultilevel"/>
    <w:lvl w:ilvl="0">
      <w:lvlJc w:val="left"/>
      <w:lvlText w:val="%1."/>
      <w:numFmt w:val="decimal"/>
      <w:start w:val="1"/>
    </w:lvl>
    <w:lvl w:ilvl="1">
      <w:lvlJc w:val="left"/>
      <w:lvlText w:val="(%2)"/>
      <w:numFmt w:val="lowerLetter"/>
      <w:start w:val="1"/>
    </w:lvl>
  </w:abstractNum>
  <w:abstractNum w:abstractNumId="36">
    <w:nsid w:val="75C6C33A"/>
    <w:multiLevelType w:val="hybridMultilevel"/>
    <w:lvl w:ilvl="0">
      <w:lvlJc w:val="left"/>
      <w:lvlText w:val="%1"/>
      <w:numFmt w:val="decimal"/>
      <w:start w:val="1"/>
    </w:lvl>
    <w:lvl w:ilvl="1">
      <w:lvlJc w:val="left"/>
      <w:lvlText w:val="(%2)"/>
      <w:numFmt w:val="lowerLetter"/>
      <w:start w:val="2"/>
    </w:lvl>
  </w:abstractNum>
  <w:abstractNum w:abstractNumId="37">
    <w:nsid w:val="12E685FB"/>
    <w:multiLevelType w:val="hybridMultilevel"/>
    <w:lvl w:ilvl="0">
      <w:lvlJc w:val="left"/>
      <w:lvlText w:val="%1."/>
      <w:numFmt w:val="decimal"/>
      <w:start w:val="4"/>
    </w:lvl>
    <w:lvl w:ilvl="1">
      <w:lvlJc w:val="left"/>
      <w:lvlText w:val="(%2)"/>
      <w:numFmt w:val="lowerLetter"/>
      <w:start w:val="1"/>
    </w:lvl>
  </w:abstractNum>
  <w:abstractNum w:abstractNumId="38">
    <w:nsid w:val="70C6A529"/>
    <w:multiLevelType w:val="hybridMultilevel"/>
    <w:lvl w:ilvl="0">
      <w:lvlJc w:val="left"/>
      <w:lvlText w:val="(%1)"/>
      <w:numFmt w:val="lowerLetter"/>
      <w:start w:val="2"/>
    </w:lvl>
  </w:abstractNum>
  <w:abstractNum w:abstractNumId="39">
    <w:nsid w:val="520EEDD1"/>
    <w:multiLevelType w:val="hybridMultilevel"/>
    <w:lvl w:ilvl="0">
      <w:lvlJc w:val="left"/>
      <w:lvlText w:val="(%1)"/>
      <w:numFmt w:val="lowerLetter"/>
      <w:start w:val="3"/>
    </w:lvl>
  </w:abstractNum>
  <w:abstractNum w:abstractNumId="40">
    <w:nsid w:val="374A3FE6"/>
    <w:multiLevelType w:val="hybridMultilevel"/>
    <w:lvl w:ilvl="0">
      <w:lvlJc w:val="left"/>
      <w:lvlText w:val="(%1)"/>
      <w:numFmt w:val="lowerLetter"/>
      <w:start w:val="4"/>
    </w:lvl>
  </w:abstractNum>
  <w:abstractNum w:abstractNumId="41">
    <w:nsid w:val="4F4EF005"/>
    <w:multiLevelType w:val="hybridMultilevel"/>
    <w:lvl w:ilvl="0">
      <w:lvlJc w:val="left"/>
      <w:lvlText w:val="%1"/>
      <w:numFmt w:val="decimal"/>
      <w:start w:val="1"/>
    </w:lvl>
    <w:lvl w:ilvl="1">
      <w:lvlJc w:val="left"/>
      <w:lvlText w:val="(%2)"/>
      <w:numFmt w:val="lowerLetter"/>
      <w:start w:val="5"/>
    </w:lvl>
  </w:abstractNum>
  <w:abstractNum w:abstractNumId="42">
    <w:nsid w:val="23F9C13C"/>
    <w:multiLevelType w:val="hybridMultilevel"/>
    <w:lvl w:ilvl="0">
      <w:lvlJc w:val="left"/>
      <w:lvlText w:val="%1."/>
      <w:numFmt w:val="decimal"/>
      <w:start w:val="5"/>
    </w:lvl>
    <w:lvl w:ilvl="1">
      <w:lvlJc w:val="left"/>
      <w:lvlText w:val="(%2)"/>
      <w:numFmt w:val="lowerLetter"/>
      <w:start w:val="1"/>
    </w:lvl>
  </w:abstractNum>
  <w:abstractNum w:abstractNumId="43">
    <w:nsid w:val="649BB77C"/>
    <w:multiLevelType w:val="hybridMultilevel"/>
    <w:lvl w:ilvl="0">
      <w:lvlJc w:val="left"/>
      <w:lvlText w:val="%1."/>
      <w:numFmt w:val="decimal"/>
      <w:start w:val="7"/>
    </w:lvl>
    <w:lvl w:ilvl="1">
      <w:lvlJc w:val="left"/>
      <w:lvlText w:val="(%2)"/>
      <w:numFmt w:val="lowerLetter"/>
      <w:start w:val="1"/>
    </w:lvl>
  </w:abstractNum>
  <w:abstractNum w:abstractNumId="44">
    <w:nsid w:val="275AC79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45">
    <w:nsid w:val="39386575"/>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46">
    <w:nsid w:val="1CF10FD8"/>
    <w:multiLevelType w:val="hybridMultilevel"/>
    <w:lvl w:ilvl="0">
      <w:lvlJc w:val="left"/>
      <w:lvlText w:val="%1."/>
      <w:numFmt w:val="decimal"/>
      <w:start w:val="11"/>
    </w:lvl>
  </w:abstractNum>
  <w:abstractNum w:abstractNumId="47">
    <w:nsid w:val="180115BE"/>
    <w:multiLevelType w:val="hybridMultilevel"/>
    <w:lvl w:ilvl="0">
      <w:lvlJc w:val="left"/>
      <w:lvlText w:val="%1."/>
      <w:numFmt w:val="decimal"/>
      <w:start w:val="14"/>
    </w:lvl>
    <w:lvl w:ilvl="1">
      <w:lvlJc w:val="left"/>
      <w:lvlText w:val="(%2)"/>
      <w:numFmt w:val="lowerLetter"/>
      <w:start w:val="1"/>
    </w:lvl>
  </w:abstractNum>
  <w:abstractNum w:abstractNumId="48">
    <w:nsid w:val="235BA861"/>
    <w:multiLevelType w:val="hybridMultilevel"/>
    <w:lvl w:ilvl="0">
      <w:lvlJc w:val="left"/>
      <w:lvlText w:val="%1."/>
      <w:numFmt w:val="upperLetter"/>
      <w:start w:val="1"/>
    </w:lvl>
  </w:abstractNum>
  <w:abstractNum w:abstractNumId="49">
    <w:nsid w:val="47398C8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0">
    <w:nsid w:val="354FE9F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51">
    <w:nsid w:val="15B5AF5C"/>
    <w:multiLevelType w:val="hybridMultilevel"/>
    <w:lvl w:ilvl="0">
      <w:lvlJc w:val="left"/>
      <w:lvlText w:val="(%1)"/>
      <w:numFmt w:val="lowerLetter"/>
      <w:start w:val="2"/>
    </w:lvl>
  </w:abstractNum>
  <w:abstractNum w:abstractNumId="52">
    <w:nsid w:val="741226BB"/>
    <w:multiLevelType w:val="hybridMultilevel"/>
    <w:lvl w:ilvl="0">
      <w:lvlJc w:val="left"/>
      <w:lvlText w:val="(%1)"/>
      <w:numFmt w:val="lowerLetter"/>
      <w:start w:val="3"/>
    </w:lvl>
  </w:abstractNum>
  <w:abstractNum w:abstractNumId="53">
    <w:nsid w:val="D34B6A8"/>
    <w:multiLevelType w:val="hybridMultilevel"/>
    <w:lvl w:ilvl="0">
      <w:lvlJc w:val="left"/>
      <w:lvlText w:val="(%1)"/>
      <w:numFmt w:val="lowerLetter"/>
      <w:start w:val="4"/>
    </w:lvl>
  </w:abstractNum>
  <w:abstractNum w:abstractNumId="54">
    <w:nsid w:val="10233C99"/>
    <w:multiLevelType w:val="hybridMultilevel"/>
    <w:lvl w:ilvl="0">
      <w:lvlJc w:val="left"/>
      <w:lvlText w:val="%1"/>
      <w:numFmt w:val="decimal"/>
      <w:start w:val="1"/>
    </w:lvl>
    <w:lvl w:ilvl="1">
      <w:lvlJc w:val="left"/>
      <w:lvlText w:val="(%2)"/>
      <w:numFmt w:val="lowerLetter"/>
      <w:start w:val="5"/>
    </w:lvl>
  </w:abstractNum>
  <w:abstractNum w:abstractNumId="55">
    <w:nsid w:val="3F6AB60F"/>
    <w:multiLevelType w:val="hybridMultilevel"/>
    <w:lvl w:ilvl="0">
      <w:lvlJc w:val="left"/>
      <w:lvlText w:val="%1."/>
      <w:numFmt w:val="decimal"/>
      <w:start w:val="5"/>
    </w:lvl>
    <w:lvl w:ilvl="1">
      <w:lvlJc w:val="left"/>
      <w:lvlText w:val="%2"/>
      <w:numFmt w:val="lowerLetter"/>
      <w:start w:val="1"/>
    </w:lvl>
  </w:abstractNum>
  <w:abstractNum w:abstractNumId="56">
    <w:nsid w:val="61574095"/>
    <w:multiLevelType w:val="hybridMultilevel"/>
    <w:lvl w:ilvl="0">
      <w:lvlJc w:val="left"/>
      <w:lvlText w:val="%1"/>
      <w:numFmt w:val="decimal"/>
      <w:start w:val="1"/>
    </w:lvl>
    <w:lvl w:ilvl="1">
      <w:lvlJc w:val="left"/>
      <w:lvlText w:val="(%2)"/>
      <w:numFmt w:val="lowerLetter"/>
      <w:start w:val="1"/>
    </w:lvl>
  </w:abstractNum>
  <w:abstractNum w:abstractNumId="57">
    <w:nsid w:val="7E0C57B1"/>
    <w:multiLevelType w:val="hybridMultilevel"/>
    <w:lvl w:ilvl="0">
      <w:lvlJc w:val="left"/>
      <w:lvlText w:val="%1."/>
      <w:numFmt w:val="decimal"/>
      <w:start w:val="7"/>
    </w:lvl>
    <w:lvl w:ilvl="1">
      <w:lvlJc w:val="left"/>
      <w:lvlText w:val="%2"/>
      <w:numFmt w:val="lowerLetter"/>
      <w:start w:val="1"/>
    </w:lvl>
  </w:abstractNum>
  <w:abstractNum w:abstractNumId="58">
    <w:nsid w:val="77AE35EB"/>
    <w:multiLevelType w:val="hybridMultilevel"/>
    <w:lvl w:ilvl="0">
      <w:lvlJc w:val="left"/>
      <w:lvlText w:val="%1."/>
      <w:numFmt w:val="decimal"/>
      <w:start w:val="8"/>
    </w:lvl>
    <w:lvl w:ilvl="1">
      <w:lvlJc w:val="left"/>
      <w:lvlText w:val="(%2)"/>
      <w:numFmt w:val="lowerLetter"/>
      <w:start w:val="1"/>
    </w:lvl>
  </w:abstractNum>
  <w:abstractNum w:abstractNumId="59">
    <w:nsid w:val="579BE4F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60">
    <w:nsid w:val="310C50B3"/>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1">
    <w:nsid w:val="5FF87E05"/>
    <w:multiLevelType w:val="hybridMultilevel"/>
    <w:lvl w:ilvl="0">
      <w:lvlJc w:val="left"/>
      <w:lvlText w:val="%1."/>
      <w:numFmt w:val="decimal"/>
      <w:start w:val="11"/>
    </w:lvl>
  </w:abstractNum>
  <w:abstractNum w:abstractNumId="62">
    <w:nsid w:val="2F305DEF"/>
    <w:multiLevelType w:val="hybridMultilevel"/>
    <w:lvl w:ilvl="0">
      <w:lvlJc w:val="left"/>
      <w:lvlText w:val="%1."/>
      <w:numFmt w:val="decimal"/>
      <w:start w:val="12"/>
    </w:lvl>
    <w:lvl w:ilvl="1">
      <w:lvlJc w:val="left"/>
      <w:lvlText w:val="(%2)"/>
      <w:numFmt w:val="lowerLetter"/>
      <w:start w:val="1"/>
    </w:lvl>
  </w:abstractNum>
  <w:abstractNum w:abstractNumId="63">
    <w:nsid w:val="25A70BF7"/>
    <w:multiLevelType w:val="hybridMultilevel"/>
    <w:lvl w:ilvl="0">
      <w:lvlJc w:val="left"/>
      <w:lvlText w:val="(%1)"/>
      <w:numFmt w:val="lowerLetter"/>
      <w:start w:val="2"/>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05" Type="http://schemas.openxmlformats.org/officeDocument/2006/relationships/hyperlink" Target="http://www.sec.gov/Archives/edgar/data/1757715/000119312519173667/d826688dex31.htm" TargetMode="External"/><Relationship Id="rId106" Type="http://schemas.openxmlformats.org/officeDocument/2006/relationships/hyperlink" Target="http://www.sec.gov/Archives/edgar/data/1757715/000119312519173667/d826688dex32.htm" TargetMode="External"/><Relationship Id="rId107" Type="http://schemas.openxmlformats.org/officeDocument/2006/relationships/hyperlink" Target="http://www.sec.gov/Archives/edgar/data/1757715/000119312519157090/d639806dex41.htm" TargetMode="External"/><Relationship Id="rId108" Type="http://schemas.openxmlformats.org/officeDocument/2006/relationships/hyperlink" Target="http://www.sec.gov/Archives/edgar/data/1757715/000119312519144273/d639806dex42.htm" TargetMode="External"/><Relationship Id="rId109" Type="http://schemas.openxmlformats.org/officeDocument/2006/relationships/hyperlink" Target="http://www.sec.gov/Archives/edgar/data/1757715/000119312519144273/d639806dex43.htm" TargetMode="External"/><Relationship Id="rId110" Type="http://schemas.openxmlformats.org/officeDocument/2006/relationships/hyperlink" Target="http://www.sec.gov/Archives/edgar/data/1757715/000119312519144273/d639806dex44.htm" TargetMode="External"/><Relationship Id="rId111" Type="http://schemas.openxmlformats.org/officeDocument/2006/relationships/hyperlink" Target="http://www.sec.gov/Archives/edgar/data/1757715/000119312519144273/d639806dex45.htm" TargetMode="External"/><Relationship Id="rId112" Type="http://schemas.openxmlformats.org/officeDocument/2006/relationships/hyperlink" Target="http://www.sec.gov/Archives/edgar/data/1757715/000119312519144273/d639806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2019-12-28T02:53:04Z</dcterms:created>
  <dcterms:modified xsi:type="dcterms:W3CDTF">2019-12-28T02:53:04Z</dcterms:modified>
</cp:coreProperties>
</file>