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73660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5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8"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quarterly period ended June 30, 2024</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50" w:lineRule="exact"/>
        <w:rPr>
          <w:sz w:val="24"/>
          <w:szCs w:val="24"/>
          <w:color w:val="auto"/>
        </w:rPr>
      </w:pPr>
    </w:p>
    <w:p>
      <w:pPr>
        <w:ind w:left="448" w:hanging="448"/>
        <w:spacing w:after="0"/>
        <w:tabs>
          <w:tab w:leader="none" w:pos="4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1788" w:type="dxa"/>
        <w:tblCellMar>
          <w:top w:w="0" w:type="dxa"/>
          <w:left w:w="0" w:type="dxa"/>
          <w:bottom w:w="0" w:type="dxa"/>
          <w:right w:w="0" w:type="dxa"/>
        </w:tblCellMar>
      </w:tblPr>
      <w:tr>
        <w:trPr>
          <w:trHeight w:val="159"/>
        </w:trPr>
        <w:tc>
          <w:tcPr>
            <w:tcW w:w="2460" w:type="dxa"/>
            <w:vAlign w:val="bottom"/>
          </w:tcPr>
          <w:p>
            <w:pPr>
              <w:spacing w:after="0"/>
              <w:rPr>
                <w:sz w:val="13"/>
                <w:szCs w:val="13"/>
                <w:color w:val="auto"/>
              </w:rPr>
            </w:pPr>
          </w:p>
        </w:tc>
        <w:tc>
          <w:tcPr>
            <w:tcW w:w="4880" w:type="dxa"/>
            <w:vAlign w:val="bottom"/>
            <w:gridSpan w:val="2"/>
          </w:tcPr>
          <w:p>
            <w:pPr>
              <w:jc w:val="center"/>
              <w:ind w:right="2000"/>
              <w:spacing w:after="0"/>
              <w:rPr>
                <w:sz w:val="20"/>
                <w:szCs w:val="20"/>
                <w:color w:val="auto"/>
              </w:rPr>
            </w:pPr>
            <w:r>
              <w:rPr>
                <w:rFonts w:ascii="Times New Roman" w:cs="Times New Roman" w:eastAsia="Times New Roman" w:hAnsi="Times New Roman"/>
                <w:sz w:val="12"/>
                <w:szCs w:val="12"/>
                <w:b w:val="1"/>
                <w:bCs w:val="1"/>
                <w:color w:val="auto"/>
                <w:w w:val="99"/>
              </w:rPr>
              <w:t>Commission File Number: 001-38937</w:t>
            </w:r>
          </w:p>
        </w:tc>
      </w:tr>
      <w:tr>
        <w:trPr>
          <w:trHeight w:val="36"/>
        </w:trPr>
        <w:tc>
          <w:tcPr>
            <w:tcW w:w="24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060" w:type="dxa"/>
            <w:vAlign w:val="bottom"/>
          </w:tcPr>
          <w:p>
            <w:pPr>
              <w:spacing w:after="0"/>
              <w:rPr>
                <w:sz w:val="3"/>
                <w:szCs w:val="3"/>
                <w:color w:val="auto"/>
              </w:rPr>
            </w:pPr>
          </w:p>
        </w:tc>
      </w:tr>
      <w:tr>
        <w:trPr>
          <w:trHeight w:val="343"/>
        </w:trPr>
        <w:tc>
          <w:tcPr>
            <w:tcW w:w="2460" w:type="dxa"/>
            <w:vAlign w:val="bottom"/>
          </w:tcPr>
          <w:p>
            <w:pPr>
              <w:spacing w:after="0"/>
              <w:rPr>
                <w:sz w:val="24"/>
                <w:szCs w:val="24"/>
                <w:color w:val="auto"/>
              </w:rPr>
            </w:pPr>
          </w:p>
        </w:tc>
        <w:tc>
          <w:tcPr>
            <w:tcW w:w="4880" w:type="dxa"/>
            <w:vAlign w:val="bottom"/>
            <w:gridSpan w:val="2"/>
          </w:tcPr>
          <w:p>
            <w:pPr>
              <w:jc w:val="center"/>
              <w:ind w:right="2020"/>
              <w:spacing w:after="0"/>
              <w:rPr>
                <w:sz w:val="20"/>
                <w:szCs w:val="20"/>
                <w:color w:val="auto"/>
              </w:rPr>
            </w:pPr>
            <w:r>
              <w:rPr>
                <w:rFonts w:ascii="Times New Roman" w:cs="Times New Roman" w:eastAsia="Times New Roman" w:hAnsi="Times New Roman"/>
                <w:sz w:val="29"/>
                <w:szCs w:val="29"/>
                <w:b w:val="1"/>
                <w:bCs w:val="1"/>
                <w:color w:val="auto"/>
                <w:w w:val="99"/>
              </w:rPr>
              <w:t>Aterian, Inc.</w:t>
            </w:r>
          </w:p>
        </w:tc>
      </w:tr>
      <w:tr>
        <w:trPr>
          <w:trHeight w:val="159"/>
        </w:trPr>
        <w:tc>
          <w:tcPr>
            <w:tcW w:w="2460" w:type="dxa"/>
            <w:vAlign w:val="bottom"/>
          </w:tcPr>
          <w:p>
            <w:pPr>
              <w:spacing w:after="0"/>
              <w:rPr>
                <w:sz w:val="13"/>
                <w:szCs w:val="13"/>
                <w:color w:val="auto"/>
              </w:rPr>
            </w:pPr>
          </w:p>
        </w:tc>
        <w:tc>
          <w:tcPr>
            <w:tcW w:w="4880" w:type="dxa"/>
            <w:vAlign w:val="bottom"/>
            <w:gridSpan w:val="2"/>
          </w:tcPr>
          <w:p>
            <w:pPr>
              <w:jc w:val="center"/>
              <w:ind w:right="2020"/>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r>
      <w:tr>
        <w:trPr>
          <w:trHeight w:val="273"/>
        </w:trPr>
        <w:tc>
          <w:tcPr>
            <w:tcW w:w="246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83-1739858</w:t>
            </w:r>
          </w:p>
        </w:tc>
      </w:tr>
      <w:tr>
        <w:trPr>
          <w:trHeight w:val="144"/>
        </w:trPr>
        <w:tc>
          <w:tcPr>
            <w:tcW w:w="246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2820" w:type="dxa"/>
            <w:vAlign w:val="bottom"/>
          </w:tcPr>
          <w:p>
            <w:pPr>
              <w:spacing w:after="0"/>
              <w:rPr>
                <w:sz w:val="12"/>
                <w:szCs w:val="12"/>
                <w:color w:val="auto"/>
              </w:rPr>
            </w:pPr>
          </w:p>
        </w:tc>
        <w:tc>
          <w:tcPr>
            <w:tcW w:w="206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246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2820" w:type="dxa"/>
            <w:vAlign w:val="bottom"/>
          </w:tcPr>
          <w:p>
            <w:pPr>
              <w:spacing w:after="0"/>
              <w:rPr>
                <w:sz w:val="13"/>
                <w:szCs w:val="13"/>
                <w:color w:val="auto"/>
              </w:rPr>
            </w:pPr>
          </w:p>
        </w:tc>
        <w:tc>
          <w:tcPr>
            <w:tcW w:w="2060" w:type="dxa"/>
            <w:vAlign w:val="bottom"/>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273"/>
        </w:trPr>
        <w:tc>
          <w:tcPr>
            <w:tcW w:w="246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350 Springfield Avenue, Suite 200</w:t>
            </w:r>
          </w:p>
        </w:tc>
        <w:tc>
          <w:tcPr>
            <w:tcW w:w="28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144"/>
        </w:trPr>
        <w:tc>
          <w:tcPr>
            <w:tcW w:w="246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Summit, NJ</w:t>
            </w:r>
          </w:p>
        </w:tc>
        <w:tc>
          <w:tcPr>
            <w:tcW w:w="4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07901</w:t>
            </w:r>
          </w:p>
        </w:tc>
      </w:tr>
      <w:tr>
        <w:trPr>
          <w:trHeight w:val="159"/>
        </w:trPr>
        <w:tc>
          <w:tcPr>
            <w:tcW w:w="246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2820" w:type="dxa"/>
            <w:vAlign w:val="bottom"/>
          </w:tcPr>
          <w:p>
            <w:pPr>
              <w:spacing w:after="0"/>
              <w:rPr>
                <w:sz w:val="13"/>
                <w:szCs w:val="13"/>
                <w:color w:val="auto"/>
              </w:rPr>
            </w:pPr>
          </w:p>
        </w:tc>
        <w:tc>
          <w:tcPr>
            <w:tcW w:w="2060" w:type="dxa"/>
            <w:vAlign w:val="bottom"/>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73"/>
        </w:trPr>
        <w:tc>
          <w:tcPr>
            <w:tcW w:w="2460" w:type="dxa"/>
            <w:vAlign w:val="bottom"/>
          </w:tcPr>
          <w:p>
            <w:pPr>
              <w:spacing w:after="0"/>
              <w:rPr>
                <w:sz w:val="23"/>
                <w:szCs w:val="23"/>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(347) 676-1681</w:t>
            </w:r>
          </w:p>
        </w:tc>
        <w:tc>
          <w:tcPr>
            <w:tcW w:w="2060" w:type="dxa"/>
            <w:vAlign w:val="bottom"/>
          </w:tcPr>
          <w:p>
            <w:pPr>
              <w:spacing w:after="0"/>
              <w:rPr>
                <w:sz w:val="23"/>
                <w:szCs w:val="23"/>
                <w:color w:val="auto"/>
              </w:rPr>
            </w:pPr>
          </w:p>
        </w:tc>
      </w:tr>
      <w:tr>
        <w:trPr>
          <w:trHeight w:val="159"/>
        </w:trPr>
        <w:tc>
          <w:tcPr>
            <w:tcW w:w="2460" w:type="dxa"/>
            <w:vAlign w:val="bottom"/>
          </w:tcPr>
          <w:p>
            <w:pPr>
              <w:spacing w:after="0"/>
              <w:rPr>
                <w:sz w:val="13"/>
                <w:szCs w:val="13"/>
                <w:color w:val="auto"/>
              </w:rPr>
            </w:pPr>
          </w:p>
        </w:tc>
        <w:tc>
          <w:tcPr>
            <w:tcW w:w="4880" w:type="dxa"/>
            <w:vAlign w:val="bottom"/>
            <w:gridSpan w:val="2"/>
          </w:tcPr>
          <w:p>
            <w:pPr>
              <w:jc w:val="center"/>
              <w:ind w:right="2020"/>
              <w:spacing w:after="0"/>
              <w:rPr>
                <w:sz w:val="20"/>
                <w:szCs w:val="20"/>
                <w:color w:val="auto"/>
              </w:rPr>
            </w:pPr>
            <w:r>
              <w:rPr>
                <w:rFonts w:ascii="Times New Roman" w:cs="Times New Roman" w:eastAsia="Times New Roman" w:hAnsi="Times New Roman"/>
                <w:sz w:val="12"/>
                <w:szCs w:val="12"/>
                <w:b w:val="1"/>
                <w:bCs w:val="1"/>
                <w:color w:val="auto"/>
                <w:w w:val="99"/>
              </w:rPr>
              <w:t>(Registrant</w:t>
            </w: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b w:val="1"/>
                <w:bCs w:val="1"/>
                <w:color w:val="auto"/>
                <w:w w:val="99"/>
              </w:rPr>
              <w:t>s telephone number, including area code)</w:t>
            </w:r>
          </w:p>
        </w:tc>
      </w:tr>
      <w:tr>
        <w:trPr>
          <w:trHeight w:val="36"/>
        </w:trPr>
        <w:tc>
          <w:tcPr>
            <w:tcW w:w="24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060" w:type="dxa"/>
            <w:vAlign w:val="bottom"/>
          </w:tcPr>
          <w:p>
            <w:pPr>
              <w:spacing w:after="0"/>
              <w:rPr>
                <w:sz w:val="3"/>
                <w:szCs w:val="3"/>
                <w:color w:val="auto"/>
              </w:rPr>
            </w:pPr>
          </w:p>
        </w:tc>
      </w:tr>
    </w:tbl>
    <w:p>
      <w:pPr>
        <w:spacing w:after="0" w:line="169"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4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20" w:type="dxa"/>
            <w:vAlign w:val="bottom"/>
          </w:tcPr>
          <w:p>
            <w:pPr>
              <w:spacing w:after="0"/>
              <w:rPr>
                <w:sz w:val="13"/>
                <w:szCs w:val="13"/>
                <w:color w:val="auto"/>
              </w:rPr>
            </w:pPr>
          </w:p>
        </w:tc>
      </w:tr>
      <w:tr>
        <w:trPr>
          <w:trHeight w:val="288"/>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0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12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4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10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ATER</w:t>
            </w:r>
          </w:p>
        </w:tc>
        <w:tc>
          <w:tcPr>
            <w:tcW w:w="120" w:type="dxa"/>
            <w:vAlign w:val="bottom"/>
          </w:tcPr>
          <w:p>
            <w:pPr>
              <w:spacing w:after="0"/>
              <w:rPr>
                <w:sz w:val="12"/>
                <w:szCs w:val="12"/>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22" w:lineRule="exact"/>
        <w:rPr>
          <w:sz w:val="24"/>
          <w:szCs w:val="24"/>
          <w:color w:val="auto"/>
        </w:rPr>
      </w:pPr>
    </w:p>
    <w:p>
      <w:pPr>
        <w:ind w:left="8" w:right="180"/>
        <w:spacing w:after="0" w:line="15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8" w:right="80"/>
        <w:spacing w:after="0" w:line="14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8" w:right="520"/>
        <w:spacing w:after="0" w:line="25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560" w:type="dxa"/>
            <w:vAlign w:val="bottom"/>
          </w:tcPr>
          <w:p>
            <w:pPr>
              <w:ind w:left="440"/>
              <w:spacing w:after="0" w:line="121" w:lineRule="exact"/>
              <w:rPr>
                <w:sz w:val="20"/>
                <w:szCs w:val="20"/>
                <w:color w:val="auto"/>
              </w:rPr>
            </w:pPr>
            <w:r>
              <w:rPr>
                <w:rFonts w:ascii="MS PGothic" w:cs="MS PGothic" w:eastAsia="MS PGothic" w:hAnsi="MS PGothic"/>
                <w:sz w:val="12"/>
                <w:szCs w:val="12"/>
                <w:color w:val="auto"/>
              </w:rPr>
              <w:t>☐</w:t>
            </w:r>
          </w:p>
        </w:tc>
        <w:tc>
          <w:tcPr>
            <w:tcW w:w="4940" w:type="dxa"/>
            <w:vAlign w:val="bottom"/>
          </w:tcPr>
          <w:p>
            <w:pPr>
              <w:ind w:left="3000"/>
              <w:spacing w:after="0"/>
              <w:rPr>
                <w:sz w:val="20"/>
                <w:szCs w:val="20"/>
                <w:color w:val="auto"/>
              </w:rPr>
            </w:pPr>
            <w:r>
              <w:rPr>
                <w:rFonts w:ascii="Times New Roman" w:cs="Times New Roman" w:eastAsia="Times New Roman" w:hAnsi="Times New Roman"/>
                <w:sz w:val="12"/>
                <w:szCs w:val="12"/>
                <w:color w:val="auto"/>
              </w:rPr>
              <w:t>Accelerated filer</w:t>
            </w:r>
          </w:p>
        </w:tc>
        <w:tc>
          <w:tcPr>
            <w:tcW w:w="740" w:type="dxa"/>
            <w:vAlign w:val="bottom"/>
          </w:tcPr>
          <w:p>
            <w:pPr>
              <w:ind w:left="6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44"/>
        </w:trPr>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560" w:type="dxa"/>
            <w:vAlign w:val="bottom"/>
          </w:tcPr>
          <w:p>
            <w:pPr>
              <w:ind w:left="440"/>
              <w:spacing w:after="0" w:line="121" w:lineRule="exact"/>
              <w:rPr>
                <w:sz w:val="20"/>
                <w:szCs w:val="20"/>
                <w:color w:val="auto"/>
              </w:rPr>
            </w:pPr>
            <w:r>
              <w:rPr>
                <w:rFonts w:ascii="MS PGothic" w:cs="MS PGothic" w:eastAsia="MS PGothic" w:hAnsi="MS PGothic"/>
                <w:sz w:val="12"/>
                <w:szCs w:val="12"/>
                <w:color w:val="auto"/>
              </w:rPr>
              <w:t>☒</w:t>
            </w:r>
          </w:p>
        </w:tc>
        <w:tc>
          <w:tcPr>
            <w:tcW w:w="4940" w:type="dxa"/>
            <w:vAlign w:val="bottom"/>
          </w:tcPr>
          <w:p>
            <w:pPr>
              <w:ind w:left="30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740" w:type="dxa"/>
            <w:vAlign w:val="bottom"/>
          </w:tcPr>
          <w:p>
            <w:pPr>
              <w:ind w:left="6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1"/>
        </w:trPr>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560" w:type="dxa"/>
            <w:vAlign w:val="bottom"/>
          </w:tcPr>
          <w:p>
            <w:pPr>
              <w:ind w:left="440"/>
              <w:spacing w:after="0" w:line="121" w:lineRule="exact"/>
              <w:rPr>
                <w:sz w:val="20"/>
                <w:szCs w:val="20"/>
                <w:color w:val="auto"/>
              </w:rPr>
            </w:pPr>
            <w:r>
              <w:rPr>
                <w:rFonts w:ascii="MS PGothic" w:cs="MS PGothic" w:eastAsia="MS PGothic" w:hAnsi="MS PGothic"/>
                <w:sz w:val="12"/>
                <w:szCs w:val="12"/>
                <w:color w:val="auto"/>
              </w:rPr>
              <w:t>☒</w:t>
            </w:r>
          </w:p>
        </w:tc>
        <w:tc>
          <w:tcPr>
            <w:tcW w:w="494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112" w:lineRule="exact"/>
        <w:rPr>
          <w:sz w:val="24"/>
          <w:szCs w:val="24"/>
          <w:color w:val="auto"/>
        </w:rPr>
      </w:pPr>
    </w:p>
    <w:p>
      <w:pPr>
        <w:ind w:left="8" w:right="100"/>
        <w:spacing w:after="0" w:line="14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4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As of August 8, 2024, the registrant had 8,588,822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20" w:type="dxa"/>
            <w:vAlign w:val="bottom"/>
            <w:gridSpan w:val="2"/>
          </w:tcPr>
          <w:p>
            <w:pPr>
              <w:ind w:left="7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PART I.</w:t>
            </w:r>
          </w:p>
        </w:tc>
        <w:tc>
          <w:tcPr>
            <w:tcW w:w="9420" w:type="dxa"/>
            <w:vAlign w:val="bottom"/>
            <w:gridSpan w:val="16"/>
            <w:vMerge w:val="restart"/>
          </w:tcPr>
          <w:p>
            <w:pPr>
              <w:spacing w:after="0"/>
              <w:rPr>
                <w:sz w:val="20"/>
                <w:szCs w:val="20"/>
                <w:color w:val="auto"/>
              </w:rPr>
            </w:pPr>
            <w:r>
              <w:rPr>
                <w:rFonts w:ascii="Times New Roman" w:cs="Times New Roman" w:eastAsia="Times New Roman" w:hAnsi="Times New Roman"/>
                <w:sz w:val="12"/>
                <w:szCs w:val="12"/>
                <w:color w:val="0000EE"/>
              </w:rPr>
              <w:t>FINANCIAL INFORMATION</w:t>
            </w:r>
          </w:p>
        </w:tc>
        <w:tc>
          <w:tcPr>
            <w:tcW w:w="6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06"/>
        </w:trPr>
        <w:tc>
          <w:tcPr>
            <w:tcW w:w="1260" w:type="dxa"/>
            <w:vAlign w:val="bottom"/>
            <w:gridSpan w:val="2"/>
            <w:vMerge w:val="continue"/>
          </w:tcPr>
          <w:p>
            <w:pPr>
              <w:spacing w:after="0"/>
              <w:rPr>
                <w:sz w:val="9"/>
                <w:szCs w:val="9"/>
                <w:color w:val="auto"/>
              </w:rPr>
            </w:pPr>
          </w:p>
        </w:tc>
        <w:tc>
          <w:tcPr>
            <w:tcW w:w="9420" w:type="dxa"/>
            <w:vAlign w:val="bottom"/>
            <w:gridSpan w:val="16"/>
            <w:vMerge w:val="continue"/>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1.</w:t>
            </w:r>
          </w:p>
        </w:tc>
        <w:tc>
          <w:tcPr>
            <w:tcW w:w="1620" w:type="dxa"/>
            <w:vAlign w:val="bottom"/>
            <w:tcBorders>
              <w:bottom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9"/>
              </w:rPr>
              <w:t>Financial Statements (Unaudited)</w:t>
            </w:r>
          </w:p>
        </w:tc>
        <w:tc>
          <w:tcPr>
            <w:tcW w:w="7800" w:type="dxa"/>
            <w:vAlign w:val="bottom"/>
            <w:gridSpan w:val="8"/>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u w:val="single" w:color="auto"/>
                <w:color w:val="0000EE"/>
              </w:rPr>
              <w:t>3</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Condensed Consolidated Balance Sheets</w:t>
            </w:r>
          </w:p>
        </w:tc>
        <w:tc>
          <w:tcPr>
            <w:tcW w:w="7460" w:type="dxa"/>
            <w:vAlign w:val="bottom"/>
            <w:gridSpan w:val="7"/>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u w:val="single" w:color="auto"/>
                <w:color w:val="0000EE"/>
              </w:rPr>
              <w:t>3</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40" w:type="dxa"/>
            <w:vAlign w:val="bottom"/>
            <w:tcBorders>
              <w:bottom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w w:val="99"/>
              </w:rPr>
              <w:t>Condensed Consolidated Statements of Operations</w:t>
            </w:r>
          </w:p>
        </w:tc>
        <w:tc>
          <w:tcPr>
            <w:tcW w:w="6980" w:type="dxa"/>
            <w:vAlign w:val="bottom"/>
            <w:gridSpan w:val="6"/>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u w:val="single" w:color="auto"/>
                <w:color w:val="0000EE"/>
              </w:rPr>
              <w:t>4</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940" w:type="dxa"/>
            <w:vAlign w:val="bottom"/>
            <w:tcBorders>
              <w:bottom w:val="single" w:sz="8" w:color="0000EE"/>
            </w:tcBorders>
            <w:gridSpan w:val="13"/>
          </w:tcPr>
          <w:p>
            <w:pPr>
              <w:spacing w:after="0" w:line="124" w:lineRule="exact"/>
              <w:rPr>
                <w:sz w:val="20"/>
                <w:szCs w:val="20"/>
                <w:color w:val="auto"/>
              </w:rPr>
            </w:pPr>
            <w:r>
              <w:rPr>
                <w:rFonts w:ascii="Times New Roman" w:cs="Times New Roman" w:eastAsia="Times New Roman" w:hAnsi="Times New Roman"/>
                <w:sz w:val="12"/>
                <w:szCs w:val="12"/>
                <w:color w:val="0000EE"/>
                <w:w w:val="99"/>
              </w:rPr>
              <w:t>Condensed Consolidated Statements of Comprehensive Loss</w:t>
            </w:r>
          </w:p>
        </w:tc>
        <w:tc>
          <w:tcPr>
            <w:tcW w:w="6480" w:type="dxa"/>
            <w:vAlign w:val="bottom"/>
            <w:gridSpan w:val="3"/>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u w:val="single" w:color="auto"/>
                <w:color w:val="0000EE"/>
              </w:rPr>
              <w:t>5</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940" w:type="dxa"/>
            <w:vAlign w:val="bottom"/>
            <w:tcBorders>
              <w:bottom w:val="single" w:sz="8" w:color="0000EE"/>
            </w:tcBorders>
            <w:gridSpan w:val="13"/>
          </w:tcPr>
          <w:p>
            <w:pPr>
              <w:spacing w:after="0" w:line="124" w:lineRule="exact"/>
              <w:rPr>
                <w:sz w:val="20"/>
                <w:szCs w:val="20"/>
                <w:color w:val="auto"/>
              </w:rPr>
            </w:pPr>
            <w:r>
              <w:rPr>
                <w:rFonts w:ascii="Times New Roman" w:cs="Times New Roman" w:eastAsia="Times New Roman" w:hAnsi="Times New Roman"/>
                <w:sz w:val="12"/>
                <w:szCs w:val="12"/>
                <w:color w:val="0000EE"/>
                <w:w w:val="99"/>
              </w:rPr>
              <w:t>Condensed Consolidated Statements of Stockholder’s Equity</w:t>
            </w:r>
          </w:p>
        </w:tc>
        <w:tc>
          <w:tcPr>
            <w:tcW w:w="6480" w:type="dxa"/>
            <w:vAlign w:val="bottom"/>
            <w:gridSpan w:val="3"/>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u w:val="single" w:color="auto"/>
                <w:color w:val="0000EE"/>
              </w:rPr>
              <w:t>6</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80" w:type="dxa"/>
            <w:vAlign w:val="bottom"/>
            <w:tcBorders>
              <w:bottom w:val="single" w:sz="8" w:color="0000EE"/>
            </w:tcBorders>
            <w:gridSpan w:val="11"/>
          </w:tcPr>
          <w:p>
            <w:pPr>
              <w:spacing w:after="0" w:line="124" w:lineRule="exact"/>
              <w:rPr>
                <w:sz w:val="20"/>
                <w:szCs w:val="20"/>
                <w:color w:val="auto"/>
              </w:rPr>
            </w:pPr>
            <w:r>
              <w:rPr>
                <w:rFonts w:ascii="Times New Roman" w:cs="Times New Roman" w:eastAsia="Times New Roman" w:hAnsi="Times New Roman"/>
                <w:sz w:val="12"/>
                <w:szCs w:val="12"/>
                <w:color w:val="0000EE"/>
                <w:w w:val="99"/>
              </w:rPr>
              <w:t>Condensed Consolidated Statements of Cash Flows</w:t>
            </w:r>
          </w:p>
        </w:tc>
        <w:tc>
          <w:tcPr>
            <w:tcW w:w="6940" w:type="dxa"/>
            <w:vAlign w:val="bottom"/>
            <w:gridSpan w:val="5"/>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u w:val="single" w:color="auto"/>
                <w:color w:val="0000EE"/>
              </w:rPr>
              <w:t>8</w:t>
            </w: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0" w:type="dxa"/>
            <w:vAlign w:val="bottom"/>
            <w:tcBorders>
              <w:bottom w:val="single" w:sz="8" w:color="0000EE"/>
            </w:tcBorders>
            <w:gridSpan w:val="14"/>
          </w:tcPr>
          <w:p>
            <w:pPr>
              <w:spacing w:after="0" w:line="124" w:lineRule="exact"/>
              <w:rPr>
                <w:sz w:val="20"/>
                <w:szCs w:val="20"/>
                <w:color w:val="auto"/>
              </w:rPr>
            </w:pPr>
            <w:r>
              <w:rPr>
                <w:rFonts w:ascii="Times New Roman" w:cs="Times New Roman" w:eastAsia="Times New Roman" w:hAnsi="Times New Roman"/>
                <w:sz w:val="12"/>
                <w:szCs w:val="12"/>
                <w:color w:val="0000EE"/>
                <w:w w:val="99"/>
              </w:rPr>
              <w:t>Notes to Unaudited Condensed Consolidated Financial Statements</w:t>
            </w:r>
          </w:p>
        </w:tc>
        <w:tc>
          <w:tcPr>
            <w:tcW w:w="6220" w:type="dxa"/>
            <w:vAlign w:val="bottom"/>
            <w:gridSpan w:val="2"/>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u w:val="single" w:color="auto"/>
                <w:color w:val="0000EE"/>
              </w:rPr>
              <w:t>9</w:t>
            </w:r>
          </w:p>
        </w:tc>
        <w:tc>
          <w:tcPr>
            <w:tcW w:w="0" w:type="dxa"/>
            <w:vAlign w:val="bottom"/>
          </w:tcPr>
          <w:p>
            <w:pPr>
              <w:spacing w:after="0"/>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2.</w:t>
            </w:r>
          </w:p>
        </w:tc>
        <w:tc>
          <w:tcPr>
            <w:tcW w:w="942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0000EE"/>
              </w:rPr>
              <w:t>Management’s Discussion and Analysis of Financial Condition and Results of Operations</w:t>
            </w: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25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400" w:type="dxa"/>
            <w:vAlign w:val="bottom"/>
            <w:tcBorders>
              <w:left w:val="single" w:sz="8" w:color="0000EE"/>
            </w:tcBorders>
            <w:gridSpan w:val="3"/>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3.</w:t>
            </w:r>
          </w:p>
        </w:tc>
        <w:tc>
          <w:tcPr>
            <w:tcW w:w="29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8"/>
              </w:rPr>
              <w:t>Quantitative and Qualitative Disclosures About Market Risk</w:t>
            </w:r>
          </w:p>
        </w:tc>
        <w:tc>
          <w:tcPr>
            <w:tcW w:w="1400" w:type="dxa"/>
            <w:vAlign w:val="bottom"/>
            <w:gridSpan w:val="3"/>
          </w:tcPr>
          <w:p>
            <w:pPr>
              <w:spacing w:after="0"/>
              <w:rPr>
                <w:sz w:val="10"/>
                <w:szCs w:val="10"/>
                <w:color w:val="auto"/>
              </w:rPr>
            </w:pPr>
          </w:p>
        </w:tc>
        <w:tc>
          <w:tcPr>
            <w:tcW w:w="5120" w:type="dxa"/>
            <w:vAlign w:val="bottom"/>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39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520" w:type="dxa"/>
            <w:vAlign w:val="bottom"/>
            <w:tcBorders>
              <w:left w:val="single" w:sz="8" w:color="0000EE"/>
            </w:tcBorders>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4.</w:t>
            </w:r>
          </w:p>
        </w:tc>
        <w:tc>
          <w:tcPr>
            <w:tcW w:w="11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6"/>
              </w:rPr>
              <w:t>Controls and Procedures</w:t>
            </w:r>
          </w:p>
        </w:tc>
        <w:tc>
          <w:tcPr>
            <w:tcW w:w="1720" w:type="dxa"/>
            <w:vAlign w:val="bottom"/>
            <w:gridSpan w:val="8"/>
          </w:tcPr>
          <w:p>
            <w:pPr>
              <w:spacing w:after="0"/>
              <w:rPr>
                <w:sz w:val="10"/>
                <w:szCs w:val="10"/>
                <w:color w:val="auto"/>
              </w:rPr>
            </w:pPr>
          </w:p>
        </w:tc>
        <w:tc>
          <w:tcPr>
            <w:tcW w:w="6520" w:type="dxa"/>
            <w:vAlign w:val="bottom"/>
            <w:gridSpan w:val="4"/>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40</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PART II.</w:t>
            </w: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vMerge w:val="continue"/>
          </w:tcPr>
          <w:p>
            <w:pPr>
              <w:spacing w:after="0"/>
              <w:rPr>
                <w:sz w:val="10"/>
                <w:szCs w:val="10"/>
                <w:color w:val="auto"/>
              </w:rPr>
            </w:pPr>
          </w:p>
        </w:tc>
        <w:tc>
          <w:tcPr>
            <w:tcW w:w="126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7"/>
              </w:rPr>
              <w:t>OTHER INFORMATION</w:t>
            </w:r>
          </w:p>
        </w:tc>
        <w:tc>
          <w:tcPr>
            <w:tcW w:w="8160" w:type="dxa"/>
            <w:vAlign w:val="bottom"/>
            <w:gridSpan w:val="11"/>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1.</w:t>
            </w:r>
          </w:p>
        </w:tc>
        <w:tc>
          <w:tcPr>
            <w:tcW w:w="8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4"/>
              </w:rPr>
              <w:t>Legal Proceedings</w:t>
            </w:r>
          </w:p>
        </w:tc>
        <w:tc>
          <w:tcPr>
            <w:tcW w:w="8540" w:type="dxa"/>
            <w:vAlign w:val="bottom"/>
            <w:gridSpan w:val="13"/>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1A.</w:t>
            </w:r>
          </w:p>
        </w:tc>
        <w:tc>
          <w:tcPr>
            <w:tcW w:w="8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Risk Factors</w:t>
            </w:r>
          </w:p>
        </w:tc>
        <w:tc>
          <w:tcPr>
            <w:tcW w:w="8540" w:type="dxa"/>
            <w:vAlign w:val="bottom"/>
            <w:gridSpan w:val="13"/>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2.</w:t>
            </w:r>
          </w:p>
        </w:tc>
        <w:tc>
          <w:tcPr>
            <w:tcW w:w="29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8"/>
              </w:rPr>
              <w:t>Unregistered Sales of Equity Securities and Use of Proceeds</w:t>
            </w:r>
          </w:p>
        </w:tc>
        <w:tc>
          <w:tcPr>
            <w:tcW w:w="6520" w:type="dxa"/>
            <w:vAlign w:val="bottom"/>
            <w:gridSpan w:val="4"/>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3.</w:t>
            </w:r>
          </w:p>
        </w:tc>
        <w:tc>
          <w:tcPr>
            <w:tcW w:w="29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Defaults Upon Senior Securities</w:t>
            </w:r>
          </w:p>
        </w:tc>
        <w:tc>
          <w:tcPr>
            <w:tcW w:w="6520" w:type="dxa"/>
            <w:vAlign w:val="bottom"/>
            <w:gridSpan w:val="4"/>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78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4.</w:t>
            </w:r>
          </w:p>
        </w:tc>
        <w:tc>
          <w:tcPr>
            <w:tcW w:w="154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Mine Safety Disclosures</w:t>
            </w:r>
          </w:p>
        </w:tc>
        <w:tc>
          <w:tcPr>
            <w:tcW w:w="7880" w:type="dxa"/>
            <w:vAlign w:val="bottom"/>
            <w:gridSpan w:val="9"/>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5.</w:t>
            </w:r>
          </w:p>
        </w:tc>
        <w:tc>
          <w:tcPr>
            <w:tcW w:w="8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5"/>
              </w:rPr>
              <w:t>Other Information</w:t>
            </w:r>
          </w:p>
        </w:tc>
        <w:tc>
          <w:tcPr>
            <w:tcW w:w="300" w:type="dxa"/>
            <w:vAlign w:val="bottom"/>
          </w:tcPr>
          <w:p>
            <w:pPr>
              <w:spacing w:after="0"/>
              <w:rPr>
                <w:sz w:val="10"/>
                <w:szCs w:val="10"/>
                <w:color w:val="auto"/>
              </w:rPr>
            </w:pPr>
          </w:p>
        </w:tc>
        <w:tc>
          <w:tcPr>
            <w:tcW w:w="8240" w:type="dxa"/>
            <w:vAlign w:val="bottom"/>
            <w:gridSpan w:val="12"/>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Item 6.</w:t>
            </w:r>
          </w:p>
        </w:tc>
        <w:tc>
          <w:tcPr>
            <w:tcW w:w="8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Exhibits</w:t>
            </w:r>
          </w:p>
        </w:tc>
        <w:tc>
          <w:tcPr>
            <w:tcW w:w="8540" w:type="dxa"/>
            <w:vAlign w:val="bottom"/>
            <w:gridSpan w:val="13"/>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Signatures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0000EE"/>
              </w:rPr>
              <w:t>45</w:t>
            </w:r>
          </w:p>
        </w:tc>
        <w:tc>
          <w:tcPr>
            <w:tcW w:w="0" w:type="dxa"/>
            <w:vAlign w:val="bottom"/>
          </w:tcPr>
          <w:p>
            <w:pPr>
              <w:spacing w:after="0"/>
              <w:rPr>
                <w:sz w:val="1"/>
                <w:szCs w:val="1"/>
                <w:color w:val="auto"/>
              </w:rPr>
            </w:pPr>
          </w:p>
        </w:tc>
      </w:tr>
      <w:tr>
        <w:trPr>
          <w:trHeight w:val="457"/>
        </w:trPr>
        <w:tc>
          <w:tcPr>
            <w:tcW w:w="50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9420" w:type="dxa"/>
            <w:vAlign w:val="bottom"/>
            <w:gridSpan w:val="16"/>
          </w:tcPr>
          <w:p>
            <w:pPr>
              <w:ind w:left="4360"/>
              <w:spacing w:after="0"/>
              <w:rPr>
                <w:sz w:val="20"/>
                <w:szCs w:val="20"/>
                <w:color w:val="auto"/>
              </w:rPr>
            </w:pPr>
            <w:r>
              <w:rPr>
                <w:rFonts w:ascii="Times New Roman" w:cs="Times New Roman" w:eastAsia="Times New Roman" w:hAnsi="Times New Roman"/>
                <w:sz w:val="12"/>
                <w:szCs w:val="12"/>
                <w:color w:val="auto"/>
              </w:rPr>
              <w:t>1</w:t>
            </w:r>
          </w:p>
        </w:tc>
        <w:tc>
          <w:tcPr>
            <w:tcW w:w="5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5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9"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This Quarterly Report on Form 10-Q contains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forward-looking statements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within the meaning of Section 27A of the Securities Act and Section 21E of the Securities Exchange Act of 1934 (the "Exchange Act"). Many of these statements can be identified by the use of terminology such as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believes,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expects,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intends,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anticipates,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plans,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may,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will,</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could,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"would,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projects,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continues,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estimates,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potential,</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opportunity</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or the negative versions of these terms and other similar expressions. Our actual results or experience could differ significantly from the forward-looking statements. Factors that could cause or contribute to these differences include those discussed in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 Part II, Item 1A of this Quarterly Report on Form 10-Q as well as information provided elsewhere in this Quarterly Report on Form 10-Q and our Annual Report on Form 10-K for the year ended December 31, 2023,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which was filed with the Securities and Exchange Commission (the SEC) on March 19, 2024. You should carefully consider that information before you make an investment decision.</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2"/>
          <w:szCs w:val="12"/>
          <w:i w:val="1"/>
          <w:iCs w:val="1"/>
          <w:color w:val="auto"/>
        </w:rPr>
        <w:t>You should not place undue reliance on these types of forward-looking statements, which speak only as of the date that they were made. These forward-looking statements are based on the beliefs and assumptions of the Company</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spacing w:after="0" w:line="120"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2"/>
          <w:szCs w:val="12"/>
          <w:i w:val="1"/>
          <w:iCs w:val="1"/>
          <w:color w:val="auto"/>
        </w:rPr>
        <w:t>The discussion of the Company</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financial condition and results of operations should be read in conjunction with the Company</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Condensed Consolidated Financial Statements and the related Notes thereto included in this Quarterly Report on Form 10-Q.</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tbl>
      <w:tblPr>
        <w:tblLayout w:type="fixed"/>
        <w:tblInd w:w="8" w:type="dxa"/>
        <w:tblCellMar>
          <w:top w:w="0" w:type="dxa"/>
          <w:left w:w="0" w:type="dxa"/>
          <w:bottom w:w="0" w:type="dxa"/>
          <w:right w:w="0" w:type="dxa"/>
        </w:tblCellMar>
      </w:tblPr>
      <w:tr>
        <w:trPr>
          <w:trHeight w:val="138"/>
        </w:trPr>
        <w:tc>
          <w:tcPr>
            <w:tcW w:w="8020" w:type="dxa"/>
            <w:vAlign w:val="bottom"/>
            <w:gridSpan w:val="6"/>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7"/>
        </w:trPr>
        <w:tc>
          <w:tcPr>
            <w:tcW w:w="802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PART I</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02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8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4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9"/>
              </w:rPr>
              <w:t>ATERIAN, INC.</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4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9"/>
              </w:rPr>
              <w:t>Condensed Consolidated Balance Sheets</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60" w:type="dxa"/>
            <w:vAlign w:val="bottom"/>
          </w:tcPr>
          <w:p>
            <w:pPr>
              <w:jc w:val="center"/>
              <w:ind w:right="192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4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i w:val="1"/>
                <w:iCs w:val="1"/>
                <w:color w:val="auto"/>
                <w:w w:val="99"/>
              </w:rPr>
              <w:t>(in thousands, except share and per share data)</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40" w:type="dxa"/>
            <w:vAlign w:val="bottom"/>
          </w:tcPr>
          <w:p>
            <w:pPr>
              <w:spacing w:after="0"/>
              <w:rPr>
                <w:sz w:val="24"/>
                <w:szCs w:val="24"/>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13"/>
        </w:trPr>
        <w:tc>
          <w:tcPr>
            <w:tcW w:w="840" w:type="dxa"/>
            <w:vAlign w:val="bottom"/>
            <w:tcBorders>
              <w:bottom w:val="single" w:sz="8" w:color="CCEEFF"/>
            </w:tcBorders>
            <w:shd w:val="clear" w:color="auto" w:fill="CCEEFF"/>
          </w:tcPr>
          <w:p>
            <w:pPr>
              <w:spacing w:after="0"/>
              <w:rPr>
                <w:sz w:val="9"/>
                <w:szCs w:val="9"/>
                <w:color w:val="auto"/>
              </w:rPr>
            </w:pPr>
          </w:p>
        </w:tc>
        <w:tc>
          <w:tcPr>
            <w:tcW w:w="18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ASSETS</w:t>
            </w:r>
          </w:p>
        </w:tc>
        <w:tc>
          <w:tcPr>
            <w:tcW w:w="3840" w:type="dxa"/>
            <w:vAlign w:val="bottom"/>
            <w:tcBorders>
              <w:bottom w:val="single" w:sz="8" w:color="CCEEFF"/>
            </w:tcBorders>
            <w:gridSpan w:val="2"/>
            <w:shd w:val="clear" w:color="auto" w:fill="CCEEFF"/>
          </w:tcPr>
          <w:p>
            <w:pPr>
              <w:spacing w:after="0"/>
              <w:rPr>
                <w:sz w:val="9"/>
                <w:szCs w:val="9"/>
                <w:color w:val="auto"/>
              </w:rPr>
            </w:pPr>
          </w:p>
        </w:tc>
        <w:tc>
          <w:tcPr>
            <w:tcW w:w="160" w:type="dxa"/>
            <w:vAlign w:val="bottom"/>
            <w:tcBorders>
              <w:top w:val="single" w:sz="8" w:color="auto"/>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CCEEFF"/>
            </w:tcBorders>
            <w:shd w:val="clear" w:color="auto" w:fill="CCEEFF"/>
          </w:tcPr>
          <w:p>
            <w:pPr>
              <w:spacing w:after="0"/>
              <w:rPr>
                <w:sz w:val="9"/>
                <w:szCs w:val="9"/>
                <w:color w:val="auto"/>
              </w:rPr>
            </w:pPr>
          </w:p>
        </w:tc>
        <w:tc>
          <w:tcPr>
            <w:tcW w:w="122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r>
      <w:tr>
        <w:trPr>
          <w:trHeight w:val="144"/>
        </w:trPr>
        <w:tc>
          <w:tcPr>
            <w:tcW w:w="80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0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20,328</w:t>
            </w:r>
          </w:p>
        </w:tc>
      </w:tr>
      <w:tr>
        <w:trPr>
          <w:trHeight w:val="144"/>
        </w:trPr>
        <w:tc>
          <w:tcPr>
            <w:tcW w:w="802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Accounts receivable, net</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3,763</w:t>
            </w:r>
          </w:p>
        </w:tc>
      </w:tr>
      <w:tr>
        <w:trPr>
          <w:trHeight w:val="144"/>
        </w:trPr>
        <w:tc>
          <w:tcPr>
            <w:tcW w:w="80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Inventory</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20,390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18,378</w:t>
            </w:r>
          </w:p>
        </w:tc>
      </w:tr>
      <w:tr>
        <w:trPr>
          <w:trHeight w:val="144"/>
        </w:trPr>
        <w:tc>
          <w:tcPr>
            <w:tcW w:w="802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Prepaid and other current assets</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5,720</w:t>
            </w:r>
          </w:p>
        </w:tc>
      </w:tr>
      <w:tr>
        <w:trPr>
          <w:trHeight w:val="20"/>
        </w:trPr>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8020" w:type="dxa"/>
            <w:vAlign w:val="bottom"/>
            <w:gridSpan w:val="6"/>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49,636</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48,189</w:t>
            </w:r>
          </w:p>
        </w:tc>
      </w:tr>
      <w:tr>
        <w:trPr>
          <w:trHeight w:val="144"/>
        </w:trPr>
        <w:tc>
          <w:tcPr>
            <w:tcW w:w="80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730</w:t>
            </w:r>
          </w:p>
        </w:tc>
      </w:tr>
      <w:tr>
        <w:trPr>
          <w:trHeight w:val="144"/>
        </w:trPr>
        <w:tc>
          <w:tcPr>
            <w:tcW w:w="8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10,549</w:t>
            </w:r>
          </w:p>
        </w:tc>
      </w:tr>
      <w:tr>
        <w:trPr>
          <w:trHeight w:val="144"/>
        </w:trPr>
        <w:tc>
          <w:tcPr>
            <w:tcW w:w="80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384</w:t>
            </w:r>
          </w:p>
        </w:tc>
      </w:tr>
      <w:tr>
        <w:trPr>
          <w:trHeight w:val="20"/>
        </w:trPr>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8020" w:type="dxa"/>
            <w:vAlign w:val="bottom"/>
            <w:gridSpan w:val="6"/>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61,869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59,852</w:t>
            </w:r>
          </w:p>
        </w:tc>
      </w:tr>
      <w:tr>
        <w:trPr>
          <w:trHeight w:val="124"/>
        </w:trPr>
        <w:tc>
          <w:tcPr>
            <w:tcW w:w="840" w:type="dxa"/>
            <w:vAlign w:val="bottom"/>
            <w:tcBorders>
              <w:top w:val="single" w:sz="8" w:color="CCEEFF"/>
            </w:tcBorders>
          </w:tcPr>
          <w:p>
            <w:pPr>
              <w:spacing w:after="0"/>
              <w:rPr>
                <w:sz w:val="10"/>
                <w:szCs w:val="10"/>
                <w:color w:val="auto"/>
              </w:rPr>
            </w:pPr>
          </w:p>
        </w:tc>
        <w:tc>
          <w:tcPr>
            <w:tcW w:w="1800" w:type="dxa"/>
            <w:vAlign w:val="bottom"/>
            <w:tcBorders>
              <w:top w:val="single" w:sz="8" w:color="CCEEFF"/>
            </w:tcBorders>
          </w:tcPr>
          <w:p>
            <w:pPr>
              <w:spacing w:after="0"/>
              <w:rPr>
                <w:sz w:val="10"/>
                <w:szCs w:val="10"/>
                <w:color w:val="auto"/>
              </w:rPr>
            </w:pPr>
          </w:p>
        </w:tc>
        <w:tc>
          <w:tcPr>
            <w:tcW w:w="2620" w:type="dxa"/>
            <w:vAlign w:val="bottom"/>
            <w:tcBorders>
              <w:top w:val="single" w:sz="8" w:color="CCEEFF"/>
              <w:bottom w:val="single" w:sz="8" w:color="auto"/>
            </w:tcBorders>
            <w:gridSpan w:val="3"/>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76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8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02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Credit facility</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11,098</w:t>
            </w:r>
          </w:p>
        </w:tc>
        <w:tc>
          <w:tcPr>
            <w:tcW w:w="22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9,590</w:t>
            </w:r>
          </w:p>
        </w:tc>
      </w:tr>
      <w:tr>
        <w:trPr>
          <w:trHeight w:val="144"/>
        </w:trPr>
        <w:tc>
          <w:tcPr>
            <w:tcW w:w="80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8,811</w:t>
            </w:r>
          </w:p>
        </w:tc>
      </w:tr>
      <w:tr>
        <w:trPr>
          <w:trHeight w:val="144"/>
        </w:trPr>
        <w:tc>
          <w:tcPr>
            <w:tcW w:w="802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Seller notes</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677</w:t>
            </w:r>
          </w:p>
        </w:tc>
      </w:tr>
      <w:tr>
        <w:trPr>
          <w:trHeight w:val="144"/>
        </w:trPr>
        <w:tc>
          <w:tcPr>
            <w:tcW w:w="80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and other current liabilities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9,110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9,610</w:t>
            </w:r>
          </w:p>
        </w:tc>
      </w:tr>
      <w:tr>
        <w:trPr>
          <w:trHeight w:val="20"/>
        </w:trPr>
        <w:tc>
          <w:tcPr>
            <w:tcW w:w="8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8020" w:type="dxa"/>
            <w:vAlign w:val="bottom"/>
            <w:gridSpan w:val="6"/>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Pr>
          <w:p>
            <w:pPr>
              <w:spacing w:after="0"/>
              <w:rPr>
                <w:sz w:val="11"/>
                <w:szCs w:val="11"/>
                <w:color w:val="auto"/>
              </w:rPr>
            </w:pP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25,447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28,688</w:t>
            </w:r>
          </w:p>
        </w:tc>
      </w:tr>
      <w:tr>
        <w:trPr>
          <w:trHeight w:val="144"/>
        </w:trPr>
        <w:tc>
          <w:tcPr>
            <w:tcW w:w="8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277</w:t>
            </w:r>
          </w:p>
        </w:tc>
      </w:tr>
      <w:tr>
        <w:trPr>
          <w:trHeight w:val="20"/>
        </w:trPr>
        <w:tc>
          <w:tcPr>
            <w:tcW w:w="8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8020" w:type="dxa"/>
            <w:vAlign w:val="bottom"/>
            <w:gridSpan w:val="6"/>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Pr>
          <w:p>
            <w:pPr>
              <w:spacing w:after="0"/>
              <w:rPr>
                <w:sz w:val="11"/>
                <w:szCs w:val="11"/>
                <w:color w:val="auto"/>
              </w:rPr>
            </w:pP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25,838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28,965</w:t>
            </w:r>
          </w:p>
        </w:tc>
      </w:tr>
      <w:tr>
        <w:trPr>
          <w:trHeight w:val="133"/>
        </w:trPr>
        <w:tc>
          <w:tcPr>
            <w:tcW w:w="8020" w:type="dxa"/>
            <w:vAlign w:val="bottom"/>
            <w:gridSpan w:val="6"/>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 (Note 10)</w:t>
            </w:r>
          </w:p>
        </w:tc>
        <w:tc>
          <w:tcPr>
            <w:tcW w:w="16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0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8020" w:type="dxa"/>
            <w:vAlign w:val="bottom"/>
            <w:gridSpan w:val="6"/>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Common stock, $0.0001 par value, 500,000,000 shares authorized and 7,508,246 and 8,587,159 shares outstanding at December 31, 2023 and June 30, 2024,</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80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respectively (*)</w:t>
            </w: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802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736,675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740,351</w:t>
            </w:r>
          </w:p>
        </w:tc>
      </w:tr>
      <w:tr>
        <w:trPr>
          <w:trHeight w:val="144"/>
        </w:trPr>
        <w:tc>
          <w:tcPr>
            <w:tcW w:w="80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(699,815)</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(708,606)</w:t>
            </w:r>
          </w:p>
        </w:tc>
      </w:tr>
      <w:tr>
        <w:trPr>
          <w:trHeight w:val="144"/>
        </w:trPr>
        <w:tc>
          <w:tcPr>
            <w:tcW w:w="802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(838)</w:t>
            </w:r>
          </w:p>
        </w:tc>
        <w:tc>
          <w:tcPr>
            <w:tcW w:w="24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(867)</w:t>
            </w:r>
          </w:p>
        </w:tc>
      </w:tr>
      <w:tr>
        <w:trPr>
          <w:trHeight w:val="20"/>
        </w:trPr>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8020" w:type="dxa"/>
            <w:vAlign w:val="bottom"/>
            <w:gridSpan w:val="6"/>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36,031</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30,887</w:t>
            </w:r>
          </w:p>
        </w:tc>
      </w:tr>
      <w:tr>
        <w:trPr>
          <w:trHeight w:val="20"/>
        </w:trPr>
        <w:tc>
          <w:tcPr>
            <w:tcW w:w="8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802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61,869</w:t>
            </w:r>
          </w:p>
        </w:tc>
        <w:tc>
          <w:tcPr>
            <w:tcW w:w="220" w:type="dxa"/>
            <w:vAlign w:val="bottom"/>
          </w:tcPr>
          <w:p>
            <w:pPr>
              <w:spacing w:after="0"/>
              <w:rPr>
                <w:sz w:val="11"/>
                <w:szCs w:val="11"/>
                <w:color w:val="auto"/>
              </w:rPr>
            </w:pPr>
          </w:p>
        </w:tc>
        <w:tc>
          <w:tcPr>
            <w:tcW w:w="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59,852</w:t>
            </w:r>
          </w:p>
        </w:tc>
      </w:tr>
      <w:tr>
        <w:trPr>
          <w:trHeight w:val="27"/>
        </w:trPr>
        <w:tc>
          <w:tcPr>
            <w:tcW w:w="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3" w:lineRule="exact"/>
        <w:rPr>
          <w:sz w:val="20"/>
          <w:szCs w:val="20"/>
          <w:color w:val="auto"/>
        </w:rPr>
      </w:pPr>
    </w:p>
    <w:p>
      <w:pPr>
        <w:ind w:left="2988" w:right="2700" w:hanging="2988"/>
        <w:spacing w:after="0" w:line="600" w:lineRule="auto"/>
        <w:tabs>
          <w:tab w:leader="none" w:pos="171"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and per share amounts have been retroactively restated to reflect the one for twelve (1 for 12) reverse stock split, which was effective on March 22, 2024. The accompanying notes are an integral part of these unaudited Condensed Consolidated Financial Statements.</w:t>
      </w:r>
    </w:p>
    <w:p>
      <w:pPr>
        <w:spacing w:after="0" w:line="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4" w:name="page5"/>
    <w:bookmarkEnd w:id="4"/>
    <w:tbl>
      <w:tblPr>
        <w:tblLayout w:type="fixed"/>
        <w:tblInd w:w="8" w:type="dxa"/>
        <w:tblCellMar>
          <w:top w:w="0" w:type="dxa"/>
          <w:left w:w="0" w:type="dxa"/>
          <w:bottom w:w="0" w:type="dxa"/>
          <w:right w:w="0" w:type="dxa"/>
        </w:tblCellMar>
      </w:tblPr>
      <w:tr>
        <w:trPr>
          <w:trHeight w:val="138"/>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42"/>
        </w:trPr>
        <w:tc>
          <w:tcPr>
            <w:tcW w:w="84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2420" w:type="dxa"/>
            <w:vAlign w:val="bottom"/>
            <w:gridSpan w:val="2"/>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ATERIAN, INC.</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Condensed Consolidated Statements of Operations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20" w:type="dxa"/>
            <w:vAlign w:val="bottom"/>
            <w:gridSpan w:val="2"/>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8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540" w:type="dxa"/>
            <w:vAlign w:val="bottom"/>
            <w:gridSpan w:val="4"/>
          </w:tcPr>
          <w:p>
            <w:pPr>
              <w:jc w:val="center"/>
              <w:ind w:left="20"/>
              <w:spacing w:after="0"/>
              <w:rPr>
                <w:sz w:val="20"/>
                <w:szCs w:val="20"/>
                <w:color w:val="auto"/>
              </w:rPr>
            </w:pPr>
            <w:r>
              <w:rPr>
                <w:rFonts w:ascii="Times New Roman" w:cs="Times New Roman" w:eastAsia="Times New Roman" w:hAnsi="Times New Roman"/>
                <w:sz w:val="12"/>
                <w:szCs w:val="12"/>
                <w:b w:val="1"/>
                <w:bCs w:val="1"/>
                <w:i w:val="1"/>
                <w:iCs w:val="1"/>
                <w:color w:val="auto"/>
                <w:w w:val="99"/>
              </w:rPr>
              <w:t>(in thousands, except share and per share data)</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6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33"/>
        </w:trPr>
        <w:tc>
          <w:tcPr>
            <w:tcW w:w="8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0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r>
      <w:tr>
        <w:trPr>
          <w:trHeight w:val="133"/>
        </w:trPr>
        <w:tc>
          <w:tcPr>
            <w:tcW w:w="38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revenue</w:t>
            </w:r>
          </w:p>
        </w:tc>
        <w:tc>
          <w:tcPr>
            <w:tcW w:w="24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35,264</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27,984</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70,143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48,199</w:t>
            </w:r>
          </w:p>
        </w:tc>
      </w:tr>
      <w:tr>
        <w:trPr>
          <w:trHeight w:val="144"/>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20,368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11,093</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36,151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18,139</w:t>
            </w:r>
          </w:p>
        </w:tc>
      </w:tr>
      <w:tr>
        <w:trPr>
          <w:trHeight w:val="20"/>
        </w:trPr>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84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2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14,896</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16,891</w:t>
            </w: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33,992</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30,060</w:t>
            </w:r>
          </w:p>
        </w:tc>
      </w:tr>
      <w:tr>
        <w:trPr>
          <w:trHeight w:val="133"/>
        </w:trPr>
        <w:tc>
          <w:tcPr>
            <w:tcW w:w="3840" w:type="dxa"/>
            <w:vAlign w:val="bottom"/>
            <w:tcBorders>
              <w:top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expenses:</w:t>
            </w:r>
          </w:p>
        </w:tc>
        <w:tc>
          <w:tcPr>
            <w:tcW w:w="216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44"/>
        </w:trPr>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and distribution</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20,557</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15,162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40,783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28,376</w:t>
            </w:r>
          </w:p>
        </w:tc>
      </w:tr>
      <w:tr>
        <w:trPr>
          <w:trHeight w:val="144"/>
        </w:trPr>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1,709</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2,956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6,281</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4,934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12,240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10,166</w:t>
            </w:r>
          </w:p>
        </w:tc>
      </w:tr>
      <w:tr>
        <w:trPr>
          <w:trHeight w:val="144"/>
        </w:trPr>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Impairment loss on intangibles</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22,785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39,445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84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51,332</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20,096</w:t>
            </w: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95,424</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38,542</w:t>
            </w:r>
          </w:p>
        </w:tc>
      </w:tr>
      <w:tr>
        <w:trPr>
          <w:trHeight w:val="20"/>
        </w:trPr>
        <w:tc>
          <w:tcPr>
            <w:tcW w:w="84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loss</w:t>
            </w: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(36,436)</w:t>
            </w:r>
          </w:p>
        </w:tc>
        <w:tc>
          <w:tcPr>
            <w:tcW w:w="240" w:type="dxa"/>
            <w:vAlign w:val="bottom"/>
          </w:tcPr>
          <w:p>
            <w:pPr>
              <w:spacing w:after="0"/>
              <w:rPr>
                <w:sz w:val="11"/>
                <w:szCs w:val="11"/>
                <w:color w:val="auto"/>
              </w:rPr>
            </w:pPr>
          </w:p>
        </w:tc>
        <w:tc>
          <w:tcPr>
            <w:tcW w:w="11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(3,205)</w:t>
            </w:r>
          </w:p>
        </w:tc>
        <w:tc>
          <w:tcPr>
            <w:tcW w:w="260" w:type="dxa"/>
            <w:vAlign w:val="bottom"/>
          </w:tcPr>
          <w:p>
            <w:pPr>
              <w:spacing w:after="0"/>
              <w:rPr>
                <w:sz w:val="11"/>
                <w:szCs w:val="11"/>
                <w:color w:val="auto"/>
              </w:rPr>
            </w:pPr>
          </w:p>
        </w:tc>
        <w:tc>
          <w:tcPr>
            <w:tcW w:w="10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(61,432)</w:t>
            </w:r>
          </w:p>
        </w:tc>
        <w:tc>
          <w:tcPr>
            <w:tcW w:w="260" w:type="dxa"/>
            <w:vAlign w:val="bottom"/>
          </w:tcPr>
          <w:p>
            <w:pPr>
              <w:spacing w:after="0"/>
              <w:rPr>
                <w:sz w:val="11"/>
                <w:szCs w:val="11"/>
                <w:color w:val="auto"/>
              </w:rPr>
            </w:pPr>
          </w:p>
        </w:tc>
        <w:tc>
          <w:tcPr>
            <w:tcW w:w="9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(8,482)</w:t>
            </w:r>
          </w:p>
        </w:tc>
      </w:tr>
      <w:tr>
        <w:trPr>
          <w:trHeight w:val="14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346</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552</w:t>
            </w:r>
          </w:p>
        </w:tc>
      </w:tr>
      <w:tr>
        <w:trPr>
          <w:trHeight w:val="144"/>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warrant liability</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(2,197)</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(1,843)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(569)</w:t>
            </w:r>
          </w:p>
        </w:tc>
      </w:tr>
      <w:tr>
        <w:trPr>
          <w:trHeight w:val="14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w:t>
            </w:r>
          </w:p>
        </w:tc>
      </w:tr>
      <w:tr>
        <w:trPr>
          <w:trHeight w:val="20"/>
        </w:trPr>
        <w:tc>
          <w:tcPr>
            <w:tcW w:w="84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(34,761)</w:t>
            </w:r>
          </w:p>
        </w:tc>
        <w:tc>
          <w:tcPr>
            <w:tcW w:w="240" w:type="dxa"/>
            <w:vAlign w:val="bottom"/>
          </w:tcPr>
          <w:p>
            <w:pPr>
              <w:spacing w:after="0"/>
              <w:rPr>
                <w:sz w:val="11"/>
                <w:szCs w:val="11"/>
                <w:color w:val="auto"/>
              </w:rPr>
            </w:pPr>
          </w:p>
        </w:tc>
        <w:tc>
          <w:tcPr>
            <w:tcW w:w="11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(3,424)</w:t>
            </w:r>
          </w:p>
        </w:tc>
        <w:tc>
          <w:tcPr>
            <w:tcW w:w="260" w:type="dxa"/>
            <w:vAlign w:val="bottom"/>
          </w:tcPr>
          <w:p>
            <w:pPr>
              <w:spacing w:after="0"/>
              <w:rPr>
                <w:sz w:val="11"/>
                <w:szCs w:val="11"/>
                <w:color w:val="auto"/>
              </w:rPr>
            </w:pPr>
          </w:p>
        </w:tc>
        <w:tc>
          <w:tcPr>
            <w:tcW w:w="10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(60,535)</w:t>
            </w:r>
          </w:p>
        </w:tc>
        <w:tc>
          <w:tcPr>
            <w:tcW w:w="260" w:type="dxa"/>
            <w:vAlign w:val="bottom"/>
          </w:tcPr>
          <w:p>
            <w:pPr>
              <w:spacing w:after="0"/>
              <w:rPr>
                <w:sz w:val="11"/>
                <w:szCs w:val="11"/>
                <w:color w:val="auto"/>
              </w:rPr>
            </w:pPr>
          </w:p>
        </w:tc>
        <w:tc>
          <w:tcPr>
            <w:tcW w:w="9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(8,515)</w:t>
            </w:r>
          </w:p>
        </w:tc>
      </w:tr>
      <w:tr>
        <w:trPr>
          <w:trHeight w:val="14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276</w:t>
            </w:r>
          </w:p>
        </w:tc>
      </w:tr>
      <w:tr>
        <w:trPr>
          <w:trHeight w:val="20"/>
        </w:trPr>
        <w:tc>
          <w:tcPr>
            <w:tcW w:w="84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24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(34,787)</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(3,629)</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(60,587)</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(8,791)</w:t>
            </w:r>
          </w:p>
        </w:tc>
      </w:tr>
      <w:tr>
        <w:trPr>
          <w:trHeight w:val="27"/>
        </w:trPr>
        <w:tc>
          <w:tcPr>
            <w:tcW w:w="8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basic and diluted</w:t>
            </w:r>
          </w:p>
        </w:tc>
        <w:tc>
          <w:tcPr>
            <w:tcW w:w="2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(5.37)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(0.52)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(9.41)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w:t>
            </w:r>
          </w:p>
        </w:tc>
      </w:t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Weighted-average number of shares outstanding, basic and diluted (*)</w:t>
            </w: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6,483,931</w:t>
            </w: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6,973,218</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6,439,658</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6,881,648</w:t>
            </w:r>
          </w:p>
        </w:tc>
      </w:tr>
    </w:tbl>
    <w:p>
      <w:pPr>
        <w:spacing w:after="0" w:line="122" w:lineRule="exact"/>
        <w:rPr>
          <w:sz w:val="20"/>
          <w:szCs w:val="20"/>
          <w:color w:val="auto"/>
        </w:rPr>
      </w:pPr>
    </w:p>
    <w:p>
      <w:pPr>
        <w:ind w:left="2988" w:right="2700" w:hanging="2988"/>
        <w:spacing w:after="0" w:line="546" w:lineRule="auto"/>
        <w:tabs>
          <w:tab w:leader="none" w:pos="171"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and per share amounts have been retroactively restated to reflect the one for twelve (1 for 12) reverse stock split, which was effective on March 22, 2024. The accompanying notes are an integral part of these unaudited Condensed Consolidated Financial Statements.</w:t>
      </w: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42"/>
        </w:trPr>
        <w:tc>
          <w:tcPr>
            <w:tcW w:w="84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gridSpan w:val="2"/>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ATERIAN, INC.</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300" w:type="dxa"/>
            <w:vAlign w:val="bottom"/>
            <w:gridSpan w:val="4"/>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Condensed Consolidated Statements of Comprehensive Loss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180" w:type="dxa"/>
            <w:vAlign w:val="bottom"/>
            <w:gridSpan w:val="2"/>
          </w:tcPr>
          <w:p>
            <w:pPr>
              <w:jc w:val="center"/>
              <w:ind w:left="190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8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180" w:type="dxa"/>
            <w:vAlign w:val="bottom"/>
            <w:gridSpan w:val="2"/>
          </w:tcPr>
          <w:p>
            <w:pPr>
              <w:jc w:val="center"/>
              <w:ind w:left="188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6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33"/>
        </w:trPr>
        <w:tc>
          <w:tcPr>
            <w:tcW w:w="8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0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r>
      <w:tr>
        <w:trPr>
          <w:trHeight w:val="133"/>
        </w:trPr>
        <w:tc>
          <w:tcPr>
            <w:tcW w:w="30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31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(34,787)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(3,629)</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(60,587)</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(8,791)</w:t>
            </w:r>
          </w:p>
        </w:tc>
      </w:tr>
      <w:tr>
        <w:trPr>
          <w:trHeight w:val="133"/>
        </w:trPr>
        <w:tc>
          <w:tcPr>
            <w:tcW w:w="3080" w:type="dxa"/>
            <w:vAlign w:val="bottom"/>
            <w:tcBorders>
              <w:top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29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44"/>
        </w:trPr>
        <w:tc>
          <w:tcPr>
            <w:tcW w:w="3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2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w:t>
            </w:r>
          </w:p>
        </w:tc>
      </w:tr>
      <w:tr>
        <w:trPr>
          <w:trHeight w:val="20"/>
        </w:trPr>
        <w:tc>
          <w:tcPr>
            <w:tcW w:w="8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08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260" w:type="dxa"/>
            <w:vAlign w:val="bottom"/>
          </w:tcPr>
          <w:p>
            <w:pPr>
              <w:spacing w:after="0"/>
              <w:rPr>
                <w:sz w:val="11"/>
                <w:szCs w:val="11"/>
                <w:color w:val="auto"/>
              </w:rPr>
            </w:pP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255</w:t>
            </w:r>
          </w:p>
        </w:tc>
        <w:tc>
          <w:tcPr>
            <w:tcW w:w="260" w:type="dxa"/>
            <w:vAlign w:val="bottom"/>
          </w:tcPr>
          <w:p>
            <w:pPr>
              <w:spacing w:after="0"/>
              <w:rPr>
                <w:sz w:val="11"/>
                <w:szCs w:val="11"/>
                <w:color w:val="auto"/>
              </w:rPr>
            </w:pPr>
          </w:p>
        </w:tc>
        <w:tc>
          <w:tcPr>
            <w:tcW w:w="9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(29)</w:t>
            </w:r>
          </w:p>
        </w:tc>
      </w:tr>
      <w:tr>
        <w:trPr>
          <w:trHeight w:val="20"/>
        </w:trPr>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0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Comprehensive loss</w:t>
            </w:r>
          </w:p>
        </w:tc>
        <w:tc>
          <w:tcPr>
            <w:tcW w:w="31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(34,661)</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(3,609)</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(60,332)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(8,820)</w:t>
            </w:r>
          </w:p>
        </w:tc>
      </w:tr>
      <w:tr>
        <w:trPr>
          <w:trHeight w:val="27"/>
        </w:trPr>
        <w:tc>
          <w:tcPr>
            <w:tcW w:w="8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BALANCE—April 1, 2023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Issuance of shares of restricted common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Forfeiture of shares of restricted common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Stock-based compensation expense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comprehensive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BALANCE—June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2"/>
          <w:szCs w:val="12"/>
          <w:b w:val="1"/>
          <w:bCs w:val="1"/>
          <w:color w:val="auto"/>
        </w:rPr>
        <w:t>ATERIAN, INC.</w:t>
      </w:r>
    </w:p>
    <w:p>
      <w:pPr>
        <w:spacing w:after="0" w:line="21"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Equity</w:t>
      </w:r>
    </w:p>
    <w:p>
      <w:pPr>
        <w:spacing w:after="0" w:line="6"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share and per share data)</w:t>
      </w:r>
    </w:p>
    <w:p>
      <w:pPr>
        <w:spacing w:after="0" w:line="13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2"/>
          <w:szCs w:val="12"/>
          <w:b w:val="1"/>
          <w:bCs w:val="1"/>
          <w:color w:val="auto"/>
        </w:rPr>
        <w:t>Three Months Ended June 30,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72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398"/>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340" w:type="dxa"/>
            <w:vAlign w:val="bottom"/>
            <w:tcBorders>
              <w:top w:val="single" w:sz="8" w:color="auto"/>
            </w:tcBorders>
            <w:gridSpan w:val="3"/>
          </w:tcPr>
          <w:p>
            <w:pPr>
              <w:jc w:val="right"/>
              <w:ind w:right="238"/>
              <w:spacing w:after="0" w:line="11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6"/>
              </w:rPr>
              <w:t>Total Stockholders’</w:t>
            </w:r>
          </w:p>
        </w:tc>
        <w:tc>
          <w:tcPr>
            <w:tcW w:w="40" w:type="dxa"/>
            <w:vAlign w:val="bottom"/>
          </w:tcPr>
          <w:p>
            <w:pPr>
              <w:spacing w:after="0"/>
              <w:rPr>
                <w:sz w:val="10"/>
                <w:szCs w:val="10"/>
                <w:color w:val="auto"/>
              </w:rPr>
            </w:pPr>
          </w:p>
        </w:tc>
      </w:tr>
      <w:tr>
        <w:trPr>
          <w:trHeight w:val="159"/>
        </w:trPr>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40" w:type="dxa"/>
            <w:vAlign w:val="bottom"/>
          </w:tcPr>
          <w:p>
            <w:pPr>
              <w:spacing w:after="0"/>
              <w:rPr>
                <w:sz w:val="13"/>
                <w:szCs w:val="13"/>
                <w:color w:val="auto"/>
              </w:rPr>
            </w:pPr>
          </w:p>
        </w:tc>
      </w:tr>
      <w:tr>
        <w:trPr>
          <w:trHeight w:val="151"/>
        </w:trPr>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6,761,351</w:t>
            </w:r>
          </w:p>
        </w:tc>
        <w:tc>
          <w:tcPr>
            <w:tcW w:w="24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730,825</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(651,051</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78,767</w:t>
            </w:r>
          </w:p>
        </w:tc>
      </w:tr>
      <w:tr>
        <w:trPr>
          <w:trHeight w:val="122"/>
        </w:trPr>
        <w:tc>
          <w:tcPr>
            <w:tcW w:w="11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(34,787)</w:t>
            </w:r>
          </w:p>
        </w:tc>
        <w:tc>
          <w:tcPr>
            <w:tcW w:w="2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(34,787)</w:t>
            </w:r>
          </w:p>
        </w:tc>
        <w:tc>
          <w:tcPr>
            <w:tcW w:w="40" w:type="dxa"/>
            <w:vAlign w:val="bottom"/>
          </w:tcPr>
          <w:p>
            <w:pPr>
              <w:spacing w:after="0"/>
              <w:rPr>
                <w:sz w:val="10"/>
                <w:szCs w:val="10"/>
                <w:color w:val="auto"/>
              </w:rPr>
            </w:pPr>
          </w:p>
        </w:tc>
      </w:tr>
      <w:tr>
        <w:trPr>
          <w:trHeight w:val="144"/>
        </w:trPr>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618,670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r>
      <w:tr>
        <w:trPr>
          <w:trHeight w:val="144"/>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(45,196)</w:t>
            </w:r>
          </w:p>
        </w:tc>
        <w:tc>
          <w:tcPr>
            <w:tcW w:w="3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3,053</w:t>
            </w:r>
          </w:p>
        </w:tc>
        <w:tc>
          <w:tcPr>
            <w:tcW w:w="140" w:type="dxa"/>
            <w:vAlign w:val="bottom"/>
          </w:tcPr>
          <w:p>
            <w:pPr>
              <w:spacing w:after="0"/>
              <w:rPr>
                <w:sz w:val="12"/>
                <w:szCs w:val="12"/>
                <w:color w:val="auto"/>
              </w:rPr>
            </w:pPr>
          </w:p>
        </w:tc>
        <w:tc>
          <w:tcPr>
            <w:tcW w:w="12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3,053</w:t>
            </w:r>
          </w:p>
        </w:tc>
      </w:tr>
      <w:tr>
        <w:trPr>
          <w:trHeight w:val="155"/>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126</w:t>
            </w:r>
          </w:p>
        </w:tc>
        <w:tc>
          <w:tcPr>
            <w:tcW w:w="6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126</w:t>
            </w:r>
          </w:p>
        </w:tc>
      </w:tr>
      <w:tr>
        <w:trPr>
          <w:trHeight w:val="140"/>
        </w:trPr>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7,334,825</w:t>
            </w: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733,878</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(685,838)</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(889)</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47,160</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-679450</wp:posOffset>
            </wp:positionV>
            <wp:extent cx="7178040" cy="108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-479425</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-296545</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-107950</wp:posOffset>
            </wp:positionV>
            <wp:extent cx="7178040" cy="10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2560" w:space="720"/>
            <w:col w:w="8020"/>
          </w:cols>
          <w:pgMar w:left="300" w:top="129" w:right="29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 The number of shares and per share amounts have been retroactively restated to reflect the one for twelve (1 for 12) reverse stock split, which was effective on March 22,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3360" w:type="dxa"/>
            <w:vAlign w:val="bottom"/>
          </w:tcPr>
          <w:p>
            <w:pPr>
              <w:spacing w:after="0"/>
              <w:rPr>
                <w:sz w:val="10"/>
                <w:szCs w:val="10"/>
                <w:color w:val="auto"/>
              </w:rPr>
            </w:pPr>
          </w:p>
        </w:tc>
        <w:tc>
          <w:tcPr>
            <w:tcW w:w="2180" w:type="dxa"/>
            <w:vAlign w:val="bottom"/>
            <w:gridSpan w:val="3"/>
          </w:tcPr>
          <w:p>
            <w:pPr>
              <w:jc w:val="right"/>
              <w:ind w:right="504"/>
              <w:spacing w:after="0" w:line="118"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40" w:type="dxa"/>
            <w:vAlign w:val="bottom"/>
          </w:tcPr>
          <w:p>
            <w:pPr>
              <w:spacing w:after="0"/>
              <w:rPr>
                <w:sz w:val="10"/>
                <w:szCs w:val="10"/>
                <w:color w:val="auto"/>
              </w:rPr>
            </w:pPr>
          </w:p>
        </w:tc>
        <w:tc>
          <w:tcPr>
            <w:tcW w:w="12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3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6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Total Stockholders’</w:t>
            </w:r>
          </w:p>
        </w:tc>
        <w:tc>
          <w:tcPr>
            <w:tcW w:w="120" w:type="dxa"/>
            <w:vAlign w:val="bottom"/>
          </w:tcPr>
          <w:p>
            <w:pPr>
              <w:spacing w:after="0"/>
              <w:rPr>
                <w:sz w:val="10"/>
                <w:szCs w:val="10"/>
                <w:color w:val="auto"/>
              </w:rPr>
            </w:pPr>
          </w:p>
        </w:tc>
      </w:tr>
      <w:tr>
        <w:trPr>
          <w:trHeight w:val="159"/>
        </w:trPr>
        <w:tc>
          <w:tcPr>
            <w:tcW w:w="3360" w:type="dxa"/>
            <w:vAlign w:val="bottom"/>
          </w:tcPr>
          <w:p>
            <w:pPr>
              <w:spacing w:after="0"/>
              <w:rPr>
                <w:sz w:val="13"/>
                <w:szCs w:val="13"/>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3"/>
                <w:szCs w:val="13"/>
                <w:color w:val="auto"/>
              </w:rPr>
            </w:pPr>
          </w:p>
        </w:tc>
      </w:tr>
      <w:tr>
        <w:trPr>
          <w:trHeight w:val="15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BALANCE—April 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7,656,044</w:t>
            </w:r>
          </w:p>
        </w:tc>
        <w:tc>
          <w:tcPr>
            <w:tcW w:w="84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738,805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(704,977)</w:t>
            </w: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(887)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32,950</w:t>
            </w:r>
          </w:p>
        </w:tc>
      </w:tr>
      <w:tr>
        <w:trPr>
          <w:trHeight w:val="20"/>
        </w:trPr>
        <w:tc>
          <w:tcPr>
            <w:tcW w:w="33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3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1"/>
                <w:szCs w:val="11"/>
                <w:color w:val="auto"/>
              </w:rPr>
            </w:pPr>
          </w:p>
        </w:tc>
        <w:tc>
          <w:tcPr>
            <w:tcW w:w="5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(3,629)</w:t>
            </w:r>
          </w:p>
        </w:tc>
        <w:tc>
          <w:tcPr>
            <w:tcW w:w="48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1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(3,629)</w:t>
            </w: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 of restricted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1,197,981</w:t>
            </w:r>
          </w:p>
        </w:tc>
        <w:tc>
          <w:tcPr>
            <w:tcW w:w="8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Forfeiture of shares of restricted common stock</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(266,866)</w:t>
            </w:r>
          </w:p>
        </w:tc>
        <w:tc>
          <w:tcPr>
            <w:tcW w:w="84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1,546</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1,546</w:t>
            </w: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w:t>
            </w:r>
          </w:p>
        </w:tc>
      </w:tr>
      <w:tr>
        <w:trPr>
          <w:trHeight w:val="20"/>
        </w:trPr>
        <w:tc>
          <w:tcPr>
            <w:tcW w:w="3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3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BALANCE—June 30, 2024</w:t>
            </w:r>
          </w:p>
        </w:tc>
        <w:tc>
          <w:tcPr>
            <w:tcW w:w="13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8,587,159</w:t>
            </w:r>
          </w:p>
        </w:tc>
        <w:tc>
          <w:tcPr>
            <w:tcW w:w="84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740,351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(708,606)</w:t>
            </w: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(867)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30,887</w:t>
            </w:r>
          </w:p>
        </w:tc>
      </w:tr>
      <w:tr>
        <w:trPr>
          <w:trHeight w:val="432"/>
        </w:trPr>
        <w:tc>
          <w:tcPr>
            <w:tcW w:w="33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2"/>
        </w:trPr>
        <w:tc>
          <w:tcPr>
            <w:tcW w:w="3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29" w:right="299" w:bottom="1440" w:gutter="0" w:footer="0" w:header="0"/>
          <w:type w:val="continuous"/>
        </w:sectPr>
      </w:pPr>
    </w:p>
    <w:bookmarkStart w:id="7" w:name="page8"/>
    <w:bookmarkEnd w:id="7"/>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80"/>
        </w:trPr>
        <w:tc>
          <w:tcPr>
            <w:tcW w:w="84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3"/>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ATERIAN, INC.</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100" w:type="dxa"/>
            <w:vAlign w:val="bottom"/>
            <w:gridSpan w:val="8"/>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Equity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gridSpan w:val="7"/>
          </w:tcPr>
          <w:p>
            <w:pPr>
              <w:jc w:val="center"/>
              <w:ind w:right="500"/>
              <w:spacing w:after="0"/>
              <w:rPr>
                <w:sz w:val="20"/>
                <w:szCs w:val="20"/>
                <w:color w:val="auto"/>
              </w:rPr>
            </w:pPr>
            <w:r>
              <w:rPr>
                <w:rFonts w:ascii="Times New Roman" w:cs="Times New Roman" w:eastAsia="Times New Roman" w:hAnsi="Times New Roman"/>
                <w:sz w:val="12"/>
                <w:szCs w:val="12"/>
                <w:b w:val="1"/>
                <w:bCs w:val="1"/>
                <w:i w:val="1"/>
                <w:iCs w:val="1"/>
                <w:color w:val="auto"/>
                <w:w w:val="99"/>
              </w:rPr>
              <w:t>(in thousands, except share and per share data)</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Six Months Ended June 30, 2023</w:t>
            </w: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8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7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40" w:type="dxa"/>
            <w:vAlign w:val="bottom"/>
          </w:tcPr>
          <w:p>
            <w:pPr>
              <w:spacing w:after="0"/>
              <w:rPr>
                <w:sz w:val="10"/>
                <w:szCs w:val="10"/>
                <w:color w:val="auto"/>
              </w:rPr>
            </w:pPr>
          </w:p>
        </w:tc>
        <w:tc>
          <w:tcPr>
            <w:tcW w:w="12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3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6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Total Stockholders’</w:t>
            </w:r>
          </w:p>
        </w:tc>
        <w:tc>
          <w:tcPr>
            <w:tcW w:w="120" w:type="dxa"/>
            <w:vAlign w:val="bottom"/>
          </w:tcPr>
          <w:p>
            <w:pPr>
              <w:spacing w:after="0"/>
              <w:rPr>
                <w:sz w:val="10"/>
                <w:szCs w:val="10"/>
                <w:color w:val="auto"/>
              </w:rPr>
            </w:pPr>
          </w:p>
        </w:tc>
      </w:tr>
      <w:tr>
        <w:trPr>
          <w:trHeight w:val="159"/>
        </w:trPr>
        <w:tc>
          <w:tcPr>
            <w:tcW w:w="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3"/>
                <w:szCs w:val="13"/>
                <w:color w:val="auto"/>
              </w:rPr>
            </w:pPr>
          </w:p>
        </w:tc>
      </w:tr>
      <w:tr>
        <w:trPr>
          <w:trHeight w:val="133"/>
        </w:trPr>
        <w:tc>
          <w:tcPr>
            <w:tcW w:w="32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BALANCE—January 1, 2023</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6,729,533</w:t>
            </w:r>
          </w:p>
        </w:tc>
        <w:tc>
          <w:tcPr>
            <w:tcW w:w="580" w:type="dxa"/>
            <w:vAlign w:val="bottom"/>
            <w:tcBorders>
              <w:left w:val="single" w:sz="8" w:color="CCEEFF"/>
            </w:tcBorders>
            <w:gridSpan w:val="2"/>
            <w:shd w:val="clear" w:color="auto" w:fill="CCEEFF"/>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728,339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(625,251)</w:t>
            </w: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(1,144)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101,952</w:t>
            </w:r>
          </w:p>
        </w:tc>
      </w:tr>
      <w:tr>
        <w:trPr>
          <w:trHeight w:val="20"/>
        </w:trPr>
        <w:tc>
          <w:tcPr>
            <w:tcW w:w="8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2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(60,587)</w:t>
            </w:r>
          </w:p>
        </w:tc>
        <w:tc>
          <w:tcPr>
            <w:tcW w:w="44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1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(60,587)</w:t>
            </w: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 of restricted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674,348</w:t>
            </w:r>
          </w:p>
        </w:tc>
        <w:tc>
          <w:tcPr>
            <w:tcW w:w="2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Forfeiture of shares of restricted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(94,056)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2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290</w:t>
            </w: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5,249</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5,249</w:t>
            </w: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255</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255</w:t>
            </w:r>
          </w:p>
        </w:tc>
      </w:tr>
      <w:tr>
        <w:trPr>
          <w:trHeight w:val="20"/>
        </w:trPr>
        <w:tc>
          <w:tcPr>
            <w:tcW w:w="8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2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BALANCE—June 30, 2023</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7,334,825</w:t>
            </w:r>
          </w:p>
        </w:tc>
        <w:tc>
          <w:tcPr>
            <w:tcW w:w="58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733,878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(685,838)</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(889)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47,160</w:t>
            </w:r>
          </w:p>
        </w:tc>
      </w:tr>
      <w:tr>
        <w:trPr>
          <w:trHeight w:val="27"/>
        </w:trPr>
        <w:tc>
          <w:tcPr>
            <w:tcW w:w="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The number of shares and per share amounts have been retroactively restated to reflect the one for twelve (1 for 12) reverse stock split, which was effective on March 22, 2024.</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3280" w:type="dxa"/>
            <w:vAlign w:val="bottom"/>
          </w:tcPr>
          <w:p>
            <w:pPr>
              <w:spacing w:after="0"/>
              <w:rPr>
                <w:sz w:val="10"/>
                <w:szCs w:val="10"/>
                <w:color w:val="auto"/>
              </w:rPr>
            </w:pPr>
          </w:p>
        </w:tc>
        <w:tc>
          <w:tcPr>
            <w:tcW w:w="2280" w:type="dxa"/>
            <w:vAlign w:val="bottom"/>
            <w:gridSpan w:val="3"/>
          </w:tcPr>
          <w:p>
            <w:pPr>
              <w:jc w:val="right"/>
              <w:ind w:right="504"/>
              <w:spacing w:after="0" w:line="118"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40" w:type="dxa"/>
            <w:vAlign w:val="bottom"/>
          </w:tcPr>
          <w:p>
            <w:pPr>
              <w:spacing w:after="0"/>
              <w:rPr>
                <w:sz w:val="10"/>
                <w:szCs w:val="10"/>
                <w:color w:val="auto"/>
              </w:rPr>
            </w:pPr>
          </w:p>
        </w:tc>
        <w:tc>
          <w:tcPr>
            <w:tcW w:w="12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3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6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Total Stockholders’</w:t>
            </w:r>
          </w:p>
        </w:tc>
        <w:tc>
          <w:tcPr>
            <w:tcW w:w="120" w:type="dxa"/>
            <w:vAlign w:val="bottom"/>
          </w:tcPr>
          <w:p>
            <w:pPr>
              <w:spacing w:after="0"/>
              <w:rPr>
                <w:sz w:val="10"/>
                <w:szCs w:val="10"/>
                <w:color w:val="auto"/>
              </w:rPr>
            </w:pPr>
          </w:p>
        </w:tc>
      </w:tr>
      <w:tr>
        <w:trPr>
          <w:trHeight w:val="159"/>
        </w:trPr>
        <w:tc>
          <w:tcPr>
            <w:tcW w:w="3280" w:type="dxa"/>
            <w:vAlign w:val="bottom"/>
          </w:tcPr>
          <w:p>
            <w:pPr>
              <w:spacing w:after="0"/>
              <w:rPr>
                <w:sz w:val="13"/>
                <w:szCs w:val="13"/>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3"/>
                <w:szCs w:val="13"/>
                <w:color w:val="auto"/>
              </w:rPr>
            </w:pPr>
          </w:p>
        </w:tc>
      </w:tr>
      <w:tr>
        <w:trPr>
          <w:trHeight w:val="133"/>
        </w:trPr>
        <w:tc>
          <w:tcPr>
            <w:tcW w:w="3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BALANCE—January 1, 2024</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7,508,246</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736,675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(699,815)</w:t>
            </w: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(838)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36,031</w:t>
            </w:r>
          </w:p>
        </w:tc>
      </w:tr>
      <w:tr>
        <w:trPr>
          <w:trHeight w:val="20"/>
        </w:trPr>
        <w:tc>
          <w:tcPr>
            <w:tcW w:w="3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(8,791)</w:t>
            </w:r>
          </w:p>
        </w:tc>
        <w:tc>
          <w:tcPr>
            <w:tcW w:w="480" w:type="dxa"/>
            <w:vAlign w:val="bottom"/>
          </w:tcPr>
          <w:p>
            <w:pPr>
              <w:spacing w:after="0"/>
              <w:rPr>
                <w:sz w:val="11"/>
                <w:szCs w:val="11"/>
                <w:color w:val="auto"/>
              </w:rPr>
            </w:pPr>
          </w:p>
        </w:tc>
        <w:tc>
          <w:tcPr>
            <w:tcW w:w="8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1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(8,791)</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 of restricted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1,209,649</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Forfeiture of shares of restricted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(309,516)</w:t>
            </w:r>
          </w:p>
        </w:tc>
        <w:tc>
          <w:tcPr>
            <w:tcW w:w="900" w:type="dxa"/>
            <w:vAlign w:val="bottom"/>
          </w:tcPr>
          <w:p>
            <w:pPr>
              <w:spacing w:after="0"/>
              <w:rPr>
                <w:sz w:val="12"/>
                <w:szCs w:val="12"/>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178,780</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670</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670</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2"/>
                <w:szCs w:val="12"/>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3,006</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3,006</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(29)</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w:t>
            </w:r>
          </w:p>
        </w:tc>
      </w:tr>
      <w:tr>
        <w:trPr>
          <w:trHeight w:val="20"/>
        </w:trPr>
        <w:tc>
          <w:tcPr>
            <w:tcW w:w="3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BALANCE—June 30, 2024</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8,587,159</w:t>
            </w:r>
          </w:p>
        </w:tc>
        <w:tc>
          <w:tcPr>
            <w:tcW w:w="240" w:type="dxa"/>
            <w:vAlign w:val="bottom"/>
          </w:tcPr>
          <w:p>
            <w:pPr>
              <w:spacing w:after="0"/>
              <w:rPr>
                <w:sz w:val="11"/>
                <w:szCs w:val="11"/>
                <w:color w:val="auto"/>
              </w:rPr>
            </w:pPr>
          </w:p>
        </w:tc>
        <w:tc>
          <w:tcPr>
            <w:tcW w:w="900" w:type="dxa"/>
            <w:vAlign w:val="bottom"/>
          </w:tcPr>
          <w:p>
            <w:pPr>
              <w:jc w:val="right"/>
              <w:ind w:right="78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2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740,351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(708,606)</w:t>
            </w:r>
          </w:p>
        </w:tc>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(867)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30,887</w:t>
            </w:r>
          </w:p>
        </w:tc>
      </w:tr>
      <w:tr>
        <w:trPr>
          <w:trHeight w:val="27"/>
        </w:trPr>
        <w:tc>
          <w:tcPr>
            <w:tcW w:w="3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3" w:lineRule="exact"/>
        <w:rPr>
          <w:sz w:val="20"/>
          <w:szCs w:val="20"/>
          <w:color w:val="auto"/>
        </w:rPr>
      </w:pPr>
    </w:p>
    <w:p>
      <w:pPr>
        <w:ind w:left="5628" w:right="2700" w:hanging="5628"/>
        <w:spacing w:after="0" w:line="530" w:lineRule="auto"/>
        <w:tabs>
          <w:tab w:leader="none" w:pos="176"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and per share amounts have been retroactively restated to reflect the one for twelve (1 for 12) reverse stock split, which was effective on March 22, 2024.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ATERIAN,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8020" w:type="dxa"/>
            <w:vAlign w:val="bottom"/>
          </w:tcPr>
          <w:p>
            <w:pPr>
              <w:spacing w:after="0"/>
              <w:rPr>
                <w:sz w:val="7"/>
                <w:szCs w:val="7"/>
                <w:color w:val="auto"/>
              </w:rPr>
            </w:pPr>
          </w:p>
        </w:tc>
        <w:tc>
          <w:tcPr>
            <w:tcW w:w="940" w:type="dxa"/>
            <w:vAlign w:val="bottom"/>
            <w:tcBorders>
              <w:bottom w:val="single" w:sz="8" w:color="auto"/>
            </w:tcBorders>
          </w:tcPr>
          <w:p>
            <w:pPr>
              <w:jc w:val="right"/>
              <w:ind w:right="5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5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57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Pr>
          <w:p>
            <w:pPr>
              <w:spacing w:after="0"/>
              <w:rPr>
                <w:sz w:val="7"/>
                <w:szCs w:val="7"/>
                <w:color w:val="auto"/>
              </w:rPr>
            </w:pPr>
          </w:p>
        </w:tc>
      </w:tr>
      <w:tr>
        <w:trPr>
          <w:trHeight w:val="88"/>
        </w:trPr>
        <w:tc>
          <w:tcPr>
            <w:tcW w:w="80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OPERATING ACTIVITIES:</w:t>
            </w:r>
          </w:p>
        </w:tc>
        <w:tc>
          <w:tcPr>
            <w:tcW w:w="9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940" w:type="dxa"/>
            <w:vAlign w:val="bottom"/>
          </w:tcPr>
          <w:p>
            <w:pPr>
              <w:jc w:val="right"/>
              <w:ind w:right="834"/>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(60,587)</w:t>
            </w:r>
          </w:p>
        </w:tc>
        <w:tc>
          <w:tcPr>
            <w:tcW w:w="540" w:type="dxa"/>
            <w:vAlign w:val="bottom"/>
          </w:tcPr>
          <w:p>
            <w:pPr>
              <w:jc w:val="right"/>
              <w:ind w:right="434"/>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(8,791)</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Adjustments to reconcile net loss to net cash used by operating activities:</w:t>
            </w:r>
          </w:p>
        </w:tc>
        <w:tc>
          <w:tcPr>
            <w:tcW w:w="9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94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2,964</w:t>
            </w:r>
          </w:p>
        </w:tc>
        <w:tc>
          <w:tcPr>
            <w:tcW w:w="540" w:type="dxa"/>
            <w:vAlign w:val="bottom"/>
          </w:tcPr>
          <w:p>
            <w:pPr>
              <w:spacing w:after="0"/>
              <w:rPr>
                <w:sz w:val="8"/>
                <w:szCs w:val="8"/>
                <w:color w:val="auto"/>
              </w:rPr>
            </w:pPr>
          </w:p>
        </w:tc>
        <w:tc>
          <w:tcPr>
            <w:tcW w:w="10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858</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Provision (recovery) for sales returns</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(170)</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87</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Amortization of deferred financing cost and debt discounts</w:t>
            </w:r>
          </w:p>
        </w:tc>
        <w:tc>
          <w:tcPr>
            <w:tcW w:w="94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213</w:t>
            </w:r>
          </w:p>
        </w:tc>
        <w:tc>
          <w:tcPr>
            <w:tcW w:w="540" w:type="dxa"/>
            <w:vAlign w:val="bottom"/>
          </w:tcPr>
          <w:p>
            <w:pPr>
              <w:spacing w:after="0"/>
              <w:rPr>
                <w:sz w:val="8"/>
                <w:szCs w:val="8"/>
                <w:color w:val="auto"/>
              </w:rPr>
            </w:pPr>
          </w:p>
        </w:tc>
        <w:tc>
          <w:tcPr>
            <w:tcW w:w="10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121</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5,539</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4,588</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Change in deferred tax balance</w:t>
            </w:r>
          </w:p>
        </w:tc>
        <w:tc>
          <w:tcPr>
            <w:tcW w:w="94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104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(5)</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Change in inventory provisions</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262</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(1,301)</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Gain in connection with the change in warrant fair value</w:t>
            </w:r>
          </w:p>
        </w:tc>
        <w:tc>
          <w:tcPr>
            <w:tcW w:w="940" w:type="dxa"/>
            <w:vAlign w:val="bottom"/>
          </w:tcPr>
          <w:p>
            <w:pPr>
              <w:spacing w:after="0"/>
              <w:rPr>
                <w:sz w:val="8"/>
                <w:szCs w:val="8"/>
                <w:color w:val="auto"/>
              </w:rPr>
            </w:pPr>
          </w:p>
        </w:tc>
        <w:tc>
          <w:tcPr>
            <w:tcW w:w="7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(1,843)</w:t>
            </w:r>
          </w:p>
        </w:tc>
        <w:tc>
          <w:tcPr>
            <w:tcW w:w="540" w:type="dxa"/>
            <w:vAlign w:val="bottom"/>
          </w:tcPr>
          <w:p>
            <w:pPr>
              <w:spacing w:after="0"/>
              <w:rPr>
                <w:sz w:val="8"/>
                <w:szCs w:val="8"/>
                <w:color w:val="auto"/>
              </w:rPr>
            </w:pPr>
          </w:p>
        </w:tc>
        <w:tc>
          <w:tcPr>
            <w:tcW w:w="104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(569)</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Impairment loss on intangibles</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39,445</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Changes in assets and liabilities:</w:t>
            </w: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802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Accounts receivable</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(267)</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462</w:t>
            </w:r>
          </w:p>
        </w:tc>
      </w:tr>
      <w:tr>
        <w:trPr>
          <w:trHeight w:val="99"/>
        </w:trPr>
        <w:tc>
          <w:tcPr>
            <w:tcW w:w="802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Inventory</w:t>
            </w:r>
          </w:p>
        </w:tc>
        <w:tc>
          <w:tcPr>
            <w:tcW w:w="94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6,721</w:t>
            </w:r>
          </w:p>
        </w:tc>
        <w:tc>
          <w:tcPr>
            <w:tcW w:w="540" w:type="dxa"/>
            <w:vAlign w:val="bottom"/>
          </w:tcPr>
          <w:p>
            <w:pPr>
              <w:spacing w:after="0"/>
              <w:rPr>
                <w:sz w:val="8"/>
                <w:szCs w:val="8"/>
                <w:color w:val="auto"/>
              </w:rPr>
            </w:pPr>
          </w:p>
        </w:tc>
        <w:tc>
          <w:tcPr>
            <w:tcW w:w="10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3,313</w:t>
            </w:r>
          </w:p>
        </w:tc>
      </w:tr>
      <w:tr>
        <w:trPr>
          <w:trHeight w:val="99"/>
        </w:trPr>
        <w:tc>
          <w:tcPr>
            <w:tcW w:w="802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Prepaid and other current assets</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2,469</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(656)</w:t>
            </w:r>
          </w:p>
        </w:tc>
      </w:tr>
      <w:tr>
        <w:trPr>
          <w:trHeight w:val="99"/>
        </w:trPr>
        <w:tc>
          <w:tcPr>
            <w:tcW w:w="802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Accounts payable, accrued and other liabilities</w:t>
            </w:r>
          </w:p>
        </w:tc>
        <w:tc>
          <w:tcPr>
            <w:tcW w:w="940" w:type="dxa"/>
            <w:vAlign w:val="bottom"/>
          </w:tcPr>
          <w:p>
            <w:pPr>
              <w:spacing w:after="0"/>
              <w:rPr>
                <w:sz w:val="8"/>
                <w:szCs w:val="8"/>
                <w:color w:val="auto"/>
              </w:rPr>
            </w:pPr>
          </w:p>
        </w:tc>
        <w:tc>
          <w:tcPr>
            <w:tcW w:w="7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(3,603)</w:t>
            </w:r>
          </w:p>
        </w:tc>
        <w:tc>
          <w:tcPr>
            <w:tcW w:w="540" w:type="dxa"/>
            <w:vAlign w:val="bottom"/>
          </w:tcPr>
          <w:p>
            <w:pPr>
              <w:spacing w:after="0"/>
              <w:rPr>
                <w:sz w:val="8"/>
                <w:szCs w:val="8"/>
                <w:color w:val="auto"/>
              </w:rPr>
            </w:pPr>
          </w:p>
        </w:tc>
        <w:tc>
          <w:tcPr>
            <w:tcW w:w="10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4,789</w:t>
            </w:r>
          </w:p>
        </w:tc>
      </w:tr>
      <w:tr>
        <w:trPr>
          <w:trHeight w:val="20"/>
        </w:trPr>
        <w:tc>
          <w:tcPr>
            <w:tcW w:w="8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80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Cash (used in) provided by operating activities</w:t>
            </w:r>
          </w:p>
        </w:tc>
        <w:tc>
          <w:tcPr>
            <w:tcW w:w="94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(8,857)</w:t>
            </w:r>
          </w:p>
        </w:tc>
        <w:tc>
          <w:tcPr>
            <w:tcW w:w="540" w:type="dxa"/>
            <w:vAlign w:val="bottom"/>
            <w:shd w:val="clear" w:color="auto" w:fill="CCEEFF"/>
          </w:tcPr>
          <w:p>
            <w:pPr>
              <w:spacing w:after="0"/>
              <w:rPr>
                <w:sz w:val="7"/>
                <w:szCs w:val="7"/>
                <w:color w:val="auto"/>
              </w:rPr>
            </w:pPr>
          </w:p>
        </w:tc>
        <w:tc>
          <w:tcPr>
            <w:tcW w:w="1040" w:type="dxa"/>
            <w:vAlign w:val="bottom"/>
            <w:gridSpan w:val="2"/>
            <w:shd w:val="clear" w:color="auto" w:fill="CCEEFF"/>
          </w:tcPr>
          <w:p>
            <w:pPr>
              <w:jc w:val="right"/>
              <w:ind w:right="120"/>
              <w:spacing w:after="0" w:line="88" w:lineRule="exact"/>
              <w:rPr>
                <w:sz w:val="20"/>
                <w:szCs w:val="20"/>
                <w:color w:val="auto"/>
              </w:rPr>
            </w:pPr>
            <w:r>
              <w:rPr>
                <w:rFonts w:ascii="Times New Roman" w:cs="Times New Roman" w:eastAsia="Times New Roman" w:hAnsi="Times New Roman"/>
                <w:sz w:val="10"/>
                <w:szCs w:val="10"/>
                <w:color w:val="auto"/>
              </w:rPr>
              <w:t>2,896</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INVESTING ACTIVITIES:</w:t>
            </w: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Purchase of fixed assets</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(66)</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(42)</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Purchase of Step and Go assets</w:t>
            </w:r>
          </w:p>
        </w:tc>
        <w:tc>
          <w:tcPr>
            <w:tcW w:w="94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(125)</w:t>
            </w:r>
          </w:p>
        </w:tc>
        <w:tc>
          <w:tcPr>
            <w:tcW w:w="540" w:type="dxa"/>
            <w:vAlign w:val="bottom"/>
          </w:tcPr>
          <w:p>
            <w:pPr>
              <w:spacing w:after="0"/>
              <w:rPr>
                <w:sz w:val="8"/>
                <w:szCs w:val="8"/>
                <w:color w:val="auto"/>
              </w:rPr>
            </w:pPr>
          </w:p>
        </w:tc>
        <w:tc>
          <w:tcPr>
            <w:tcW w:w="10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Purchase of minority equity investment</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(200)</w:t>
            </w:r>
          </w:p>
        </w:tc>
      </w:tr>
      <w:tr>
        <w:trPr>
          <w:trHeight w:val="20"/>
        </w:trPr>
        <w:tc>
          <w:tcPr>
            <w:tcW w:w="80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88"/>
        </w:trPr>
        <w:tc>
          <w:tcPr>
            <w:tcW w:w="80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Cash used in investing activities</w:t>
            </w:r>
          </w:p>
        </w:tc>
        <w:tc>
          <w:tcPr>
            <w:tcW w:w="940" w:type="dxa"/>
            <w:vAlign w:val="bottom"/>
          </w:tcPr>
          <w:p>
            <w:pPr>
              <w:spacing w:after="0"/>
              <w:rPr>
                <w:sz w:val="7"/>
                <w:szCs w:val="7"/>
                <w:color w:val="auto"/>
              </w:rPr>
            </w:pPr>
          </w:p>
        </w:tc>
        <w:tc>
          <w:tcPr>
            <w:tcW w:w="760" w:type="dxa"/>
            <w:vAlign w:val="bottom"/>
            <w:gridSpan w:val="2"/>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(191)</w:t>
            </w:r>
          </w:p>
        </w:tc>
        <w:tc>
          <w:tcPr>
            <w:tcW w:w="540" w:type="dxa"/>
            <w:vAlign w:val="bottom"/>
          </w:tcPr>
          <w:p>
            <w:pPr>
              <w:spacing w:after="0"/>
              <w:rPr>
                <w:sz w:val="7"/>
                <w:szCs w:val="7"/>
                <w:color w:val="auto"/>
              </w:rPr>
            </w:pPr>
          </w:p>
        </w:tc>
        <w:tc>
          <w:tcPr>
            <w:tcW w:w="1040" w:type="dxa"/>
            <w:vAlign w:val="bottom"/>
            <w:gridSpan w:val="2"/>
          </w:tcPr>
          <w:p>
            <w:pPr>
              <w:jc w:val="right"/>
              <w:ind w:right="80"/>
              <w:spacing w:after="0" w:line="88" w:lineRule="exact"/>
              <w:rPr>
                <w:sz w:val="20"/>
                <w:szCs w:val="20"/>
                <w:color w:val="auto"/>
              </w:rPr>
            </w:pPr>
            <w:r>
              <w:rPr>
                <w:rFonts w:ascii="Times New Roman" w:cs="Times New Roman" w:eastAsia="Times New Roman" w:hAnsi="Times New Roman"/>
                <w:sz w:val="10"/>
                <w:szCs w:val="10"/>
                <w:color w:val="auto"/>
              </w:rPr>
              <w:t>(242)</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FINANCING ACTIVITIES:</w:t>
            </w:r>
          </w:p>
        </w:tc>
        <w:tc>
          <w:tcPr>
            <w:tcW w:w="9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Repayments on note payable to Smash</w:t>
            </w:r>
          </w:p>
        </w:tc>
        <w:tc>
          <w:tcPr>
            <w:tcW w:w="940" w:type="dxa"/>
            <w:vAlign w:val="bottom"/>
          </w:tcPr>
          <w:p>
            <w:pPr>
              <w:spacing w:after="0"/>
              <w:rPr>
                <w:sz w:val="8"/>
                <w:szCs w:val="8"/>
                <w:color w:val="auto"/>
              </w:rPr>
            </w:pPr>
          </w:p>
        </w:tc>
        <w:tc>
          <w:tcPr>
            <w:tcW w:w="7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(501)</w:t>
            </w:r>
          </w:p>
        </w:tc>
        <w:tc>
          <w:tcPr>
            <w:tcW w:w="540" w:type="dxa"/>
            <w:vAlign w:val="bottom"/>
          </w:tcPr>
          <w:p>
            <w:pPr>
              <w:spacing w:after="0"/>
              <w:rPr>
                <w:sz w:val="8"/>
                <w:szCs w:val="8"/>
                <w:color w:val="auto"/>
              </w:rPr>
            </w:pPr>
          </w:p>
        </w:tc>
        <w:tc>
          <w:tcPr>
            <w:tcW w:w="104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(383)</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Borrowings from MidCap credit facilities</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38,060</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29,637</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Repayments for MidCap credit facilities</w:t>
            </w:r>
          </w:p>
        </w:tc>
        <w:tc>
          <w:tcPr>
            <w:tcW w:w="940" w:type="dxa"/>
            <w:vAlign w:val="bottom"/>
          </w:tcPr>
          <w:p>
            <w:pPr>
              <w:spacing w:after="0"/>
              <w:rPr>
                <w:sz w:val="8"/>
                <w:szCs w:val="8"/>
                <w:color w:val="auto"/>
              </w:rPr>
            </w:pPr>
          </w:p>
        </w:tc>
        <w:tc>
          <w:tcPr>
            <w:tcW w:w="7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(43,572)</w:t>
            </w:r>
          </w:p>
        </w:tc>
        <w:tc>
          <w:tcPr>
            <w:tcW w:w="540" w:type="dxa"/>
            <w:vAlign w:val="bottom"/>
          </w:tcPr>
          <w:p>
            <w:pPr>
              <w:spacing w:after="0"/>
              <w:rPr>
                <w:sz w:val="8"/>
                <w:szCs w:val="8"/>
                <w:color w:val="auto"/>
              </w:rPr>
            </w:pPr>
          </w:p>
        </w:tc>
        <w:tc>
          <w:tcPr>
            <w:tcW w:w="104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(31,275)</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Insurance obligation payments</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(534)</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(315)</w:t>
            </w:r>
          </w:p>
        </w:tc>
      </w:tr>
      <w:tr>
        <w:trPr>
          <w:trHeight w:val="20"/>
        </w:trPr>
        <w:tc>
          <w:tcPr>
            <w:tcW w:w="80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88"/>
        </w:trPr>
        <w:tc>
          <w:tcPr>
            <w:tcW w:w="80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Cash used in financing activities</w:t>
            </w:r>
          </w:p>
        </w:tc>
        <w:tc>
          <w:tcPr>
            <w:tcW w:w="940" w:type="dxa"/>
            <w:vAlign w:val="bottom"/>
          </w:tcPr>
          <w:p>
            <w:pPr>
              <w:spacing w:after="0"/>
              <w:rPr>
                <w:sz w:val="7"/>
                <w:szCs w:val="7"/>
                <w:color w:val="auto"/>
              </w:rPr>
            </w:pPr>
          </w:p>
        </w:tc>
        <w:tc>
          <w:tcPr>
            <w:tcW w:w="760" w:type="dxa"/>
            <w:vAlign w:val="bottom"/>
            <w:gridSpan w:val="2"/>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(6,547)</w:t>
            </w:r>
          </w:p>
        </w:tc>
        <w:tc>
          <w:tcPr>
            <w:tcW w:w="540" w:type="dxa"/>
            <w:vAlign w:val="bottom"/>
          </w:tcPr>
          <w:p>
            <w:pPr>
              <w:spacing w:after="0"/>
              <w:rPr>
                <w:sz w:val="7"/>
                <w:szCs w:val="7"/>
                <w:color w:val="auto"/>
              </w:rPr>
            </w:pPr>
          </w:p>
        </w:tc>
        <w:tc>
          <w:tcPr>
            <w:tcW w:w="1040" w:type="dxa"/>
            <w:vAlign w:val="bottom"/>
            <w:gridSpan w:val="2"/>
          </w:tcPr>
          <w:p>
            <w:pPr>
              <w:jc w:val="right"/>
              <w:ind w:right="80"/>
              <w:spacing w:after="0" w:line="88" w:lineRule="exact"/>
              <w:rPr>
                <w:sz w:val="20"/>
                <w:szCs w:val="20"/>
                <w:color w:val="auto"/>
              </w:rPr>
            </w:pPr>
            <w:r>
              <w:rPr>
                <w:rFonts w:ascii="Times New Roman" w:cs="Times New Roman" w:eastAsia="Times New Roman" w:hAnsi="Times New Roman"/>
                <w:sz w:val="10"/>
                <w:szCs w:val="10"/>
                <w:color w:val="auto"/>
              </w:rPr>
              <w:t>(2,336)</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Foreign currency effect on cash and restricted cash</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255</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(29)</w:t>
            </w:r>
          </w:p>
        </w:tc>
      </w:tr>
      <w:tr>
        <w:trPr>
          <w:trHeight w:val="20"/>
        </w:trPr>
        <w:tc>
          <w:tcPr>
            <w:tcW w:w="80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88"/>
        </w:trPr>
        <w:tc>
          <w:tcPr>
            <w:tcW w:w="80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Net change in cash and restricted cash for the year</w:t>
            </w:r>
          </w:p>
        </w:tc>
        <w:tc>
          <w:tcPr>
            <w:tcW w:w="940" w:type="dxa"/>
            <w:vAlign w:val="bottom"/>
          </w:tcPr>
          <w:p>
            <w:pPr>
              <w:spacing w:after="0"/>
              <w:rPr>
                <w:sz w:val="7"/>
                <w:szCs w:val="7"/>
                <w:color w:val="auto"/>
              </w:rPr>
            </w:pPr>
          </w:p>
        </w:tc>
        <w:tc>
          <w:tcPr>
            <w:tcW w:w="760" w:type="dxa"/>
            <w:vAlign w:val="bottom"/>
            <w:gridSpan w:val="2"/>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(15,340)</w:t>
            </w:r>
          </w:p>
        </w:tc>
        <w:tc>
          <w:tcPr>
            <w:tcW w:w="540" w:type="dxa"/>
            <w:vAlign w:val="bottom"/>
          </w:tcPr>
          <w:p>
            <w:pPr>
              <w:spacing w:after="0"/>
              <w:rPr>
                <w:sz w:val="7"/>
                <w:szCs w:val="7"/>
                <w:color w:val="auto"/>
              </w:rPr>
            </w:pPr>
          </w:p>
        </w:tc>
        <w:tc>
          <w:tcPr>
            <w:tcW w:w="1040" w:type="dxa"/>
            <w:vAlign w:val="bottom"/>
            <w:gridSpan w:val="2"/>
          </w:tcPr>
          <w:p>
            <w:pPr>
              <w:jc w:val="right"/>
              <w:ind w:right="120"/>
              <w:spacing w:after="0" w:line="88" w:lineRule="exact"/>
              <w:rPr>
                <w:sz w:val="20"/>
                <w:szCs w:val="20"/>
                <w:color w:val="auto"/>
              </w:rPr>
            </w:pPr>
            <w:r>
              <w:rPr>
                <w:rFonts w:ascii="Times New Roman" w:cs="Times New Roman" w:eastAsia="Times New Roman" w:hAnsi="Times New Roman"/>
                <w:sz w:val="10"/>
                <w:szCs w:val="10"/>
                <w:color w:val="auto"/>
              </w:rPr>
              <w:t>289</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Cash and restricted cash at beginning of year</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46,629</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22,195</w:t>
            </w:r>
          </w:p>
        </w:tc>
      </w:tr>
      <w:tr>
        <w:trPr>
          <w:trHeight w:val="95"/>
        </w:trPr>
        <w:tc>
          <w:tcPr>
            <w:tcW w:w="8020" w:type="dxa"/>
            <w:vAlign w:val="bottom"/>
            <w:tcBorders>
              <w:top w:val="single" w:sz="8" w:color="CCEEFF"/>
            </w:tcBorders>
          </w:tcPr>
          <w:p>
            <w:pPr>
              <w:spacing w:after="0" w:line="88" w:lineRule="exact"/>
              <w:rPr>
                <w:sz w:val="20"/>
                <w:szCs w:val="20"/>
                <w:color w:val="auto"/>
              </w:rPr>
            </w:pPr>
            <w:r>
              <w:rPr>
                <w:rFonts w:ascii="Times New Roman" w:cs="Times New Roman" w:eastAsia="Times New Roman" w:hAnsi="Times New Roman"/>
                <w:sz w:val="10"/>
                <w:szCs w:val="10"/>
                <w:color w:val="auto"/>
              </w:rPr>
              <w:t>Cash and restricted cash at end of year</w:t>
            </w:r>
          </w:p>
        </w:tc>
        <w:tc>
          <w:tcPr>
            <w:tcW w:w="940" w:type="dxa"/>
            <w:vAlign w:val="bottom"/>
            <w:tcBorders>
              <w:top w:val="single" w:sz="8" w:color="auto"/>
              <w:bottom w:val="single" w:sz="8" w:color="auto"/>
            </w:tcBorders>
          </w:tcPr>
          <w:p>
            <w:pPr>
              <w:jc w:val="right"/>
              <w:ind w:right="834"/>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31,289</w:t>
            </w:r>
          </w:p>
        </w:tc>
        <w:tc>
          <w:tcPr>
            <w:tcW w:w="220" w:type="dxa"/>
            <w:vAlign w:val="bottom"/>
            <w:tcBorders>
              <w:top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434"/>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22,484</w:t>
            </w:r>
          </w:p>
        </w:tc>
        <w:tc>
          <w:tcPr>
            <w:tcW w:w="120" w:type="dxa"/>
            <w:vAlign w:val="bottom"/>
            <w:tcBorders>
              <w:top w:val="single" w:sz="8" w:color="CCEEFF"/>
            </w:tcBorders>
          </w:tcPr>
          <w:p>
            <w:pPr>
              <w:spacing w:after="0"/>
              <w:rPr>
                <w:sz w:val="8"/>
                <w:szCs w:val="8"/>
                <w:color w:val="auto"/>
              </w:rPr>
            </w:pP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RECONCILIATION OF CASH AND RESTRICTED CASH:</w:t>
            </w:r>
          </w:p>
        </w:tc>
        <w:tc>
          <w:tcPr>
            <w:tcW w:w="9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Cash</w:t>
            </w:r>
          </w:p>
        </w:tc>
        <w:tc>
          <w:tcPr>
            <w:tcW w:w="94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28,867</w:t>
            </w:r>
          </w:p>
        </w:tc>
        <w:tc>
          <w:tcPr>
            <w:tcW w:w="540" w:type="dxa"/>
            <w:vAlign w:val="bottom"/>
          </w:tcPr>
          <w:p>
            <w:pPr>
              <w:spacing w:after="0"/>
              <w:rPr>
                <w:sz w:val="8"/>
                <w:szCs w:val="8"/>
                <w:color w:val="auto"/>
              </w:rPr>
            </w:pPr>
          </w:p>
        </w:tc>
        <w:tc>
          <w:tcPr>
            <w:tcW w:w="10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20,328</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Restricted Cash—Prepaid and other current assets</w:t>
            </w:r>
          </w:p>
        </w:tc>
        <w:tc>
          <w:tcPr>
            <w:tcW w:w="9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2,293</w:t>
            </w:r>
          </w:p>
        </w:tc>
        <w:tc>
          <w:tcPr>
            <w:tcW w:w="5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2,027</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Restricted cash—Other non-current assets</w:t>
            </w:r>
          </w:p>
        </w:tc>
        <w:tc>
          <w:tcPr>
            <w:tcW w:w="940" w:type="dxa"/>
            <w:vAlign w:val="bottom"/>
          </w:tcPr>
          <w:p>
            <w:pPr>
              <w:spacing w:after="0"/>
              <w:rPr>
                <w:sz w:val="8"/>
                <w:szCs w:val="8"/>
                <w:color w:val="auto"/>
              </w:rPr>
            </w:pPr>
          </w:p>
        </w:tc>
        <w:tc>
          <w:tcPr>
            <w:tcW w:w="7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129</w:t>
            </w:r>
          </w:p>
        </w:tc>
        <w:tc>
          <w:tcPr>
            <w:tcW w:w="540" w:type="dxa"/>
            <w:vAlign w:val="bottom"/>
          </w:tcPr>
          <w:p>
            <w:pPr>
              <w:spacing w:after="0"/>
              <w:rPr>
                <w:sz w:val="8"/>
                <w:szCs w:val="8"/>
                <w:color w:val="auto"/>
              </w:rPr>
            </w:pPr>
          </w:p>
        </w:tc>
        <w:tc>
          <w:tcPr>
            <w:tcW w:w="10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129</w:t>
            </w:r>
          </w:p>
        </w:tc>
      </w:tr>
      <w:tr>
        <w:trPr>
          <w:trHeight w:val="95"/>
        </w:trPr>
        <w:tc>
          <w:tcPr>
            <w:tcW w:w="802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TOTAL CASH AND RESTRICTED CASH</w:t>
            </w:r>
          </w:p>
        </w:tc>
        <w:tc>
          <w:tcPr>
            <w:tcW w:w="940" w:type="dxa"/>
            <w:vAlign w:val="bottom"/>
            <w:tcBorders>
              <w:top w:val="single" w:sz="8" w:color="auto"/>
              <w:bottom w:val="single" w:sz="8" w:color="auto"/>
            </w:tcBorders>
            <w:shd w:val="clear" w:color="auto" w:fill="CCEEFF"/>
          </w:tcPr>
          <w:p>
            <w:pPr>
              <w:jc w:val="right"/>
              <w:ind w:right="834"/>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31,289</w:t>
            </w:r>
          </w:p>
        </w:tc>
        <w:tc>
          <w:tcPr>
            <w:tcW w:w="2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ind w:right="434"/>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22,484</w:t>
            </w:r>
          </w:p>
        </w:tc>
        <w:tc>
          <w:tcPr>
            <w:tcW w:w="120" w:type="dxa"/>
            <w:vAlign w:val="bottom"/>
            <w:tcBorders>
              <w:bottom w:val="single" w:sz="8" w:color="CCEEFF"/>
            </w:tcBorders>
            <w:shd w:val="clear" w:color="auto" w:fill="CCEEFF"/>
          </w:tcPr>
          <w:p>
            <w:pPr>
              <w:spacing w:after="0"/>
              <w:rPr>
                <w:sz w:val="8"/>
                <w:szCs w:val="8"/>
                <w:color w:val="auto"/>
              </w:rPr>
            </w:pPr>
          </w:p>
        </w:tc>
      </w:tr>
      <w:tr>
        <w:trPr>
          <w:trHeight w:val="99"/>
        </w:trPr>
        <w:tc>
          <w:tcPr>
            <w:tcW w:w="8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SUPPLEMENTAL DISCLOSURES OF CASH FLOW INFORMATION</w:t>
            </w:r>
          </w:p>
        </w:tc>
        <w:tc>
          <w:tcPr>
            <w:tcW w:w="9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Cash paid for interest</w:t>
            </w:r>
          </w:p>
        </w:tc>
        <w:tc>
          <w:tcPr>
            <w:tcW w:w="940" w:type="dxa"/>
            <w:vAlign w:val="bottom"/>
          </w:tcPr>
          <w:p>
            <w:pPr>
              <w:jc w:val="right"/>
              <w:ind w:right="834"/>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1,038</w:t>
            </w:r>
          </w:p>
        </w:tc>
        <w:tc>
          <w:tcPr>
            <w:tcW w:w="540" w:type="dxa"/>
            <w:vAlign w:val="bottom"/>
          </w:tcPr>
          <w:p>
            <w:pPr>
              <w:jc w:val="right"/>
              <w:ind w:right="434"/>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660</w:t>
            </w: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Cash paid for taxes</w:t>
            </w:r>
          </w:p>
        </w:tc>
        <w:tc>
          <w:tcPr>
            <w:tcW w:w="940" w:type="dxa"/>
            <w:vAlign w:val="bottom"/>
            <w:shd w:val="clear" w:color="auto" w:fill="CCEEFF"/>
          </w:tcPr>
          <w:p>
            <w:pPr>
              <w:jc w:val="right"/>
              <w:ind w:right="834"/>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80</w:t>
            </w:r>
          </w:p>
        </w:tc>
        <w:tc>
          <w:tcPr>
            <w:tcW w:w="540" w:type="dxa"/>
            <w:vAlign w:val="bottom"/>
            <w:shd w:val="clear" w:color="auto" w:fill="CCEEFF"/>
          </w:tcPr>
          <w:p>
            <w:pPr>
              <w:jc w:val="right"/>
              <w:ind w:right="434"/>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151</w:t>
            </w:r>
          </w:p>
        </w:tc>
      </w:tr>
      <w:tr>
        <w:trPr>
          <w:trHeight w:val="99"/>
        </w:trPr>
        <w:tc>
          <w:tcPr>
            <w:tcW w:w="80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NON-CASH INVESTING AND FINANCING ACTIVITIES:</w:t>
            </w: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80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Non-cash consideration paid to contractors</w:t>
            </w:r>
          </w:p>
        </w:tc>
        <w:tc>
          <w:tcPr>
            <w:tcW w:w="940" w:type="dxa"/>
            <w:vAlign w:val="bottom"/>
            <w:shd w:val="clear" w:color="auto" w:fill="CCEEFF"/>
          </w:tcPr>
          <w:p>
            <w:pPr>
              <w:jc w:val="right"/>
              <w:ind w:right="834"/>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321</w:t>
            </w:r>
          </w:p>
        </w:tc>
        <w:tc>
          <w:tcPr>
            <w:tcW w:w="540" w:type="dxa"/>
            <w:vAlign w:val="bottom"/>
            <w:shd w:val="clear" w:color="auto" w:fill="CCEEFF"/>
          </w:tcPr>
          <w:p>
            <w:pPr>
              <w:jc w:val="right"/>
              <w:ind w:right="434"/>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620</w:t>
            </w:r>
          </w:p>
        </w:tc>
      </w:tr>
      <w:tr>
        <w:trPr>
          <w:trHeight w:val="123"/>
        </w:trPr>
        <w:tc>
          <w:tcPr>
            <w:tcW w:w="8020" w:type="dxa"/>
            <w:vAlign w:val="bottom"/>
          </w:tcPr>
          <w:p>
            <w:pPr>
              <w:spacing w:after="0"/>
              <w:rPr>
                <w:sz w:val="20"/>
                <w:szCs w:val="20"/>
                <w:color w:val="auto"/>
              </w:rPr>
            </w:pPr>
            <w:r>
              <w:rPr>
                <w:rFonts w:ascii="Times New Roman" w:cs="Times New Roman" w:eastAsia="Times New Roman" w:hAnsi="Times New Roman"/>
                <w:sz w:val="10"/>
                <w:szCs w:val="10"/>
                <w:color w:val="auto"/>
              </w:rPr>
              <w:t>Non-cash minority equity investment</w:t>
            </w:r>
          </w:p>
        </w:tc>
        <w:tc>
          <w:tcPr>
            <w:tcW w:w="940" w:type="dxa"/>
            <w:vAlign w:val="bottom"/>
          </w:tcPr>
          <w:p>
            <w:pPr>
              <w:jc w:val="right"/>
              <w:ind w:right="834"/>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ind w:right="434"/>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50</w:t>
            </w: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Aterian,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For the Three and Six Months Ended June 30, 2023 and 2024 (Unaudited)</w:t>
      </w:r>
    </w:p>
    <w:p>
      <w:pPr>
        <w:spacing w:after="0" w:line="153" w:lineRule="exact"/>
        <w:rPr>
          <w:sz w:val="20"/>
          <w:szCs w:val="20"/>
          <w:color w:val="auto"/>
        </w:rPr>
      </w:pPr>
    </w:p>
    <w:p>
      <w:pPr>
        <w:ind w:left="220" w:hanging="208"/>
        <w:spacing w:after="0"/>
        <w:tabs>
          <w:tab w:leader="none" w:pos="220"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COMPANY OVERVIEW</w:t>
      </w:r>
    </w:p>
    <w:p>
      <w:pPr>
        <w:spacing w:after="0" w:line="154" w:lineRule="exact"/>
        <w:rPr>
          <w:sz w:val="20"/>
          <w:szCs w:val="20"/>
          <w:color w:val="auto"/>
        </w:rPr>
      </w:pPr>
    </w:p>
    <w:p>
      <w:pPr>
        <w:ind w:left="20" w:right="60"/>
        <w:spacing w:after="0" w:line="279" w:lineRule="auto"/>
        <w:rPr>
          <w:sz w:val="20"/>
          <w:szCs w:val="20"/>
          <w:color w:val="auto"/>
        </w:rPr>
      </w:pPr>
      <w:r>
        <w:rPr>
          <w:rFonts w:ascii="Times New Roman" w:cs="Times New Roman" w:eastAsia="Times New Roman" w:hAnsi="Times New Roman"/>
          <w:sz w:val="12"/>
          <w:szCs w:val="12"/>
          <w:color w:val="auto"/>
        </w:rPr>
        <w:t>Aterian, Inc. (the "Company") is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beauty products and essential oils.</w:t>
      </w:r>
    </w:p>
    <w:p>
      <w:pPr>
        <w:spacing w:after="0" w:line="11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Headquartered in New Jersey, the Company also maintains offices in China, the Philippines, and the United Kingdom.</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of the date the accompanying Condensed Consolidated Financial Statements were issued (the “issuance date”), we evaluated the significance of the following adverse financial conditions in accordance with Accounting Standard Codification 205-40, Going Concern:</w:t>
      </w:r>
    </w:p>
    <w:p>
      <w:pPr>
        <w:spacing w:after="0" w:line="111" w:lineRule="exact"/>
        <w:rPr>
          <w:sz w:val="20"/>
          <w:szCs w:val="20"/>
          <w:color w:val="auto"/>
        </w:rPr>
      </w:pPr>
    </w:p>
    <w:p>
      <w:pPr>
        <w:ind w:left="340" w:right="20" w:hanging="4"/>
        <w:spacing w:after="0" w:line="327" w:lineRule="auto"/>
        <w:tabs>
          <w:tab w:leader="none" w:pos="412" w:val="left"/>
        </w:tabs>
        <w:numPr>
          <w:ilvl w:val="1"/>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Since our inception, we have incurred significant losses and used cash flows from operations to fund our enterprise. In this regard, during the six months ended June 30, 2024, we incurred a net loss of $8.8 million and generated net cash flows from operations of $2.9 million. In addition, as of June 30, 2024, we had unrestricted cash and cash equivalents of $20.3 million available to fund our operations and an accumulated deficit of $708.6 million.</w:t>
      </w:r>
    </w:p>
    <w:p>
      <w:pPr>
        <w:spacing w:after="0" w:line="87" w:lineRule="exact"/>
        <w:rPr>
          <w:rFonts w:ascii="Times New Roman" w:cs="Times New Roman" w:eastAsia="Times New Roman" w:hAnsi="Times New Roman"/>
          <w:sz w:val="11"/>
          <w:szCs w:val="11"/>
          <w:color w:val="auto"/>
        </w:rPr>
      </w:pPr>
    </w:p>
    <w:p>
      <w:pPr>
        <w:jc w:val="both"/>
        <w:ind w:left="320" w:hanging="8"/>
        <w:spacing w:after="0" w:line="256" w:lineRule="auto"/>
        <w:tabs>
          <w:tab w:leader="none" w:pos="393"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required to remain in compliance with certain financial covenants required by the MidCap Credit facility (See Note 7, Credit Facility, Term Loans and Warrants). We were in compliance with these financial covenants as of June 30, 2024, and expect to remain in compliance through at least June 30, 2025. During February 2024, the Company amended its terms with Midcap Credit Facility extending the term until December 2026 and amending certain financial covenants with favorable terms. We can provide no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24" w:lineRule="exact"/>
        <w:rPr>
          <w:rFonts w:ascii="Times New Roman" w:cs="Times New Roman" w:eastAsia="Times New Roman" w:hAnsi="Times New Roman"/>
          <w:sz w:val="12"/>
          <w:szCs w:val="12"/>
          <w:color w:val="auto"/>
        </w:rPr>
      </w:pPr>
    </w:p>
    <w:p>
      <w:pPr>
        <w:jc w:val="both"/>
        <w:ind w:left="320" w:hanging="8"/>
        <w:spacing w:after="0" w:line="265" w:lineRule="auto"/>
        <w:tabs>
          <w:tab w:leader="none" w:pos="40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issuance date, we have no firm commitments to secure additional outside capital from lenders or investors. While we expect to continue to explore raising additional outside capital, specifically to fund our M&amp;A strategy,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18" w:lineRule="exact"/>
        <w:rPr>
          <w:rFonts w:ascii="Times New Roman" w:cs="Times New Roman" w:eastAsia="Times New Roman" w:hAnsi="Times New Roman"/>
          <w:sz w:val="12"/>
          <w:szCs w:val="12"/>
          <w:color w:val="auto"/>
        </w:rPr>
      </w:pPr>
    </w:p>
    <w:p>
      <w:pPr>
        <w:jc w:val="both"/>
        <w:ind w:left="320" w:hanging="8"/>
        <w:spacing w:after="0" w:line="257" w:lineRule="auto"/>
        <w:tabs>
          <w:tab w:leader="none" w:pos="39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has initiated two restructuring programs over the last 15 months to reduce operating costs and right size the workforce to align with the scale of our streamlined operations. In addition, we have reduced the SKU count to solely focus on profitable products that are core to the Company’s strategy. During February 2024, we extended the term with Midcap Credit Facility until December 2026 (See Note 7, Credit Facility, Term Loans and Warrants)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1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Nasdaq Listing - </w:t>
      </w:r>
      <w:r>
        <w:rPr>
          <w:rFonts w:ascii="Times New Roman" w:cs="Times New Roman" w:eastAsia="Times New Roman" w:hAnsi="Times New Roman"/>
          <w:sz w:val="12"/>
          <w:szCs w:val="12"/>
          <w:color w:val="auto"/>
        </w:rPr>
        <w:t>On April 24, 2023, we received a letter from the Listing Qualifications Staff of The Nasdaq Stock Market LLC (“Nasdaq”) indicating that, based upon the closing bid price of our common stock for the last 30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consecutive business days, the Company is currently in compliance with the requirement to maintain a minimum bid price of $1.00 per share for continued listing on The Nasdaq Capital Market, as set forth in Nasdaq Listing Rule 5550(a)(2)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(the “Extension Notice”).</w:t>
      </w:r>
    </w:p>
    <w:p>
      <w:pPr>
        <w:spacing w:after="0" w:line="12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spacing w:after="0" w:line="11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On August 11, 2023, Aterian's shareholders approved discretionary authority to our Board to (A) amend our Amended and Restated Certificate of Incorporation to effect one or more consolidations of the issued and outstanding shares of our common stock, par value $0.0001 per share, pursuant to which the shares of Common Stock would be combined and reclassified at ratios within the range from 1-for-2 up to 1-for-30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w:t>
      </w:r>
    </w:p>
    <w:p>
      <w:pPr>
        <w:spacing w:after="0" w:line="1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On March 20, 2024, the Company filed a Certificate of Amendment to its Amended and Restated Certificate of Incorporation of the Company with the Secretary of State of Delaware (the “Certificate of Amendment”) to affect a 1 - for - 12 reverse stock split (the “Reverse Stock Split”) of the shares of the Company’s common stock, par value $0.0001 per share (the “Common Stock”). The Certificate of Amendment did not decrease the number of authorized shares of Common Stock.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Common Stock began trading on a Reverse Stock Split-adjusted basis on the Nasdaq on March 22, 2024. All share and per share data has been retroactively adjusted to reflect the Reverse Stock Split.</w:t>
      </w:r>
    </w:p>
    <w:p>
      <w:pPr>
        <w:spacing w:after="0" w:line="14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Restructuring - </w:t>
      </w:r>
      <w:r>
        <w:rPr>
          <w:rFonts w:ascii="Times New Roman" w:cs="Times New Roman" w:eastAsia="Times New Roman" w:hAnsi="Times New Roman"/>
          <w:sz w:val="12"/>
          <w:szCs w:val="12"/>
          <w:color w:val="auto"/>
        </w:rPr>
        <w:t>On May 9, 2023, the Company announced a plan to reduce expenses by implementing a reduction in its current workforce impacting approximately 50 employees and 15 contractors, primarily in the Philippines.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recognized restructuring charges of $1.6 million for the year-ended December 31, 2023.</w:t>
      </w:r>
    </w:p>
    <w:p>
      <w:pPr>
        <w:spacing w:after="0" w:line="10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On February 8, 2024, the Company committed to a fixed cost-cutting plan, including a reduction in workforce which resulted in the termination of approximately 17 employees and 26 contractors globally. The Company recognized restructuring charges of $17 thousand and $0.6 million for the three and six months ended June 30, 2024, respectively.</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220" w:hanging="208"/>
        <w:spacing w:after="0"/>
        <w:tabs>
          <w:tab w:leader="none" w:pos="220"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Basis of Presentation</w:t>
      </w:r>
      <w:r>
        <w:rPr>
          <w:rFonts w:ascii="Times New Roman" w:cs="Times New Roman" w:eastAsia="Times New Roman" w:hAnsi="Times New Roman"/>
          <w:sz w:val="12"/>
          <w:szCs w:val="12"/>
          <w:color w:val="auto"/>
        </w:rPr>
        <w:t>—The Condensed Consolidated Financial Statements and accompanying notes have been prepared in accordance with accounting principles generally accepted in the United States of America (“U.S. GAAP”).</w:t>
      </w:r>
    </w:p>
    <w:p>
      <w:pPr>
        <w:spacing w:after="0" w:line="150"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2"/>
          <w:szCs w:val="12"/>
          <w:b w:val="1"/>
          <w:bCs w:val="1"/>
          <w:color w:val="auto"/>
        </w:rPr>
        <w:t>Unaudited Interim Financial Information</w:t>
      </w:r>
      <w:r>
        <w:rPr>
          <w:rFonts w:ascii="Times New Roman" w:cs="Times New Roman" w:eastAsia="Times New Roman" w:hAnsi="Times New Roman"/>
          <w:sz w:val="12"/>
          <w:szCs w:val="12"/>
          <w:color w:val="auto"/>
        </w:rPr>
        <w:t>—The accompanying interim Condensed Consolidated Financial Statements are unaudited and have been prepared on the same basis as the audited consolidated financial statements and,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opinion of management, reflect all adjustments necessary for the fair presentation of the Company's financial position as of June 30, 2024 and the results of its operations and its cash flows for the periods ended June 30, 2024 and 2023. The financial data and other information disclosed in these notes related to the three and six months ended June 30, 2024 and 2023 are also unaudited. The results for the three and six months ended June 30, 2024 are not necessarily indicative of results to be expected for the year ending December 31, 2024, any other interim periods or any future year or period.</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Condensed Consolidated Balance Sheet as of December 31, 2023, presented herein, has been derived from the Company’s audited Consolidated Financial Statements for the fiscal year then ended. These unaudited Condensed Consolidated Interim Financial Statements should be read in conjunction with our Annual Report on Form 10-K for the year ended December 31, 2023 as filed with the SEC on March 19, 2024 (“Annual Report”) and have been prepared on a consistent basis with the accounting policies described in Note 2 of the Notes to Consolidated Financial Statements included in our Annual Report. Our accounting policies did not change during the six months ended June 30, 2024, other than with respect to the new accounting pronouncements adopted as described in Note 2, Recent Accounting Pronouncements.</w:t>
      </w:r>
    </w:p>
    <w:p>
      <w:pPr>
        <w:spacing w:after="0" w:line="118"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2"/>
          <w:szCs w:val="12"/>
          <w:b w:val="1"/>
          <w:bCs w:val="1"/>
          <w:color w:val="auto"/>
        </w:rPr>
        <w:t>Use of Estimates</w:t>
      </w:r>
      <w:r>
        <w:rPr>
          <w:rFonts w:ascii="Times New Roman" w:cs="Times New Roman" w:eastAsia="Times New Roman" w:hAnsi="Times New Roman"/>
          <w:sz w:val="12"/>
          <w:szCs w:val="12"/>
          <w:color w:val="auto"/>
        </w:rPr>
        <w:t>—Preparation of financial statements in conformity with U.S. GAAP requires management to make estimates and assumptions that affect the reported amounts of assets and liabilities and the disclosure of contingent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17"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Principles of Consolidation</w:t>
      </w:r>
      <w:r>
        <w:rPr>
          <w:rFonts w:ascii="Times New Roman" w:cs="Times New Roman" w:eastAsia="Times New Roman" w:hAnsi="Times New Roman"/>
          <w:sz w:val="12"/>
          <w:szCs w:val="12"/>
          <w:color w:val="auto"/>
        </w:rPr>
        <w:t>—The Condensed Consolidated Financial Statements include the accounts of the Company and its wholly-owned subsidiaries. All intercompany balances and transactions have been eliminated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consolidation.</w:t>
      </w:r>
    </w:p>
    <w:p>
      <w:pPr>
        <w:spacing w:after="0" w:line="103"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b w:val="1"/>
          <w:bCs w:val="1"/>
          <w:color w:val="auto"/>
        </w:rPr>
        <w:t>Restricted Cash</w:t>
      </w:r>
      <w:r>
        <w:rPr>
          <w:rFonts w:ascii="Times New Roman" w:cs="Times New Roman" w:eastAsia="Times New Roman" w:hAnsi="Times New Roman"/>
          <w:sz w:val="12"/>
          <w:szCs w:val="12"/>
          <w:color w:val="auto"/>
        </w:rPr>
        <w:t>—As of December 31, 2023, the Company has classified the following as restricted cash: $0.1 million related to its Chinese subsidiary within “Other Non-current Assets” on the Consolidated Balance Sheets and $2.0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million related to a letter of credit within "Prepaid and Other Current Assets" on the Consolidated Balance Sheets.</w:t>
      </w:r>
    </w:p>
    <w:p>
      <w:pPr>
        <w:spacing w:after="0" w:line="107"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As of June 30, 2024, the Company has classified the following as restricted cash: $0.1 million related to its Chinese subsidiary within “Other Non-current Assets” on the Condensed Consolidated Balance Sheets and $2.0 million related to a letter of credit within "Prepaid and Other Current Assets" on the Condensed Consolidated Balance Sheets.</w:t>
      </w:r>
    </w:p>
    <w:p>
      <w:pPr>
        <w:spacing w:after="0" w:line="10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b w:val="1"/>
          <w:bCs w:val="1"/>
          <w:color w:val="auto"/>
        </w:rPr>
        <w:t>Inventory and Cost of Goods Sold</w:t>
      </w:r>
      <w:r>
        <w:rPr>
          <w:rFonts w:ascii="Times New Roman" w:cs="Times New Roman" w:eastAsia="Times New Roman" w:hAnsi="Times New Roman"/>
          <w:sz w:val="12"/>
          <w:szCs w:val="12"/>
          <w:color w:val="auto"/>
        </w:rPr>
        <w:t>—The Company’s inventory consists almost entirely of finished goods. The Company currently records inventory on its balance sheet on a first-in first-out basis, or net realizable value, if it is below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w:t>
      </w:r>
    </w:p>
    <w:p>
      <w:pPr>
        <w:spacing w:after="0" w:line="125"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The “Cost of goods sold” line item in the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pacing w:after="0" w:line="107" w:lineRule="exact"/>
        <w:rPr>
          <w:sz w:val="20"/>
          <w:szCs w:val="20"/>
          <w:color w:val="auto"/>
        </w:rPr>
      </w:pPr>
    </w:p>
    <w:p>
      <w:pPr>
        <w:ind w:left="20" w:right="40"/>
        <w:spacing w:after="0" w:line="262" w:lineRule="auto"/>
        <w:rPr>
          <w:sz w:val="20"/>
          <w:szCs w:val="20"/>
          <w:color w:val="auto"/>
        </w:rPr>
      </w:pPr>
      <w:r>
        <w:rPr>
          <w:rFonts w:ascii="Times New Roman" w:cs="Times New Roman" w:eastAsia="Times New Roman" w:hAnsi="Times New Roman"/>
          <w:sz w:val="12"/>
          <w:szCs w:val="12"/>
          <w:b w:val="1"/>
          <w:bCs w:val="1"/>
          <w:color w:val="auto"/>
        </w:rPr>
        <w:t>Accounts Receivable</w:t>
      </w:r>
      <w:r>
        <w:rPr>
          <w:rFonts w:ascii="Times New Roman" w:cs="Times New Roman" w:eastAsia="Times New Roman" w:hAnsi="Times New Roman"/>
          <w:sz w:val="12"/>
          <w:szCs w:val="12"/>
          <w:color w:val="auto"/>
        </w:rPr>
        <w:t>—Accounts receivable are stated at historical cost less allowance for credit losses. On a periodic basis, management evaluates its accounts receivable and determines whether to provide an allowance or if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December 31, 2023 and June 30, 2024, the Company had an allowance for credit losses of $0.1 million.</w:t>
      </w:r>
    </w:p>
    <w:p>
      <w:pPr>
        <w:spacing w:after="0" w:line="117"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Revenue Recognition</w:t>
      </w:r>
      <w:r>
        <w:rPr>
          <w:rFonts w:ascii="Times New Roman" w:cs="Times New Roman" w:eastAsia="Times New Roman" w:hAnsi="Times New Roman"/>
          <w:sz w:val="12"/>
          <w:szCs w:val="12"/>
          <w:color w:val="auto"/>
        </w:rPr>
        <w:t>—The Company accounts for revenue in accordance with Financial Accounting Standards Board (“FASB”) Accounting Standard Codification (“ASC”) Topic 606, Revenue from Contracts with Customers (“ASC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Topic 606”). The Company derives its revenue from the sale of consumer products. The Company sells its products directly to consumers through online retail channels and through wholesale channels.</w:t>
      </w:r>
    </w:p>
    <w:p>
      <w:pPr>
        <w:spacing w:after="0" w:line="107" w:lineRule="exact"/>
        <w:rPr>
          <w:sz w:val="20"/>
          <w:szCs w:val="20"/>
          <w:color w:val="auto"/>
        </w:rPr>
      </w:pPr>
    </w:p>
    <w:p>
      <w:pPr>
        <w:ind w:left="20"/>
        <w:spacing w:after="0" w:line="279" w:lineRule="auto"/>
        <w:rPr>
          <w:sz w:val="20"/>
          <w:szCs w:val="20"/>
          <w:color w:val="auto"/>
        </w:rPr>
      </w:pPr>
      <w:r>
        <w:rPr>
          <w:rFonts w:ascii="Times New Roman" w:cs="Times New Roman" w:eastAsia="Times New Roman" w:hAnsi="Times New Roman"/>
          <w:sz w:val="12"/>
          <w:szCs w:val="12"/>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December 31, 2023 and $0.3 million at June 30, 2024, which is included in accrued expenses and other current liabilities on the Condensed Consolidated Balance Sheet and represents the expected value of the refund that will be due to its customers.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Revenue by Category</w:t>
      </w:r>
      <w:r>
        <w:rPr>
          <w:rFonts w:ascii="Times New Roman" w:cs="Times New Roman" w:eastAsia="Times New Roman" w:hAnsi="Times New Roman"/>
          <w:sz w:val="12"/>
          <w:szCs w:val="12"/>
          <w:color w:val="auto"/>
        </w:rPr>
        <w:t>. The following table sets forth the Company’s net revenue disaggregated by sales channel and geographic region based on the billing addresses of its customers: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2023</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32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2"/>
                <w:szCs w:val="12"/>
                <w:color w:val="auto"/>
                <w:w w:val="99"/>
              </w:rPr>
              <w:t>(in thousands)</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3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Direct</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Wholesale/Other</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3"/>
                <w:szCs w:val="13"/>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North America</w:t>
            </w:r>
          </w:p>
        </w:tc>
        <w:tc>
          <w:tcPr>
            <w:tcW w:w="4140" w:type="dxa"/>
            <w:vAlign w:val="bottom"/>
            <w:gridSpan w:val="2"/>
            <w:shd w:val="clear" w:color="auto" w:fill="CCEEFF"/>
          </w:tcPr>
          <w:p>
            <w:pPr>
              <w:jc w:val="right"/>
              <w:ind w:right="903"/>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33,175</w:t>
            </w:r>
          </w:p>
        </w:tc>
        <w:tc>
          <w:tcPr>
            <w:tcW w:w="420" w:type="dxa"/>
            <w:vAlign w:val="bottom"/>
            <w:tcBorders>
              <w:left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796</w:t>
            </w: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33,971</w:t>
            </w: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3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1,293</w:t>
            </w:r>
          </w:p>
        </w:tc>
      </w:tr>
      <w:tr>
        <w:trPr>
          <w:trHeight w:val="20"/>
        </w:trPr>
        <w:tc>
          <w:tcPr>
            <w:tcW w:w="3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3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34,468</w:t>
            </w:r>
          </w:p>
        </w:tc>
        <w:tc>
          <w:tcPr>
            <w:tcW w:w="420" w:type="dxa"/>
            <w:vAlign w:val="bottom"/>
            <w:tcBorders>
              <w:left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796</w:t>
            </w: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35,264</w:t>
            </w:r>
          </w:p>
        </w:tc>
      </w:tr>
      <w:tr>
        <w:trPr>
          <w:trHeight w:val="27"/>
        </w:trPr>
        <w:tc>
          <w:tcPr>
            <w:tcW w:w="32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88"/>
        </w:trPr>
        <w:tc>
          <w:tcPr>
            <w:tcW w:w="3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2024</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32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2"/>
                <w:szCs w:val="12"/>
                <w:color w:val="auto"/>
                <w:w w:val="99"/>
              </w:rPr>
              <w:t>(in thousands)</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3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Direct</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Wholesale/Other</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3"/>
                <w:szCs w:val="13"/>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North America</w:t>
            </w:r>
          </w:p>
        </w:tc>
        <w:tc>
          <w:tcPr>
            <w:tcW w:w="4140" w:type="dxa"/>
            <w:vAlign w:val="bottom"/>
            <w:gridSpan w:val="2"/>
            <w:shd w:val="clear" w:color="auto" w:fill="CCEEFF"/>
          </w:tcPr>
          <w:p>
            <w:pPr>
              <w:jc w:val="right"/>
              <w:ind w:right="903"/>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26,300</w:t>
            </w:r>
          </w:p>
        </w:tc>
        <w:tc>
          <w:tcPr>
            <w:tcW w:w="420" w:type="dxa"/>
            <w:vAlign w:val="bottom"/>
            <w:tcBorders>
              <w:left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155</w:t>
            </w: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26,455</w:t>
            </w: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3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1,529</w:t>
            </w:r>
          </w:p>
        </w:tc>
      </w:tr>
      <w:tr>
        <w:trPr>
          <w:trHeight w:val="20"/>
        </w:trPr>
        <w:tc>
          <w:tcPr>
            <w:tcW w:w="3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3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27,829</w:t>
            </w:r>
          </w:p>
        </w:tc>
        <w:tc>
          <w:tcPr>
            <w:tcW w:w="420" w:type="dxa"/>
            <w:vAlign w:val="bottom"/>
            <w:tcBorders>
              <w:left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155</w:t>
            </w: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27,984</w:t>
            </w:r>
          </w:p>
        </w:tc>
      </w:tr>
      <w:tr>
        <w:trPr>
          <w:trHeight w:val="27"/>
        </w:trPr>
        <w:tc>
          <w:tcPr>
            <w:tcW w:w="32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88"/>
        </w:trPr>
        <w:tc>
          <w:tcPr>
            <w:tcW w:w="3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Six Months Ended June 30, 2023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32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2"/>
                <w:szCs w:val="12"/>
                <w:color w:val="auto"/>
                <w:w w:val="99"/>
              </w:rPr>
              <w:t>(in thousands)</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3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Direct</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Wholesale/Other</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3"/>
                <w:szCs w:val="13"/>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North America</w:t>
            </w:r>
          </w:p>
        </w:tc>
        <w:tc>
          <w:tcPr>
            <w:tcW w:w="4140" w:type="dxa"/>
            <w:vAlign w:val="bottom"/>
            <w:gridSpan w:val="2"/>
            <w:shd w:val="clear" w:color="auto" w:fill="CCEEFF"/>
          </w:tcPr>
          <w:p>
            <w:pPr>
              <w:jc w:val="right"/>
              <w:ind w:right="903"/>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65,137</w:t>
            </w:r>
          </w:p>
        </w:tc>
        <w:tc>
          <w:tcPr>
            <w:tcW w:w="420" w:type="dxa"/>
            <w:vAlign w:val="bottom"/>
            <w:tcBorders>
              <w:left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2,312</w:t>
            </w: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67,449</w:t>
            </w: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3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2,694</w:t>
            </w:r>
          </w:p>
        </w:tc>
      </w:tr>
      <w:tr>
        <w:trPr>
          <w:trHeight w:val="20"/>
        </w:trPr>
        <w:tc>
          <w:tcPr>
            <w:tcW w:w="3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3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67,831</w:t>
            </w:r>
          </w:p>
        </w:tc>
        <w:tc>
          <w:tcPr>
            <w:tcW w:w="420" w:type="dxa"/>
            <w:vAlign w:val="bottom"/>
            <w:tcBorders>
              <w:left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2,312</w:t>
            </w: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70,143</w:t>
            </w:r>
          </w:p>
        </w:tc>
      </w:tr>
      <w:tr>
        <w:trPr>
          <w:trHeight w:val="27"/>
        </w:trPr>
        <w:tc>
          <w:tcPr>
            <w:tcW w:w="32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432"/>
        </w:trPr>
        <w:tc>
          <w:tcPr>
            <w:tcW w:w="3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32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2"/>
                <w:szCs w:val="12"/>
                <w:color w:val="auto"/>
                <w:w w:val="99"/>
              </w:rPr>
              <w:t>(in thousands)</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3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Direct</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Wholesale/Other</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3"/>
                <w:szCs w:val="13"/>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North America</w:t>
            </w:r>
          </w:p>
        </w:tc>
        <w:tc>
          <w:tcPr>
            <w:tcW w:w="4140" w:type="dxa"/>
            <w:vAlign w:val="bottom"/>
            <w:gridSpan w:val="2"/>
            <w:shd w:val="clear" w:color="auto" w:fill="CCEEFF"/>
          </w:tcPr>
          <w:p>
            <w:pPr>
              <w:jc w:val="right"/>
              <w:ind w:right="903"/>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45,020</w:t>
            </w:r>
          </w:p>
        </w:tc>
        <w:tc>
          <w:tcPr>
            <w:tcW w:w="420" w:type="dxa"/>
            <w:vAlign w:val="bottom"/>
            <w:tcBorders>
              <w:left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45,320</w:t>
            </w:r>
          </w:p>
        </w:tc>
      </w:t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3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2,879</w:t>
            </w:r>
          </w:p>
        </w:tc>
      </w:tr>
      <w:tr>
        <w:trPr>
          <w:trHeight w:val="20"/>
        </w:trPr>
        <w:tc>
          <w:tcPr>
            <w:tcW w:w="3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3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47,899</w:t>
            </w:r>
          </w:p>
        </w:tc>
        <w:tc>
          <w:tcPr>
            <w:tcW w:w="420" w:type="dxa"/>
            <w:vAlign w:val="bottom"/>
            <w:tcBorders>
              <w:left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48,199</w:t>
            </w:r>
          </w:p>
        </w:tc>
      </w:tr>
      <w:tr>
        <w:trPr>
          <w:trHeight w:val="288"/>
        </w:trPr>
        <w:tc>
          <w:tcPr>
            <w:tcW w:w="320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jc w:val="right"/>
              <w:ind w:right="560"/>
              <w:spacing w:after="0"/>
              <w:rPr>
                <w:sz w:val="20"/>
                <w:szCs w:val="20"/>
                <w:color w:val="auto"/>
              </w:rPr>
            </w:pPr>
            <w:r>
              <w:rPr>
                <w:rFonts w:ascii="Times New Roman" w:cs="Times New Roman" w:eastAsia="Times New Roman" w:hAnsi="Times New Roman"/>
                <w:sz w:val="12"/>
                <w:szCs w:val="12"/>
                <w:color w:val="auto"/>
              </w:rPr>
              <w:t>12</w:t>
            </w:r>
          </w:p>
        </w:tc>
        <w:tc>
          <w:tcPr>
            <w:tcW w:w="10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2"/>
        </w:trPr>
        <w:tc>
          <w:tcPr>
            <w:tcW w:w="320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29" w:right="2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8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9720" w:type="dxa"/>
            <w:vAlign w:val="bottom"/>
            <w:gridSpan w:val="6"/>
          </w:tcPr>
          <w:p>
            <w:pPr>
              <w:spacing w:after="0"/>
              <w:rPr>
                <w:sz w:val="20"/>
                <w:szCs w:val="20"/>
                <w:color w:val="auto"/>
              </w:rPr>
            </w:pPr>
            <w:r>
              <w:rPr>
                <w:rFonts w:ascii="Times New Roman" w:cs="Times New Roman" w:eastAsia="Times New Roman" w:hAnsi="Times New Roman"/>
                <w:sz w:val="12"/>
                <w:szCs w:val="12"/>
                <w:i w:val="1"/>
                <w:iCs w:val="1"/>
                <w:color w:val="auto"/>
              </w:rPr>
              <w:t>Net Revenue by Product Categories</w:t>
            </w:r>
            <w:r>
              <w:rPr>
                <w:rFonts w:ascii="Times New Roman" w:cs="Times New Roman" w:eastAsia="Times New Roman" w:hAnsi="Times New Roman"/>
                <w:sz w:val="12"/>
                <w:szCs w:val="12"/>
                <w:color w:val="auto"/>
              </w:rPr>
              <w:t>. The following table sets forth the Company’s net revenue disaggregated by product categories for the three and six months ended June 30, 2024 and 2023:</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5"/>
          </w:tcPr>
          <w:p>
            <w:pPr>
              <w:jc w:val="right"/>
              <w:ind w:right="9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r>
      <w:tr>
        <w:trPr>
          <w:trHeight w:val="133"/>
        </w:trPr>
        <w:tc>
          <w:tcPr>
            <w:tcW w:w="8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(in</w:t>
            </w:r>
          </w:p>
        </w:tc>
        <w:tc>
          <w:tcPr>
            <w:tcW w:w="82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84"/>
              </w:rPr>
              <w:t>thousands)</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Heating, cooling and air quality</w:t>
            </w:r>
          </w:p>
        </w:tc>
        <w:tc>
          <w:tcPr>
            <w:tcW w:w="46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8,394</w:t>
            </w:r>
          </w:p>
        </w:tc>
        <w:tc>
          <w:tcPr>
            <w:tcW w:w="60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10,396</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Kitchen appliances</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6,277</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2,111</w:t>
            </w:r>
          </w:p>
        </w:tc>
      </w:tr>
      <w:tr>
        <w:trPr>
          <w:trHeight w:val="14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 and beauty</w:t>
            </w:r>
          </w:p>
        </w:tc>
        <w:tc>
          <w:tcPr>
            <w:tcW w:w="4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3,834</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3,431</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Cookware, kitchen tools and gadgets</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2,287</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1,294</w:t>
            </w:r>
          </w:p>
        </w:tc>
      </w:tr>
      <w:tr>
        <w:trPr>
          <w:trHeight w:val="14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Home office</w:t>
            </w:r>
          </w:p>
        </w:tc>
        <w:tc>
          <w:tcPr>
            <w:tcW w:w="4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2,627</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2,310</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Housewares</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6,931</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5,046</w:t>
            </w:r>
          </w:p>
        </w:tc>
      </w:tr>
      <w:tr>
        <w:trPr>
          <w:trHeight w:val="14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Essential oils and related accessories</w:t>
            </w:r>
          </w:p>
        </w:tc>
        <w:tc>
          <w:tcPr>
            <w:tcW w:w="4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4,263</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3,236</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651</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160</w:t>
            </w:r>
          </w:p>
        </w:tc>
      </w:tr>
      <w:tr>
        <w:trPr>
          <w:trHeight w:val="20"/>
        </w:trPr>
        <w:tc>
          <w:tcPr>
            <w:tcW w:w="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6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43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35,264</w:t>
            </w:r>
          </w:p>
        </w:tc>
        <w:tc>
          <w:tcPr>
            <w:tcW w:w="600" w:type="dxa"/>
            <w:vAlign w:val="bottom"/>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27,984</w:t>
            </w:r>
          </w:p>
        </w:tc>
      </w:tr>
      <w:tr>
        <w:trPr>
          <w:trHeight w:val="27"/>
        </w:trPr>
        <w:tc>
          <w:tcPr>
            <w:tcW w:w="8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8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(in</w:t>
            </w:r>
          </w:p>
        </w:tc>
        <w:tc>
          <w:tcPr>
            <w:tcW w:w="82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84"/>
              </w:rPr>
              <w:t>thousands)</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Heating, cooling and air quality</w:t>
            </w:r>
          </w:p>
        </w:tc>
        <w:tc>
          <w:tcPr>
            <w:tcW w:w="46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13,742</w:t>
            </w:r>
          </w:p>
        </w:tc>
        <w:tc>
          <w:tcPr>
            <w:tcW w:w="60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13,600</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Kitchen appliances</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12,648</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4,032</w:t>
            </w:r>
          </w:p>
        </w:tc>
      </w:tr>
      <w:tr>
        <w:trPr>
          <w:trHeight w:val="14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 and beauty</w:t>
            </w:r>
          </w:p>
        </w:tc>
        <w:tc>
          <w:tcPr>
            <w:tcW w:w="4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8,691</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6,744</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Cookware, kitchen tools and gadgets</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5,907</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2,690</w:t>
            </w:r>
          </w:p>
        </w:tc>
      </w:tr>
      <w:tr>
        <w:trPr>
          <w:trHeight w:val="14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Home office</w:t>
            </w:r>
          </w:p>
        </w:tc>
        <w:tc>
          <w:tcPr>
            <w:tcW w:w="4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5,294</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4,341</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Housewares</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13,140</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9,932</w:t>
            </w:r>
          </w:p>
        </w:tc>
      </w:tr>
      <w:tr>
        <w:trPr>
          <w:trHeight w:val="14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Essential oils and related accessories</w:t>
            </w:r>
          </w:p>
        </w:tc>
        <w:tc>
          <w:tcPr>
            <w:tcW w:w="4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8,851</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6,443</w:t>
            </w:r>
          </w:p>
        </w:tc>
      </w:tr>
      <w:tr>
        <w:trPr>
          <w:trHeight w:val="144"/>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1,870</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417</w:t>
            </w:r>
          </w:p>
        </w:tc>
      </w:tr>
      <w:tr>
        <w:trPr>
          <w:trHeight w:val="20"/>
        </w:trPr>
        <w:tc>
          <w:tcPr>
            <w:tcW w:w="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36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43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70,143</w:t>
            </w:r>
          </w:p>
        </w:tc>
        <w:tc>
          <w:tcPr>
            <w:tcW w:w="600" w:type="dxa"/>
            <w:vAlign w:val="bottom"/>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48,199</w:t>
            </w:r>
          </w:p>
        </w:tc>
      </w:tr>
      <w:tr>
        <w:trPr>
          <w:trHeight w:val="288"/>
        </w:trPr>
        <w:tc>
          <w:tcPr>
            <w:tcW w:w="84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tcPr>
          <w:p>
            <w:pPr>
              <w:jc w:val="right"/>
              <w:ind w:right="2260"/>
              <w:spacing w:after="0"/>
              <w:rPr>
                <w:sz w:val="20"/>
                <w:szCs w:val="20"/>
                <w:color w:val="auto"/>
              </w:rPr>
            </w:pPr>
            <w:r>
              <w:rPr>
                <w:rFonts w:ascii="Times New Roman" w:cs="Times New Roman" w:eastAsia="Times New Roman" w:hAnsi="Times New Roman"/>
                <w:sz w:val="12"/>
                <w:szCs w:val="12"/>
                <w:color w:val="auto"/>
              </w:rPr>
              <w:t>13</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2"/>
        </w:trPr>
        <w:tc>
          <w:tcPr>
            <w:tcW w:w="8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19" w:right="29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Intangibles</w:t>
      </w:r>
      <w:r>
        <w:rPr>
          <w:rFonts w:ascii="Times New Roman" w:cs="Times New Roman" w:eastAsia="Times New Roman" w:hAnsi="Times New Roman"/>
          <w:sz w:val="12"/>
          <w:szCs w:val="12"/>
          <w:color w:val="auto"/>
        </w:rPr>
        <w:t>—We review long-lived assets for impairment when performance expectations, events, or changes in circumstances indicate that the asset's carrying value may not be recoverable. The evaluation is performed at the lowest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On March 20, 2023, the Company made certain leadership changes in our essential oil business resulting in a change in strategy and outlook for the business resulting in a reduced portfolio offering. This reduction in the portfolio was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during the three months ending March 31, 2023 within impairment loss on intangibles on the consolidated statement of operations.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During the three months ended June 30, 2023, the Company had a substantial decrease in its market capitalization, primarily relating to a decrease in share price. Further, the Company continued to see reduced net revenues across its portfolio due primarily to the then current macroeconomic environment reducing demand for consumer discretionary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consolidated statement of operations.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pacing w:after="0" w:line="12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These fair value measurements require significant judgements using Level 3 inputs, such as discounted projected future cash flows, which are not observable from the market, directly or indirectly. There is uncertainty in the projected future cash flows used in the Company’s impairment analysis, which requires the use of estimates and assumptions. If actual performance does not achieve the projections, or if the assumptions used in the analysis change in the future, the Company may 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triggering events to test intangibles for impairment loss during the six months ended June 30, 2024.</w:t>
      </w:r>
    </w:p>
    <w:p>
      <w:pPr>
        <w:spacing w:after="0" w:line="150"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Fair Value of Financial Instruments</w:t>
      </w:r>
      <w:r>
        <w:rPr>
          <w:rFonts w:ascii="Times New Roman" w:cs="Times New Roman" w:eastAsia="Times New Roman" w:hAnsi="Times New Roman"/>
          <w:sz w:val="12"/>
          <w:szCs w:val="12"/>
          <w:color w:val="auto"/>
        </w:rPr>
        <w:t>—The Company’s financial instruments, including net accounts receivable, accounts payable, and accrued and other current liabilities are carried at historical cost. At June 30, 2024, the carrying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amounts of these instruments approximated their fair values because of their short-term nature. The Company’s credit facility is carried at amortized cost at December 31, 2023 and June 30, 2024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2"/>
          <w:szCs w:val="12"/>
          <w:i w:val="1"/>
          <w:iCs w:val="1"/>
          <w:color w:val="auto"/>
        </w:rPr>
        <w:t>Distinguishing Liabilities from Equity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ASC 480</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and FASB Accounting Standards Codification Topic 815, </w:t>
      </w:r>
      <w:r>
        <w:rPr>
          <w:rFonts w:ascii="Times New Roman" w:cs="Times New Roman" w:eastAsia="Times New Roman" w:hAnsi="Times New Roman"/>
          <w:sz w:val="12"/>
          <w:szCs w:val="12"/>
          <w:i w:val="1"/>
          <w:iCs w:val="1"/>
          <w:color w:val="auto"/>
        </w:rPr>
        <w:t>Derivatives and Hedging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ASC 815</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Level 1</w:t>
      </w:r>
      <w:r>
        <w:rPr>
          <w:rFonts w:ascii="Times New Roman" w:cs="Times New Roman" w:eastAsia="Times New Roman" w:hAnsi="Times New Roman"/>
          <w:sz w:val="12"/>
          <w:szCs w:val="12"/>
          <w:color w:val="auto"/>
        </w:rPr>
        <w:t>—Inputs are unadjusted, quoted prices in active markets for identical assets or liabilities at the measurement date;</w:t>
      </w:r>
    </w:p>
    <w:p>
      <w:pPr>
        <w:spacing w:after="0" w:line="15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Level 2</w:t>
      </w:r>
      <w:r>
        <w:rPr>
          <w:rFonts w:ascii="Times New Roman" w:cs="Times New Roman" w:eastAsia="Times New Roman" w:hAnsi="Times New Roman"/>
          <w:sz w:val="12"/>
          <w:szCs w:val="12"/>
          <w:color w:val="auto"/>
        </w:rPr>
        <w:t>—Inputs are observable, unadjusted quoted prices in active markets for similar assets or liabilities, unadjusted quoted prices for identical or similar assets or liabilities in markets that are not active, or other inputs that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observable or can be corroborated by observable market data for substantially the full term of the related assets or liabilities; and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Level 3</w:t>
      </w:r>
      <w:r>
        <w:rPr>
          <w:rFonts w:ascii="Times New Roman" w:cs="Times New Roman" w:eastAsia="Times New Roman" w:hAnsi="Times New Roman"/>
          <w:sz w:val="12"/>
          <w:szCs w:val="12"/>
          <w:color w:val="auto"/>
        </w:rPr>
        <w:t>—Unobservable inputs that are supported by little or no market data for the related assets or liabilities.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38"/>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824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9"/>
              </w:rPr>
              <w:t>The following table summarizes the fair value of the Company’s financial assets that are measured at fair value as of December 31, 2023 and June 30, 2024 (in thousands):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84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2"/>
                <w:szCs w:val="12"/>
                <w:b w:val="1"/>
                <w:bCs w:val="1"/>
                <w:color w:val="auto"/>
                <w:w w:val="98"/>
              </w:rPr>
              <w:t>Fair Value Measurement Category</w:t>
            </w: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8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320" w:type="dxa"/>
            <w:vAlign w:val="bottom"/>
          </w:tcPr>
          <w:p>
            <w:pPr>
              <w:spacing w:after="0"/>
              <w:rPr>
                <w:sz w:val="13"/>
                <w:szCs w:val="13"/>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Level 3</w:t>
            </w:r>
          </w:p>
        </w:tc>
      </w:tr>
      <w:tr>
        <w:trPr>
          <w:trHeight w:val="133"/>
        </w:trPr>
        <w:tc>
          <w:tcPr>
            <w:tcW w:w="63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10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Cash</w:t>
            </w:r>
          </w:p>
        </w:tc>
        <w:tc>
          <w:tcPr>
            <w:tcW w:w="1040" w:type="dxa"/>
            <w:vAlign w:val="bottom"/>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20,023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2,172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of warrant liability</w:t>
            </w: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1,033</w:t>
            </w:r>
          </w:p>
        </w:tc>
      </w:tr>
      <w:tr>
        <w:trPr>
          <w:trHeight w:val="288"/>
        </w:trPr>
        <w:tc>
          <w:tcPr>
            <w:tcW w:w="8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84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2"/>
                <w:szCs w:val="12"/>
                <w:b w:val="1"/>
                <w:bCs w:val="1"/>
                <w:color w:val="auto"/>
                <w:w w:val="98"/>
              </w:rPr>
              <w:t>Fair Value Measurement Category</w:t>
            </w: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8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40" w:type="dxa"/>
            <w:vAlign w:val="bottom"/>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320" w:type="dxa"/>
            <w:vAlign w:val="bottom"/>
          </w:tcPr>
          <w:p>
            <w:pPr>
              <w:spacing w:after="0"/>
              <w:rPr>
                <w:sz w:val="13"/>
                <w:szCs w:val="13"/>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Level 3</w:t>
            </w:r>
          </w:p>
        </w:tc>
      </w:tr>
      <w:tr>
        <w:trPr>
          <w:trHeight w:val="133"/>
        </w:trPr>
        <w:tc>
          <w:tcPr>
            <w:tcW w:w="63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10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Cash</w:t>
            </w:r>
          </w:p>
        </w:tc>
        <w:tc>
          <w:tcPr>
            <w:tcW w:w="1040" w:type="dxa"/>
            <w:vAlign w:val="bottom"/>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20,328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2,156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of warrant liability</w:t>
            </w:r>
          </w:p>
        </w:tc>
        <w:tc>
          <w:tcPr>
            <w:tcW w:w="10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464</w:t>
            </w: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 summary of the activity of the Level 3 liabilities carried at fair value on a recurring basis for the year-ended December 31, 2023 and the six months ended June 30, 2024 is as follows (in thousands):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9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20" w:type="dxa"/>
            <w:vAlign w:val="bottom"/>
          </w:tcPr>
          <w:p>
            <w:pPr>
              <w:spacing w:after="0"/>
              <w:rPr>
                <w:sz w:val="13"/>
                <w:szCs w:val="13"/>
                <w:color w:val="auto"/>
              </w:rPr>
            </w:pPr>
          </w:p>
        </w:tc>
      </w:tr>
      <w:tr>
        <w:trPr>
          <w:trHeight w:val="133"/>
        </w:trPr>
        <w:tc>
          <w:tcPr>
            <w:tcW w:w="9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Warrants liability as of January 1, 2023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3,473</w:t>
            </w:r>
          </w:p>
        </w:tc>
      </w:tr>
      <w:tr>
        <w:trPr>
          <w:trHeight w:val="144"/>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warrants</w:t>
            </w:r>
          </w:p>
        </w:tc>
        <w:tc>
          <w:tcPr>
            <w:tcW w:w="16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(2,440)</w:t>
            </w:r>
          </w:p>
        </w:tc>
      </w:tr>
      <w:tr>
        <w:trPr>
          <w:trHeight w:val="20"/>
        </w:trPr>
        <w:tc>
          <w:tcPr>
            <w:tcW w:w="9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9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Warrants liability as of December 31, 2023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1,033</w:t>
            </w:r>
          </w:p>
        </w:tc>
      </w:tr>
      <w:tr>
        <w:trPr>
          <w:trHeight w:val="27"/>
        </w:trPr>
        <w:tc>
          <w:tcPr>
            <w:tcW w:w="97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9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20" w:type="dxa"/>
            <w:vAlign w:val="bottom"/>
          </w:tcPr>
          <w:p>
            <w:pPr>
              <w:spacing w:after="0"/>
              <w:rPr>
                <w:sz w:val="13"/>
                <w:szCs w:val="13"/>
                <w:color w:val="auto"/>
              </w:rPr>
            </w:pPr>
          </w:p>
        </w:tc>
      </w:tr>
      <w:tr>
        <w:trPr>
          <w:trHeight w:val="133"/>
        </w:trPr>
        <w:tc>
          <w:tcPr>
            <w:tcW w:w="9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Warrants liability as of January 1, 2024</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1,033</w:t>
            </w:r>
          </w:p>
        </w:tc>
      </w:tr>
      <w:tr>
        <w:trPr>
          <w:trHeight w:val="144"/>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warrants</w:t>
            </w:r>
          </w:p>
        </w:tc>
        <w:tc>
          <w:tcPr>
            <w:tcW w:w="22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(569)</w:t>
            </w:r>
          </w:p>
        </w:tc>
      </w:tr>
      <w:tr>
        <w:trPr>
          <w:trHeight w:val="20"/>
        </w:trPr>
        <w:tc>
          <w:tcPr>
            <w:tcW w:w="9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9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Warrants liability as of June 30, 2024</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464</w:t>
            </w:r>
          </w:p>
        </w:tc>
      </w:tr>
      <w:tr>
        <w:trPr>
          <w:trHeight w:val="27"/>
        </w:trPr>
        <w:tc>
          <w:tcPr>
            <w:tcW w:w="9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In August 2023, the FASB finalized ASU 2023-09, Income Taxes (Topic 740). This ASU provides for certain updates to enhance the transparency about companies’ exposure to changes in tax legislation and the global tax risk they may face. Under the guidance, companies will be required to provide a breakout of amounts paid for taxes between federal, state, and foreign taxing jurisdictions, rather than a lump sum amount. Further, the rate reconciliation will require disaggregation into eight specific categories, with these categories further disaggregated by jurisdiction and for amounts exceeding 5 percent of their domestic tax rate. The rate reconciliation will need to also disclose both dollar amounts and percentages. This standard is effective for fiscal years beginning after December 15, 2024.</w:t>
      </w:r>
    </w:p>
    <w:p>
      <w:pPr>
        <w:spacing w:after="0" w:line="12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2"/>
          <w:szCs w:val="12"/>
          <w:color w:val="auto"/>
        </w:rPr>
        <w:t>In November 2023, the FASB issued ASU 2023-07, Improvements to Reportable Segment Disclosures (“ASU 2023-07”), which requires a company to disclose additional, more detailed information about a reportable segment’s significant expenses, even if there is one reportable segment, and is intended to improve the disclosures about a public entity’s reportable segments. The ASU is effective for fiscal years beginning after December 15, 2023, and for interim periods beginning after December 15, 2024, with early adoption permitted. We are currently evaluating the impact of the adoption of ASU 2023-07 on our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19" w:right="299" w:bottom="1440" w:gutter="0" w:footer="0" w:header="0"/>
        </w:sectPr>
      </w:pPr>
    </w:p>
    <w:bookmarkStart w:id="17" w:name="page18"/>
    <w:bookmarkEnd w:id="17"/>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ACCOUNTS RECEIVABLE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Accounts receivable consisted of the following as of December 31, 2023 and June 30, 2024 (in thousands):</w:t>
      </w: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0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20" w:type="dxa"/>
            <w:vAlign w:val="bottom"/>
          </w:tcPr>
          <w:p>
            <w:pPr>
              <w:spacing w:after="0"/>
              <w:rPr>
                <w:sz w:val="13"/>
                <w:szCs w:val="13"/>
                <w:color w:val="auto"/>
              </w:rPr>
            </w:pPr>
          </w:p>
        </w:tc>
      </w:tr>
      <w:tr>
        <w:trPr>
          <w:trHeight w:val="133"/>
        </w:trPr>
        <w:tc>
          <w:tcPr>
            <w:tcW w:w="2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Trade accounts receivable</w:t>
            </w:r>
          </w:p>
        </w:tc>
        <w:tc>
          <w:tcPr>
            <w:tcW w:w="6160" w:type="dxa"/>
            <w:vAlign w:val="bottom"/>
            <w:gridSpan w:val="2"/>
            <w:shd w:val="clear" w:color="auto" w:fill="CCEEFF"/>
          </w:tcPr>
          <w:p>
            <w:pPr>
              <w:jc w:val="right"/>
              <w:ind w:right="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4,356</w:t>
            </w:r>
          </w:p>
        </w:tc>
        <w:tc>
          <w:tcPr>
            <w:tcW w:w="24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3,910</w:t>
            </w:r>
          </w:p>
        </w:tc>
      </w:tr>
      <w:tr>
        <w:trPr>
          <w:trHeight w:val="144"/>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(131)</w:t>
            </w:r>
          </w:p>
        </w:tc>
        <w:tc>
          <w:tcPr>
            <w:tcW w:w="24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(147)</w:t>
            </w:r>
          </w:p>
        </w:tc>
      </w:tr>
      <w:tr>
        <w:trPr>
          <w:trHeight w:val="20"/>
        </w:trPr>
        <w:tc>
          <w:tcPr>
            <w:tcW w:w="2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2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receivable-net</w:t>
            </w:r>
          </w:p>
        </w:tc>
        <w:tc>
          <w:tcPr>
            <w:tcW w:w="60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4,225</w:t>
            </w:r>
          </w:p>
        </w:tc>
        <w:tc>
          <w:tcPr>
            <w:tcW w:w="24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3,763</w:t>
            </w:r>
          </w:p>
        </w:tc>
      </w:tr>
      <w:tr>
        <w:trPr>
          <w:trHeight w:val="450"/>
        </w:trPr>
        <w:tc>
          <w:tcPr>
            <w:tcW w:w="2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4.  INVENTORY</w:t>
            </w:r>
          </w:p>
        </w:tc>
        <w:tc>
          <w:tcPr>
            <w:tcW w:w="60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88"/>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w w:val="99"/>
              </w:rPr>
              <w:t>Inventory consisted of the following as of</w:t>
            </w:r>
          </w:p>
        </w:tc>
        <w:tc>
          <w:tcPr>
            <w:tcW w:w="6160" w:type="dxa"/>
            <w:vAlign w:val="bottom"/>
            <w:gridSpan w:val="2"/>
          </w:tcPr>
          <w:p>
            <w:pPr>
              <w:jc w:val="right"/>
              <w:ind w:right="3486"/>
              <w:spacing w:after="0"/>
              <w:rPr>
                <w:sz w:val="20"/>
                <w:szCs w:val="20"/>
                <w:color w:val="auto"/>
              </w:rPr>
            </w:pPr>
            <w:r>
              <w:rPr>
                <w:rFonts w:ascii="Times New Roman" w:cs="Times New Roman" w:eastAsia="Times New Roman" w:hAnsi="Times New Roman"/>
                <w:sz w:val="12"/>
                <w:szCs w:val="12"/>
                <w:color w:val="auto"/>
              </w:rPr>
              <w:t>December 31, 2023 and June 30, 2024 (in thousands):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0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20" w:type="dxa"/>
            <w:vAlign w:val="bottom"/>
          </w:tcPr>
          <w:p>
            <w:pPr>
              <w:spacing w:after="0"/>
              <w:rPr>
                <w:sz w:val="24"/>
                <w:szCs w:val="24"/>
                <w:color w:val="auto"/>
              </w:rPr>
            </w:pPr>
          </w:p>
        </w:tc>
      </w:tr>
      <w:tr>
        <w:trPr>
          <w:trHeight w:val="133"/>
        </w:trPr>
        <w:tc>
          <w:tcPr>
            <w:tcW w:w="2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Inventory on-hand</w:t>
            </w:r>
          </w:p>
        </w:tc>
        <w:tc>
          <w:tcPr>
            <w:tcW w:w="6160" w:type="dxa"/>
            <w:vAlign w:val="bottom"/>
            <w:gridSpan w:val="2"/>
            <w:shd w:val="clear" w:color="auto" w:fill="CCEEFF"/>
          </w:tcPr>
          <w:p>
            <w:pPr>
              <w:jc w:val="right"/>
              <w:ind w:right="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18,980</w:t>
            </w:r>
          </w:p>
        </w:tc>
        <w:tc>
          <w:tcPr>
            <w:tcW w:w="24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13,726</w:t>
            </w:r>
          </w:p>
        </w:tc>
      </w:tr>
      <w:tr>
        <w:trPr>
          <w:trHeight w:val="144"/>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Inventory in-transit</w:t>
            </w:r>
          </w:p>
        </w:tc>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1,410</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4,652</w:t>
            </w:r>
          </w:p>
        </w:tc>
      </w:tr>
      <w:tr>
        <w:trPr>
          <w:trHeight w:val="20"/>
        </w:trPr>
        <w:tc>
          <w:tcPr>
            <w:tcW w:w="2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2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Inventory</w:t>
            </w:r>
          </w:p>
        </w:tc>
        <w:tc>
          <w:tcPr>
            <w:tcW w:w="60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20,390</w:t>
            </w:r>
          </w:p>
        </w:tc>
        <w:tc>
          <w:tcPr>
            <w:tcW w:w="24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18,378</w:t>
            </w:r>
          </w:p>
        </w:tc>
      </w:tr>
      <w:tr>
        <w:trPr>
          <w:trHeight w:val="27"/>
        </w:trPr>
        <w:tc>
          <w:tcPr>
            <w:tcW w:w="2020" w:type="dxa"/>
            <w:vAlign w:val="bottom"/>
            <w:shd w:val="clear" w:color="auto" w:fill="CCEEFF"/>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Company’s inventory on-hand is held either with Amazon or the Company’s other third-party warehouses. The Company does not have any contractual right of returns with its contract manufacturers. The Company’s inventory on-hand held by Amazon was approximately $5.0 million and $4.0 million as of December 31, 2023 and June 30, 2024, respectively.</w:t>
      </w:r>
    </w:p>
    <w:p>
      <w:pPr>
        <w:spacing w:after="0" w:line="26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  PREPAID EXPENSES AND OTHER CURRENT ASSETS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Prepaid and other current assets consisted of the following as of December 31, 2023 and June 30, 2024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20" w:type="dxa"/>
            <w:vAlign w:val="bottom"/>
          </w:tcPr>
          <w:p>
            <w:pPr>
              <w:spacing w:after="0"/>
              <w:rPr>
                <w:sz w:val="24"/>
                <w:szCs w:val="24"/>
                <w:color w:val="auto"/>
              </w:rPr>
            </w:pPr>
          </w:p>
        </w:tc>
      </w:tr>
      <w:tr>
        <w:trPr>
          <w:trHeight w:val="133"/>
        </w:trPr>
        <w:tc>
          <w:tcPr>
            <w:tcW w:w="8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Prepaid inventory</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619</w:t>
            </w:r>
          </w:p>
        </w:tc>
        <w:tc>
          <w:tcPr>
            <w:tcW w:w="24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919</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2,043</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2,027</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insurance</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1,355</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1,245</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Prepaid freight forwarder</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540</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881</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989</w:t>
            </w:r>
          </w:p>
        </w:tc>
      </w:tr>
      <w:tr>
        <w:trPr>
          <w:trHeight w:val="20"/>
        </w:trPr>
        <w:tc>
          <w:tcPr>
            <w:tcW w:w="8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0"/>
        </w:trPr>
        <w:tc>
          <w:tcPr>
            <w:tcW w:w="80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4,998</w:t>
            </w:r>
          </w:p>
        </w:tc>
        <w:tc>
          <w:tcPr>
            <w:tcW w:w="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5,720</w:t>
            </w:r>
          </w:p>
        </w:tc>
      </w:tr>
      <w:tr>
        <w:trPr>
          <w:trHeight w:val="306"/>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  ACCRUED AND OTHER CURRENT LIABILITIES</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 consisted of the following as of December 31, 2023 and June 30, 2024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20" w:type="dxa"/>
            <w:vAlign w:val="bottom"/>
          </w:tcPr>
          <w:p>
            <w:pPr>
              <w:spacing w:after="0"/>
              <w:rPr>
                <w:sz w:val="24"/>
                <w:szCs w:val="24"/>
                <w:color w:val="auto"/>
              </w:rPr>
            </w:pPr>
          </w:p>
        </w:tc>
      </w:tr>
      <w:tr>
        <w:trPr>
          <w:trHeight w:val="133"/>
        </w:trPr>
        <w:tc>
          <w:tcPr>
            <w:tcW w:w="8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Accrued compensation costs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140</w:t>
            </w:r>
          </w:p>
        </w:tc>
        <w:tc>
          <w:tcPr>
            <w:tcW w:w="24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1,234</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Accrued professional fees and consultants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310</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logistics costs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149</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197</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Product related accruals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644</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413</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tax payable</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1,019</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1,077</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Sales return reserve</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233</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320</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fulfillment expense</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821</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933</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Accrued insurance</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187</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692</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Federal payroll taxes payable</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1,243</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1,063</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Accrued interest payable</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146</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1,033</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464</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All other accruals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3,185</w:t>
            </w:r>
          </w:p>
        </w:tc>
        <w:tc>
          <w:tcPr>
            <w:tcW w:w="2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3,072</w:t>
            </w:r>
          </w:p>
        </w:tc>
      </w:tr>
      <w:tr>
        <w:trPr>
          <w:trHeight w:val="20"/>
        </w:trPr>
        <w:tc>
          <w:tcPr>
            <w:tcW w:w="8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8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Accrued and current liabilities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9,110</w:t>
            </w:r>
          </w:p>
        </w:tc>
        <w:tc>
          <w:tcPr>
            <w:tcW w:w="240" w:type="dxa"/>
            <w:vAlign w:val="bottom"/>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9,610</w:t>
            </w:r>
          </w:p>
        </w:tc>
      </w:tr>
      <w:tr>
        <w:trPr>
          <w:trHeight w:val="27"/>
        </w:trPr>
        <w:tc>
          <w:tcPr>
            <w:tcW w:w="80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 sponsors, through its professional employer organization provider, a 401(k) defined contribution plan covering all eligible US employees. Contributions to the 401(k) plan are discretionary. Currently, the Company does not match or make any contributions to the 401(k) plan.</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20" w:right="8160" w:hanging="8"/>
        <w:spacing w:after="0" w:line="504" w:lineRule="auto"/>
        <w:tabs>
          <w:tab w:leader="none" w:pos="236"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CREDIT FACILITY, TERM LOANS AND WARRANTS MidCap Credit Facility</w:t>
      </w:r>
    </w:p>
    <w:p>
      <w:pPr>
        <w:jc w:val="both"/>
        <w:ind w:left="20"/>
        <w:spacing w:after="0" w:line="260" w:lineRule="auto"/>
        <w:rPr>
          <w:sz w:val="20"/>
          <w:szCs w:val="20"/>
          <w:color w:val="auto"/>
        </w:rPr>
      </w:pPr>
      <w:r>
        <w:rPr>
          <w:rFonts w:ascii="Times New Roman" w:cs="Times New Roman" w:eastAsia="Times New Roman" w:hAnsi="Times New Roman"/>
          <w:sz w:val="12"/>
          <w:szCs w:val="12"/>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spacing w:after="0" w:line="122"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1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The Credit Agreement minimum liquidity covenant, which includes the Company’s unrestricted U.S. cash plus the revolving loan availability,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w:t>
      </w:r>
    </w:p>
    <w:p>
      <w:pPr>
        <w:spacing w:after="0" w:line="11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spacing w:after="0" w:line="1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The Company is in compliance with the financial covenants contained within the Credit Agreement as of</w:t>
            </w:r>
          </w:p>
        </w:tc>
        <w:tc>
          <w:tcPr>
            <w:tcW w:w="176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color w:val="auto"/>
              </w:rPr>
              <w:t>June 30, 2024.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Company’s credit facility consisted of the following as of December 31, 2023 and June 30, 2024 (in thousands):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20" w:type="dxa"/>
            <w:vAlign w:val="bottom"/>
          </w:tcPr>
          <w:p>
            <w:pPr>
              <w:spacing w:after="0"/>
              <w:rPr>
                <w:sz w:val="11"/>
                <w:szCs w:val="11"/>
                <w:color w:val="auto"/>
              </w:rPr>
            </w:pPr>
          </w:p>
        </w:tc>
        <w:tc>
          <w:tcPr>
            <w:tcW w:w="5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MidCap Credit Facility</w:t>
            </w:r>
          </w:p>
        </w:tc>
        <w:tc>
          <w:tcPr>
            <w:tcW w:w="9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11,515</w:t>
            </w:r>
          </w:p>
        </w:tc>
        <w:tc>
          <w:tcPr>
            <w:tcW w:w="280" w:type="dxa"/>
            <w:vAlign w:val="bottom"/>
            <w:gridSpan w:val="2"/>
            <w:shd w:val="clear" w:color="auto" w:fill="CCEEFF"/>
          </w:tcPr>
          <w:p>
            <w:pPr>
              <w:jc w:val="center"/>
              <w:ind w:lef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9,970</w:t>
            </w:r>
          </w:p>
        </w:tc>
      </w:tr>
      <w:tr>
        <w:trPr>
          <w:trHeight w:val="144"/>
        </w:trPr>
        <w:tc>
          <w:tcPr>
            <w:tcW w:w="2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Less: deferred debt issuance costs</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(240)</w:t>
            </w:r>
          </w:p>
        </w:tc>
      </w:tr>
      <w:tr>
        <w:trPr>
          <w:trHeight w:val="144"/>
        </w:trPr>
        <w:tc>
          <w:tcPr>
            <w:tcW w:w="2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discount associated with issuance of warrants</w:t>
            </w:r>
          </w:p>
        </w:tc>
        <w:tc>
          <w:tcPr>
            <w:tcW w:w="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(140)</w:t>
            </w: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MidCap Credit Facility</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11,098</w:t>
            </w:r>
          </w:p>
        </w:tc>
        <w:tc>
          <w:tcPr>
            <w:tcW w:w="280" w:type="dxa"/>
            <w:vAlign w:val="bottom"/>
            <w:gridSpan w:val="2"/>
          </w:tcPr>
          <w:p>
            <w:pPr>
              <w:jc w:val="center"/>
              <w:ind w:lef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9,590</w:t>
            </w:r>
          </w:p>
        </w:tc>
      </w:tr>
      <w:tr>
        <w:trPr>
          <w:trHeight w:val="288"/>
        </w:trPr>
        <w:tc>
          <w:tcPr>
            <w:tcW w:w="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Interest Expense, Net</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Interest expense, net consisted of the following for the three and six months ended June 30, 2023 and 2024 (in thousands):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Borders>
              <w:bottom w:val="single" w:sz="8" w:color="auto"/>
            </w:tcBorders>
            <w:gridSpan w:val="5"/>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Borders>
              <w:bottom w:val="single" w:sz="8" w:color="auto"/>
            </w:tcBorders>
            <w:gridSpan w:val="5"/>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bottom w:val="single" w:sz="8" w:color="auto"/>
            </w:tcBorders>
            <w:gridSpan w:val="2"/>
          </w:tcPr>
          <w:p>
            <w:pPr>
              <w:jc w:val="right"/>
              <w:ind w:right="66"/>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ind w:right="10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bottom w:val="single" w:sz="8" w:color="auto"/>
            </w:tcBorders>
          </w:tcPr>
          <w:p>
            <w:pPr>
              <w:jc w:val="right"/>
              <w:ind w:right="6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5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w:t>
            </w:r>
          </w:p>
        </w:tc>
        <w:tc>
          <w:tcPr>
            <w:tcW w:w="1760" w:type="dxa"/>
            <w:vAlign w:val="bottom"/>
            <w:gridSpan w:val="2"/>
            <w:shd w:val="clear" w:color="auto" w:fill="CCEEFF"/>
          </w:tcPr>
          <w:p>
            <w:pPr>
              <w:jc w:val="right"/>
              <w:ind w:right="6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540</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296</w:t>
            </w:r>
          </w:p>
        </w:tc>
        <w:tc>
          <w:tcPr>
            <w:tcW w:w="840" w:type="dxa"/>
            <w:vAlign w:val="bottom"/>
            <w:tcBorders>
              <w:right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6"/>
              </w:rPr>
              <w:t>1,136</w:t>
            </w: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689</w:t>
            </w:r>
          </w:p>
        </w:tc>
      </w:tr>
      <w:tr>
        <w:trPr>
          <w:trHeight w:val="144"/>
        </w:trPr>
        <w:tc>
          <w:tcPr>
            <w:tcW w:w="2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(194)</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(68)</w:t>
            </w:r>
          </w:p>
        </w:tc>
        <w:tc>
          <w:tcPr>
            <w:tcW w:w="840" w:type="dxa"/>
            <w:vAlign w:val="bottom"/>
          </w:tcPr>
          <w:p>
            <w:pPr>
              <w:spacing w:after="0"/>
              <w:rPr>
                <w:sz w:val="12"/>
                <w:szCs w:val="12"/>
                <w:color w:val="auto"/>
              </w:rPr>
            </w:pPr>
          </w:p>
        </w:tc>
        <w:tc>
          <w:tcPr>
            <w:tcW w:w="5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(419)</w:t>
            </w:r>
          </w:p>
        </w:tc>
        <w:tc>
          <w:tcPr>
            <w:tcW w:w="80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(137)</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interest expense, net</w:t>
            </w:r>
          </w:p>
        </w:tc>
        <w:tc>
          <w:tcPr>
            <w:tcW w:w="1760" w:type="dxa"/>
            <w:vAlign w:val="bottom"/>
            <w:gridSpan w:val="2"/>
            <w:shd w:val="clear" w:color="auto" w:fill="CCEEFF"/>
          </w:tcPr>
          <w:p>
            <w:pPr>
              <w:jc w:val="right"/>
              <w:ind w:right="6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346</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228</w:t>
            </w:r>
          </w:p>
        </w:tc>
        <w:tc>
          <w:tcPr>
            <w:tcW w:w="840" w:type="dxa"/>
            <w:vAlign w:val="bottom"/>
            <w:tcBorders>
              <w:right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3"/>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2"/>
                <w:szCs w:val="12"/>
                <w:color w:val="auto"/>
                <w:w w:val="99"/>
              </w:rPr>
              <w:t>717</w:t>
            </w: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552</w:t>
            </w:r>
          </w:p>
        </w:tc>
      </w:tr>
      <w:tr>
        <w:trPr>
          <w:trHeight w:val="27"/>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Securities Purchase Agreement and Warrants</w:t>
      </w:r>
    </w:p>
    <w:p>
      <w:pPr>
        <w:spacing w:after="0" w:line="15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2"/>
          <w:szCs w:val="12"/>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536,361 shares of the Company’s common stock (the “Shares”), and accompanying warrants to purchase an aggregate of 402,271 shares of common stock, and (ii) prefunded warrants to purchase up to an aggregate of 251,155 shares of common stock (the “Prefunded Warrants”) and accompanying warrants to purchase an aggregate of 188,366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$34.92, and each Prefunded Warrant and accompanying Common Stock Warrant were sold together at a combined price of $34.92, for gross proceeds of approximately $27.5 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spacing w:after="0" w:line="126" w:lineRule="exact"/>
        <w:rPr>
          <w:sz w:val="20"/>
          <w:szCs w:val="20"/>
          <w:color w:val="auto"/>
        </w:rPr>
      </w:pPr>
    </w:p>
    <w:p>
      <w:pPr>
        <w:jc w:val="both"/>
        <w:ind w:left="20" w:right="20"/>
        <w:spacing w:after="0" w:line="265" w:lineRule="auto"/>
        <w:rPr>
          <w:sz w:val="20"/>
          <w:szCs w:val="20"/>
          <w:color w:val="auto"/>
        </w:rPr>
      </w:pPr>
      <w:r>
        <w:rPr>
          <w:rFonts w:ascii="Times New Roman" w:cs="Times New Roman" w:eastAsia="Times New Roman" w:hAnsi="Times New Roman"/>
          <w:sz w:val="12"/>
          <w:szCs w:val="12"/>
          <w:color w:val="auto"/>
        </w:rPr>
        <w:t>Upon the issuance of the Prefunded Warrants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As of June 30, 2024, the Company has $0.5 million as the liability related to the Warrants.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220" w:hanging="208"/>
        <w:spacing w:after="0"/>
        <w:tabs>
          <w:tab w:leader="none" w:pos="220"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STOCK-BASED COMPENSATION</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Company has three equity plans: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2014 Amended and Restated Equity Incentive Plan</w:t>
      </w:r>
    </w:p>
    <w:p>
      <w:pPr>
        <w:spacing w:after="0" w:line="154"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June 30, 2024, there were no shares reserved for future issuance under the Aterian 2014 Plan.</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2018 Equity Incentive Plan</w:t>
      </w:r>
    </w:p>
    <w:p>
      <w:pPr>
        <w:spacing w:after="0" w:line="154" w:lineRule="exact"/>
        <w:rPr>
          <w:sz w:val="20"/>
          <w:szCs w:val="20"/>
          <w:color w:val="auto"/>
        </w:rPr>
      </w:pPr>
    </w:p>
    <w:p>
      <w:pPr>
        <w:jc w:val="both"/>
        <w:ind w:left="20" w:right="20"/>
        <w:spacing w:after="0" w:line="279" w:lineRule="auto"/>
        <w:rPr>
          <w:sz w:val="20"/>
          <w:szCs w:val="20"/>
          <w:color w:val="auto"/>
        </w:rPr>
      </w:pPr>
      <w:r>
        <w:rPr>
          <w:rFonts w:ascii="Times New Roman" w:cs="Times New Roman" w:eastAsia="Times New Roman" w:hAnsi="Times New Roman"/>
          <w:sz w:val="12"/>
          <w:szCs w:val="12"/>
          <w:color w:val="auto"/>
        </w:rPr>
        <w:t>The Company’s board of directors (the “Board”) adopted the Aterian, Inc. 2018 Equity Incentive Plan (the “2018 Plan”) on October 11, 2018. The 2018 Plan was approved by its stockholders on May 24, 2019. As of June 30, 2024, 614,733 shares were reserved for awards available for future issuance under the 2018 Plan.</w:t>
      </w:r>
    </w:p>
    <w:p>
      <w:pPr>
        <w:spacing w:after="0" w:line="111"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2"/>
          <w:szCs w:val="12"/>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Inducement Equity Incentive Plan</w:t>
      </w:r>
    </w:p>
    <w:p>
      <w:pPr>
        <w:spacing w:after="0" w:line="154"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11"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2"/>
          <w:szCs w:val="12"/>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June 30, 2024, 193,476 shares were reserved for future issuance under the Inducement Plan.</w:t>
      </w:r>
    </w:p>
    <w:p>
      <w:pPr>
        <w:spacing w:after="0" w:line="125"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Reverse Stock Split</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On March 20, 2024, the Company filed a Certificate of Amendment to its Amended and Restated Certificate of Incorporation of the Company with the Secretary of State of Delaware (the “Certificate of Amendment”) to affect a 1 - for- 12 reverse stock split (the “Reverse Stock Split”) of the shares of the Company’s common stock, par value $0.0001 per share (the “Common Stock”). The Certificate of Amendment did not decrease the number of authorized shares of Common Stock.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spacing w:after="0" w:line="12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reverse stock split is deemed an equity restructuring pursuant to ASC 718, Compensation - Stock Compensation. The Company's equity plans incorporate anti-dilutive provisions for existing equity awards, including restricted stock and stock options, to maintain the value of all awards post-reverse stock split. Consequently, there were no change in the fair value of the awards attributable to the reverse stock split, and no impact on stock-based compensation for the three and six months ending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Common Stock began trading on a Reverse Stock Split-adjusted basis on the Nasdaq on March 22, 2024. All share and per share data has been retroactively adjusted to reflect the Reverse Stock Split.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138"/>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3"/>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is a summary of stock option activity during the six months ended June 30, 2024:</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Options Outstanding</w:t>
            </w: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18"/>
        </w:trPr>
        <w:tc>
          <w:tcPr>
            <w:tcW w:w="84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6"/>
              </w:rPr>
              <w:t>Weighted- Average</w:t>
            </w:r>
          </w:p>
        </w:tc>
      </w:tr>
      <w:tr>
        <w:trPr>
          <w:trHeight w:val="144"/>
        </w:trPr>
        <w:tc>
          <w:tcPr>
            <w:tcW w:w="8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Remaining Contractual</w:t>
            </w:r>
          </w:p>
        </w:tc>
      </w:tr>
      <w:tr>
        <w:trPr>
          <w:trHeight w:val="159"/>
        </w:trPr>
        <w:tc>
          <w:tcPr>
            <w:tcW w:w="8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Number of Options (*)</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24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Life (years)</w:t>
            </w:r>
          </w:p>
        </w:tc>
        <w:tc>
          <w:tcPr>
            <w:tcW w:w="140" w:type="dxa"/>
            <w:vAlign w:val="bottom"/>
          </w:tcPr>
          <w:p>
            <w:pPr>
              <w:spacing w:after="0"/>
              <w:rPr>
                <w:sz w:val="13"/>
                <w:szCs w:val="13"/>
                <w:color w:val="auto"/>
              </w:rPr>
            </w:pPr>
          </w:p>
        </w:tc>
      </w:tr>
      <w:tr>
        <w:trPr>
          <w:trHeight w:val="133"/>
        </w:trPr>
        <w:tc>
          <w:tcPr>
            <w:tcW w:w="68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Balance—January 1, 2024</w:t>
            </w:r>
          </w:p>
        </w:tc>
        <w:tc>
          <w:tcPr>
            <w:tcW w:w="15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16,365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110.51</w:t>
            </w:r>
          </w:p>
        </w:tc>
        <w:tc>
          <w:tcPr>
            <w:tcW w:w="14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5.00</w:t>
            </w:r>
          </w:p>
        </w:tc>
      </w:tr>
      <w:tr>
        <w:trPr>
          <w:trHeight w:val="14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granted</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exercised</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canceled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(1,068)</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108.50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82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Balance—June 30, 2024</w:t>
            </w:r>
          </w:p>
        </w:tc>
        <w:tc>
          <w:tcPr>
            <w:tcW w:w="1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15,297</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CCEEFF"/>
            </w:tcBorders>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110.65</w:t>
            </w:r>
          </w:p>
        </w:tc>
        <w:tc>
          <w:tcPr>
            <w:tcW w:w="1440" w:type="dxa"/>
            <w:vAlign w:val="bottom"/>
            <w:tcBorders>
              <w:bottom w:val="single" w:sz="8" w:color="CCEEFF"/>
            </w:tcBorders>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3.88</w:t>
            </w:r>
          </w:p>
        </w:tc>
      </w:tr>
      <w:tr>
        <w:trPr>
          <w:trHeight w:val="151"/>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Exercisable as of June 30, 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15,297</w:t>
            </w:r>
          </w:p>
        </w:tc>
        <w:tc>
          <w:tcPr>
            <w:tcW w:w="2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110.65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3.88</w:t>
            </w:r>
          </w:p>
        </w:tc>
      </w:tr>
      <w:tr>
        <w:trPr>
          <w:trHeight w:val="151"/>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and expected to vest as of June 30,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15,297</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110.65</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3.88</w:t>
            </w:r>
          </w:p>
        </w:tc>
      </w:tr>
    </w:tbl>
    <w:p>
      <w:pPr>
        <w:spacing w:after="0" w:line="133" w:lineRule="exact"/>
        <w:rPr>
          <w:sz w:val="20"/>
          <w:szCs w:val="20"/>
          <w:color w:val="auto"/>
        </w:rPr>
      </w:pPr>
    </w:p>
    <w:p>
      <w:pPr>
        <w:ind w:left="8" w:right="2400" w:hanging="8"/>
        <w:spacing w:after="0" w:line="500" w:lineRule="auto"/>
        <w:tabs>
          <w:tab w:leader="none" w:pos="17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options and exercise price per share have been retroactively restated to reflect the one for twelve (1 for 12) reverse stock split, which was effective on March 22, 2024. As of June 30, 2024, all options have been fully expensed.</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summary of restricted stock award activity within the Company’s equity plans and changes for the six months ended June 30, 2024 is as follows: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Weighted Average Grant-</w:t>
            </w:r>
          </w:p>
        </w:tc>
      </w:tr>
      <w:tr>
        <w:trPr>
          <w:trHeight w:val="159"/>
        </w:trPr>
        <w:tc>
          <w:tcPr>
            <w:tcW w:w="792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2"/>
                <w:szCs w:val="12"/>
                <w:b w:val="1"/>
                <w:bCs w:val="1"/>
                <w:color w:val="auto"/>
              </w:rPr>
              <w:t>Restricted Stock Awards</w:t>
            </w:r>
          </w:p>
        </w:tc>
        <w:tc>
          <w:tcPr>
            <w:tcW w:w="100" w:type="dxa"/>
            <w:vAlign w:val="bottom"/>
          </w:tcPr>
          <w:p>
            <w:pPr>
              <w:spacing w:after="0"/>
              <w:rPr>
                <w:sz w:val="13"/>
                <w:szCs w:val="13"/>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Shares (*)</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Fair Value</w:t>
            </w:r>
          </w:p>
        </w:tc>
        <w:tc>
          <w:tcPr>
            <w:tcW w:w="120" w:type="dxa"/>
            <w:vAlign w:val="bottom"/>
          </w:tcPr>
          <w:p>
            <w:pPr>
              <w:spacing w:after="0"/>
              <w:rPr>
                <w:sz w:val="13"/>
                <w:szCs w:val="13"/>
                <w:color w:val="auto"/>
              </w:rPr>
            </w:pPr>
          </w:p>
        </w:tc>
      </w:tr>
      <w:tr>
        <w:trPr>
          <w:trHeight w:val="133"/>
        </w:trPr>
        <w:tc>
          <w:tcPr>
            <w:tcW w:w="7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Nonvested at January 1, 2024</w:t>
            </w:r>
          </w:p>
        </w:tc>
        <w:tc>
          <w:tcPr>
            <w:tcW w:w="180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840,815</w:t>
            </w:r>
          </w:p>
        </w:tc>
        <w:tc>
          <w:tcPr>
            <w:tcW w:w="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9.73</w:t>
            </w:r>
          </w:p>
        </w:tc>
      </w:tr>
      <w:tr>
        <w:trPr>
          <w:trHeight w:val="144"/>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1,209,649</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2.40</w:t>
            </w:r>
          </w:p>
        </w:tc>
      </w:tr>
      <w:tr>
        <w:trPr>
          <w:trHeight w:val="14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1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(294,641)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10.09</w:t>
            </w:r>
          </w:p>
        </w:tc>
      </w:tr>
      <w:tr>
        <w:trPr>
          <w:trHeight w:val="144"/>
        </w:trPr>
        <w:tc>
          <w:tcPr>
            <w:tcW w:w="792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00" w:type="dxa"/>
            <w:vAlign w:val="bottom"/>
          </w:tcPr>
          <w:p>
            <w:pPr>
              <w:spacing w:after="0"/>
              <w:rPr>
                <w:sz w:val="12"/>
                <w:szCs w:val="1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(309,516)</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4.72</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Nonvested at June 30, 2024</w:t>
            </w:r>
          </w:p>
        </w:tc>
        <w:tc>
          <w:tcPr>
            <w:tcW w:w="10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1,446,307</w:t>
            </w:r>
          </w:p>
        </w:tc>
        <w:tc>
          <w:tcPr>
            <w:tcW w:w="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4.60</w:t>
            </w:r>
          </w:p>
        </w:tc>
      </w:tr>
      <w:tr>
        <w:trPr>
          <w:trHeight w:val="27"/>
        </w:trPr>
        <w:tc>
          <w:tcPr>
            <w:tcW w:w="7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The number of shares and grant date fair value per share have been retroactively restated to reflect the one for twelve (1 for 12) reverse stock split, which was effective on March 22, 2024.</w:t>
      </w:r>
    </w:p>
    <w:p>
      <w:pPr>
        <w:spacing w:after="0" w:line="150"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As of June 30, 2024, the total unrecognized compensation expense related to unvested shares of restricted common stock was $5.8 million, which the Company expects to recognize over an estimated weighted-average period of 2.5 years.</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Stock-based compensation expense is allocated based on the cost center to which the award holder belongs. The following table summarizes the total stock-based compensation expense by function, including expense related to consultants, for the three and six months ended June 30, 2023 and 2024 (in thousands):</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140" w:type="dxa"/>
            <w:vAlign w:val="bottom"/>
            <w:gridSpan w:val="4"/>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33"/>
        </w:trPr>
        <w:tc>
          <w:tcPr>
            <w:tcW w:w="3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4"/>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6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r>
      <w:tr>
        <w:trPr>
          <w:trHeight w:val="133"/>
        </w:trPr>
        <w:tc>
          <w:tcPr>
            <w:tcW w:w="37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(in</w:t>
            </w:r>
          </w:p>
        </w:tc>
        <w:tc>
          <w:tcPr>
            <w:tcW w:w="1000" w:type="dxa"/>
            <w:vAlign w:val="bottom"/>
            <w:gridSpan w:val="2"/>
          </w:tcPr>
          <w:p>
            <w:pPr>
              <w:jc w:val="right"/>
              <w:ind w:right="484"/>
              <w:spacing w:after="0" w:line="133" w:lineRule="exact"/>
              <w:rPr>
                <w:sz w:val="20"/>
                <w:szCs w:val="20"/>
                <w:color w:val="auto"/>
              </w:rPr>
            </w:pPr>
            <w:r>
              <w:rPr>
                <w:rFonts w:ascii="Times New Roman" w:cs="Times New Roman" w:eastAsia="Times New Roman" w:hAnsi="Times New Roman"/>
                <w:sz w:val="12"/>
                <w:szCs w:val="12"/>
                <w:color w:val="auto"/>
                <w:w w:val="84"/>
              </w:rPr>
              <w:t>thousands)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(in</w:t>
            </w:r>
          </w:p>
        </w:tc>
        <w:tc>
          <w:tcPr>
            <w:tcW w:w="560" w:type="dxa"/>
            <w:vAlign w:val="bottom"/>
            <w:gridSpan w:val="2"/>
          </w:tcPr>
          <w:p>
            <w:pPr>
              <w:jc w:val="right"/>
              <w:ind w:right="46"/>
              <w:spacing w:after="0" w:line="133" w:lineRule="exact"/>
              <w:rPr>
                <w:sz w:val="20"/>
                <w:szCs w:val="20"/>
                <w:color w:val="auto"/>
              </w:rPr>
            </w:pPr>
            <w:r>
              <w:rPr>
                <w:rFonts w:ascii="Times New Roman" w:cs="Times New Roman" w:eastAsia="Times New Roman" w:hAnsi="Times New Roman"/>
                <w:sz w:val="12"/>
                <w:szCs w:val="12"/>
                <w:color w:val="auto"/>
                <w:w w:val="84"/>
              </w:rPr>
              <w:t>thousands)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distribution expenses</w:t>
            </w:r>
          </w:p>
        </w:tc>
        <w:tc>
          <w:tcPr>
            <w:tcW w:w="3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1,091</w:t>
            </w:r>
          </w:p>
        </w:tc>
        <w:tc>
          <w:tcPr>
            <w:tcW w:w="76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946</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1,761</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1,245</w:t>
            </w:r>
          </w:p>
        </w:tc>
      </w:tr>
      <w:tr>
        <w:trPr>
          <w:trHeight w:val="144"/>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423</w:t>
            </w:r>
          </w:p>
        </w:tc>
        <w:tc>
          <w:tcPr>
            <w:tcW w:w="76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857</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1,975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2,921</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3,343</w:t>
            </w:r>
          </w:p>
        </w:tc>
      </w:tr>
      <w:tr>
        <w:trPr>
          <w:trHeight w:val="20"/>
        </w:trPr>
        <w:tc>
          <w:tcPr>
            <w:tcW w:w="37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0"/>
        </w:trPr>
        <w:tc>
          <w:tcPr>
            <w:tcW w:w="37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3020" w:type="dxa"/>
            <w:vAlign w:val="bottom"/>
            <w:gridSpan w:val="2"/>
          </w:tcPr>
          <w:p>
            <w:pPr>
              <w:jc w:val="right"/>
              <w:ind w:right="6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3,223</w:t>
            </w:r>
          </w:p>
        </w:tc>
        <w:tc>
          <w:tcPr>
            <w:tcW w:w="760" w:type="dxa"/>
            <w:vAlign w:val="bottom"/>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2,921</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5,539</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4,588</w:t>
            </w:r>
          </w:p>
        </w:tc>
      </w:tr>
      <w:tr>
        <w:trPr>
          <w:trHeight w:val="288"/>
        </w:trPr>
        <w:tc>
          <w:tcPr>
            <w:tcW w:w="3760" w:type="dxa"/>
            <w:vAlign w:val="bottom"/>
          </w:tcPr>
          <w:p>
            <w:pPr>
              <w:spacing w:after="0"/>
              <w:rPr>
                <w:sz w:val="24"/>
                <w:szCs w:val="24"/>
                <w:color w:val="auto"/>
              </w:rPr>
            </w:pPr>
          </w:p>
        </w:tc>
        <w:tc>
          <w:tcPr>
            <w:tcW w:w="22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20</w:t>
            </w:r>
          </w:p>
        </w:tc>
        <w:tc>
          <w:tcPr>
            <w:tcW w:w="7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37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8"/>
          </w:cols>
          <w:pgMar w:left="292" w:top="119" w:right="29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NET LOSS PER SHARE</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1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net loss per share (in thousands, except share and per share data):</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60" w:type="dxa"/>
            <w:vAlign w:val="bottom"/>
          </w:tcPr>
          <w:p>
            <w:pPr>
              <w:spacing w:after="0"/>
              <w:rPr>
                <w:sz w:val="13"/>
                <w:szCs w:val="13"/>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33"/>
        </w:trPr>
        <w:tc>
          <w:tcPr>
            <w:tcW w:w="600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0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(34,787)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(3,629)</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(60,587)</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(8,791)</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number of shares used in computing net loss per share, basic and diluted (*)</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6,483,931</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6,973,218</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6,439,658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6,881,648</w:t>
            </w:r>
          </w:p>
        </w:tc>
      </w:tr>
      <w:tr>
        <w:trPr>
          <w:trHeight w:val="151"/>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basic and diluted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9"/>
                <w:szCs w:val="9"/>
                <w:color w:val="auto"/>
              </w:rPr>
              <w:t>(5.37</w:t>
            </w:r>
            <w:r>
              <w:rPr>
                <w:rFonts w:ascii="Times New Roman" w:cs="Times New Roman" w:eastAsia="Times New Roman" w:hAnsi="Times New Roman"/>
                <w:sz w:val="16"/>
                <w:szCs w:val="16"/>
                <w:color w:val="auto"/>
                <w:vertAlign w:val="subscript"/>
              </w:rPr>
              <w: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9"/>
                <w:szCs w:val="9"/>
                <w:color w:val="auto"/>
              </w:rPr>
              <w:t>(0.52</w:t>
            </w:r>
            <w:r>
              <w:rPr>
                <w:rFonts w:ascii="Times New Roman" w:cs="Times New Roman" w:eastAsia="Times New Roman" w:hAnsi="Times New Roman"/>
                <w:sz w:val="16"/>
                <w:szCs w:val="16"/>
                <w:color w:val="auto"/>
                <w:vertAlign w:val="subscript"/>
              </w:rPr>
              <w: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9"/>
                <w:szCs w:val="9"/>
                <w:color w:val="auto"/>
              </w:rPr>
              <w:t>(9.41</w:t>
            </w:r>
            <w:r>
              <w:rPr>
                <w:rFonts w:ascii="Times New Roman" w:cs="Times New Roman" w:eastAsia="Times New Roman" w:hAnsi="Times New Roman"/>
                <w:sz w:val="16"/>
                <w:szCs w:val="16"/>
                <w:color w:val="auto"/>
                <w:vertAlign w:val="subscript"/>
              </w:rPr>
              <w: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9"/>
                <w:szCs w:val="9"/>
                <w:color w:val="auto"/>
              </w:rPr>
              <w:t>(1.28</w:t>
            </w:r>
            <w:r>
              <w:rPr>
                <w:rFonts w:ascii="Times New Roman" w:cs="Times New Roman" w:eastAsia="Times New Roman" w:hAnsi="Times New Roman"/>
                <w:sz w:val="16"/>
                <w:szCs w:val="16"/>
                <w:color w:val="auto"/>
                <w:vertAlign w:val="subscript"/>
              </w:rPr>
              <w:t>)</w:t>
            </w:r>
          </w:p>
        </w:tc>
      </w:tr>
      <w:tr>
        <w:trPr>
          <w:trHeight w:val="144"/>
        </w:trPr>
        <w:tc>
          <w:tcPr>
            <w:tcW w:w="60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Anti-dilutive shares excluded from computation of net loss per share (in shares)(*)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1,925,388</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2,350,812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1,946,983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2,047,993</w:t>
            </w: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The number of shares and per share amounts have been retroactively restated to reflect the one for twelve (1 for 12) reverse stock split, which was effective on March 22, 2024.</w:t>
      </w: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10. COMMITMENTS AND CONTINGENCIES</w:t>
      </w:r>
    </w:p>
    <w:p>
      <w:pPr>
        <w:spacing w:after="0" w:line="150"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2"/>
          <w:szCs w:val="12"/>
          <w:b w:val="1"/>
          <w:bCs w:val="1"/>
          <w:color w:val="auto"/>
        </w:rPr>
        <w:t>Sales or Other Similar Taxes</w:t>
      </w:r>
      <w:r>
        <w:rPr>
          <w:rFonts w:ascii="Times New Roman" w:cs="Times New Roman" w:eastAsia="Times New Roman" w:hAnsi="Times New Roman"/>
          <w:sz w:val="12"/>
          <w:szCs w:val="12"/>
          <w:color w:val="auto"/>
        </w:rPr>
        <w:t>—Based on the location of the Company’s current operations, the majority of sales tax is collected and remitted either by the Company or on its behalf by e-commerce marketplaces in most states within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2023 and June 30, 2024, the Company estimates that the potential liability, including current sales tax payable is approximately $1.0 million and $1.1 million, which has been recorded in accrued and other current liabilities on the Condensed Consolidated Balance Sheet.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19"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2"/>
          <w:szCs w:val="12"/>
          <w:b w:val="1"/>
          <w:bCs w:val="1"/>
          <w:color w:val="auto"/>
        </w:rPr>
        <w:t>Legal Proceedings</w:t>
      </w:r>
      <w:r>
        <w:rPr>
          <w:rFonts w:ascii="Times New Roman" w:cs="Times New Roman" w:eastAsia="Times New Roman" w:hAnsi="Times New Roman"/>
          <w:sz w:val="12"/>
          <w:szCs w:val="12"/>
          <w:color w:val="auto"/>
        </w:rPr>
        <w:t>—The Company is party to various actions and claims arising in the normal course of business. The Company does not believe that the final outcome of these matters will have a material adverse effect 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1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b w:val="1"/>
          <w:bCs w:val="1"/>
          <w:color w:val="auto"/>
        </w:rPr>
        <w:t>Settlement Agreement</w:t>
      </w:r>
      <w:r>
        <w:rPr>
          <w:rFonts w:ascii="Times New Roman" w:cs="Times New Roman" w:eastAsia="Times New Roman" w:hAnsi="Times New Roman"/>
          <w:sz w:val="12"/>
          <w:szCs w:val="12"/>
          <w:color w:val="auto"/>
        </w:rPr>
        <w:t>—On May 2, 2021, the Company entered into a settlement agreement with one of the Company’s suppliers who agreed to pay the amount of $3.0 million to the Company in three installments of $1.0 million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Condensed Consolidated Financial Statements, the supplier has not paid in full its required first payment of $1.0 million nor has it delivered the required quantity of goods. The Company fully reserved $4.1 million within prepaid and other current assets on its Consolidated Financial Statements during the year-ended December 31, 2022 and December 31, 2023. The Company has commenced legal action against the supplier and certain other parties to the matter. One of the parties to the matter has filed for bankruptcy and such legal action is being stayed until the resolution of such bankruptcy. The Company continues to reserve its legal options and rights on this matter as of June 30, 2024.</w:t>
      </w:r>
    </w:p>
    <w:p>
      <w:pPr>
        <w:spacing w:after="0" w:line="121"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b w:val="1"/>
          <w:bCs w:val="1"/>
          <w:color w:val="auto"/>
        </w:rPr>
        <w:t>Mueller Action</w:t>
      </w:r>
      <w:r>
        <w:rPr>
          <w:rFonts w:ascii="Times New Roman" w:cs="Times New Roman" w:eastAsia="Times New Roman" w:hAnsi="Times New Roman"/>
          <w:sz w:val="12"/>
          <w:szCs w:val="12"/>
          <w:color w:val="auto"/>
        </w:rPr>
        <w:t>—In October 2021, the Company received a class action notification and pre-lawsuit demand letter demanding corrective action with respect to the marketing, advertising and labeling of certain products under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Mueller brand (the “Mueller Action”). In April 2022, the parties reached an agreement in principle to resolve this potential action for $0.5 million in cash and $0.3 million worth of coupons, which the Company accrued $0.8 million in the three months ended March 31, 2022, subject to court approval. The court preliminarily approved the settlement on August 3, 2023 and final approval was granted May 8, 2024.</w:t>
      </w:r>
    </w:p>
    <w:p>
      <w:pPr>
        <w:spacing w:after="0" w:line="114"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b w:val="1"/>
          <w:bCs w:val="1"/>
          <w:color w:val="auto"/>
        </w:rPr>
        <w:t>Earn-out Payment Dispute</w:t>
      </w:r>
      <w:r>
        <w:rPr>
          <w:rFonts w:ascii="Times New Roman" w:cs="Times New Roman" w:eastAsia="Times New Roman" w:hAnsi="Times New Roman"/>
          <w:sz w:val="12"/>
          <w:szCs w:val="12"/>
          <w:color w:val="auto"/>
        </w:rPr>
        <w:t>—On February 24, 2022, the Company received a notice disputing the Company’s calculation of the earn-out payment to be paid to Josef Eitan and Ran Nir pursuant to the Stock Purchase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“PPD Stock Purchase Agreement”), dated as of May 5, 2021, by and among the Company, Truweo, LLC, Photo Paper Direct Ltd, Josef Eitan and Ran Nir. The Company is in discussions with representatives of Mr. Eitan and Mr. Nir, who believe they are entitled to the full earn-out amount (£6,902,816 or approximately $8.8 million) under the terms of the PPD Stock Purchase Agreement, whereas the Company believes they are not. Mr. Eitan and Mr. Nir filed a motion to compel arbitration in the Southern District of New York on September 14, 2022, which was granted on May 18, 2023. The parties engaged an independent accountant to resolve the dispute, as required by the PPD Stock Purchase Agreement and the Southern District of New York. In February 2024, the independent accountant ruled in favor of the Company and determined that the Company owes no earn-out. Therefore, the Company believes it has no liability to the sellers.</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INTANGIBLES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summarize the changes in the Company’s intangible assets as of December 31, 2023 and June 30, 2024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January 1, 2023</w:t>
            </w:r>
          </w:p>
        </w:tc>
        <w:tc>
          <w:tcPr>
            <w:tcW w:w="180" w:type="dxa"/>
            <w:vAlign w:val="bottom"/>
          </w:tcPr>
          <w:p>
            <w:pPr>
              <w:spacing w:after="0"/>
              <w:rPr>
                <w:sz w:val="13"/>
                <w:szCs w:val="13"/>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8"/>
              </w:rPr>
              <w:t>Year-Ended December 31, 2023</w:t>
            </w:r>
          </w:p>
        </w:tc>
        <w:tc>
          <w:tcPr>
            <w:tcW w:w="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18"/>
        </w:trPr>
        <w:tc>
          <w:tcPr>
            <w:tcW w:w="4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60"/>
              <w:spacing w:after="0" w:line="118" w:lineRule="exact"/>
              <w:rPr>
                <w:sz w:val="20"/>
                <w:szCs w:val="20"/>
                <w:color w:val="auto"/>
              </w:rPr>
            </w:pPr>
            <w:r>
              <w:rPr>
                <w:rFonts w:ascii="Times New Roman" w:cs="Times New Roman" w:eastAsia="Times New Roman" w:hAnsi="Times New Roman"/>
                <w:sz w:val="12"/>
                <w:szCs w:val="12"/>
                <w:b w:val="1"/>
                <w:bCs w:val="1"/>
                <w:color w:val="auto"/>
                <w:w w:val="99"/>
              </w:rPr>
              <w:t>Gross Carrying</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4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Additions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Impairments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Amortization</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Net Book Value</w:t>
            </w:r>
          </w:p>
        </w:tc>
        <w:tc>
          <w:tcPr>
            <w:tcW w:w="120" w:type="dxa"/>
            <w:vAlign w:val="bottom"/>
          </w:tcPr>
          <w:p>
            <w:pPr>
              <w:spacing w:after="0"/>
              <w:rPr>
                <w:sz w:val="13"/>
                <w:szCs w:val="13"/>
                <w:color w:val="auto"/>
              </w:rPr>
            </w:pPr>
          </w:p>
        </w:tc>
      </w:tr>
      <w:tr>
        <w:trPr>
          <w:trHeight w:val="133"/>
        </w:trPr>
        <w:tc>
          <w:tcPr>
            <w:tcW w:w="4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62,202</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8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(39,728)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(15,335)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7,140</w:t>
            </w: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Non-competition agreement</w:t>
            </w: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2"/>
                <w:szCs w:val="12"/>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Transition services agreement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5,700</w:t>
            </w:r>
          </w:p>
        </w:tc>
        <w:tc>
          <w:tcPr>
            <w:tcW w:w="180" w:type="dxa"/>
            <w:vAlign w:val="bottom"/>
          </w:tcPr>
          <w:p>
            <w:pPr>
              <w:spacing w:after="0"/>
              <w:rPr>
                <w:sz w:val="12"/>
                <w:szCs w:val="12"/>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(1,520)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4,180</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(700)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4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intangibles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68,625</w:t>
            </w:r>
          </w:p>
        </w:tc>
        <w:tc>
          <w:tcPr>
            <w:tcW w:w="24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ind w:left="84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(39,728)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(17,578)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11,320</w:t>
            </w:r>
          </w:p>
        </w:tc>
      </w:tr>
      <w:tr>
        <w:trPr>
          <w:trHeight w:val="27"/>
        </w:trPr>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88"/>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January 1, 2024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18"/>
        </w:trPr>
        <w:tc>
          <w:tcPr>
            <w:tcW w:w="4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60"/>
              <w:spacing w:after="0" w:line="118" w:lineRule="exact"/>
              <w:rPr>
                <w:sz w:val="20"/>
                <w:szCs w:val="20"/>
                <w:color w:val="auto"/>
              </w:rPr>
            </w:pPr>
            <w:r>
              <w:rPr>
                <w:rFonts w:ascii="Times New Roman" w:cs="Times New Roman" w:eastAsia="Times New Roman" w:hAnsi="Times New Roman"/>
                <w:sz w:val="12"/>
                <w:szCs w:val="12"/>
                <w:b w:val="1"/>
                <w:bCs w:val="1"/>
                <w:color w:val="auto"/>
                <w:w w:val="99"/>
              </w:rPr>
              <w:t>Gross Carrying</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4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Additions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Impairments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Amortization</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Net Book Value</w:t>
            </w:r>
          </w:p>
        </w:tc>
        <w:tc>
          <w:tcPr>
            <w:tcW w:w="120" w:type="dxa"/>
            <w:vAlign w:val="bottom"/>
          </w:tcPr>
          <w:p>
            <w:pPr>
              <w:spacing w:after="0"/>
              <w:rPr>
                <w:sz w:val="13"/>
                <w:szCs w:val="13"/>
                <w:color w:val="auto"/>
              </w:rPr>
            </w:pPr>
          </w:p>
        </w:tc>
      </w:tr>
      <w:tr>
        <w:trPr>
          <w:trHeight w:val="133"/>
        </w:trPr>
        <w:tc>
          <w:tcPr>
            <w:tcW w:w="4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21,285</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ind w:left="8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(14,666)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6,619</w:t>
            </w: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Non-competition agreement</w:t>
            </w: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2"/>
                <w:szCs w:val="12"/>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Transition services agreement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5,700</w:t>
            </w:r>
          </w:p>
        </w:tc>
        <w:tc>
          <w:tcPr>
            <w:tcW w:w="180" w:type="dxa"/>
            <w:vAlign w:val="bottom"/>
          </w:tcPr>
          <w:p>
            <w:pPr>
              <w:spacing w:after="0"/>
              <w:rPr>
                <w:sz w:val="12"/>
                <w:szCs w:val="12"/>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(1,805)</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3,895</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8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4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intangibles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27,708</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ind w:left="840"/>
              <w:spacing w:after="0" w:line="133" w:lineRule="exact"/>
              <w:rPr>
                <w:sz w:val="20"/>
                <w:szCs w:val="20"/>
                <w:color w:val="auto"/>
              </w:rPr>
            </w:pPr>
            <w:r>
              <w:rPr>
                <w:rFonts w:ascii="Times New Roman" w:cs="Times New Roman" w:eastAsia="Times New Roman" w:hAnsi="Times New Roman"/>
                <w:sz w:val="12"/>
                <w:szCs w:val="12"/>
                <w:color w:val="auto"/>
                <w:w w:val="82"/>
              </w:rPr>
              <w:t>38</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(17,197)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10,549</w:t>
            </w:r>
          </w:p>
        </w:tc>
      </w:tr>
      <w:tr>
        <w:trPr>
          <w:trHeight w:val="27"/>
        </w:trPr>
        <w:tc>
          <w:tcPr>
            <w:tcW w:w="4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ind w:left="300" w:right="100" w:hanging="220"/>
        <w:spacing w:after="0" w:line="255" w:lineRule="auto"/>
        <w:tabs>
          <w:tab w:leader="none" w:pos="30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spacing w:after="0" w:line="125" w:lineRule="exact"/>
        <w:rPr>
          <w:rFonts w:ascii="Times New Roman" w:cs="Times New Roman" w:eastAsia="Times New Roman" w:hAnsi="Times New Roman"/>
          <w:sz w:val="12"/>
          <w:szCs w:val="12"/>
          <w:color w:val="auto"/>
        </w:rPr>
      </w:pPr>
    </w:p>
    <w:p>
      <w:pPr>
        <w:ind w:left="300" w:right="20"/>
        <w:spacing w:after="0" w:line="25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three months ended June 30, 2023, the Company had a substantial decrease in its market capitalization, primarily relating to a decrease in share price. Further, the Company continues to see reduced net revenues across its portfolio primarily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spacing w:after="0" w:line="125" w:lineRule="exact"/>
        <w:rPr>
          <w:rFonts w:ascii="Times New Roman" w:cs="Times New Roman" w:eastAsia="Times New Roman" w:hAnsi="Times New Roman"/>
          <w:sz w:val="12"/>
          <w:szCs w:val="12"/>
          <w:color w:val="auto"/>
        </w:rPr>
      </w:pPr>
    </w:p>
    <w:p>
      <w:pPr>
        <w:ind w:left="300" w:right="20"/>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38"/>
        </w:trPr>
        <w:tc>
          <w:tcPr>
            <w:tcW w:w="97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following table sets forth the estimated aggregate amortization of the Company’s intangible assets for the next five years and thereafter (amounts in thousands):</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Remainder of 2024</w:t>
            </w: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792</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8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1,564</w:t>
            </w:r>
          </w:p>
        </w:tc>
      </w:tr>
      <w:tr>
        <w:trPr>
          <w:trHeight w:val="144"/>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8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1,564</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8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1,554</w:t>
            </w:r>
          </w:p>
        </w:tc>
      </w:tr>
      <w:tr>
        <w:trPr>
          <w:trHeight w:val="144"/>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8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1,551</w:t>
            </w:r>
          </w:p>
        </w:tc>
      </w:tr>
      <w:tr>
        <w:trPr>
          <w:trHeight w:val="144"/>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8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1,551</w:t>
            </w:r>
          </w:p>
        </w:tc>
      </w:tr>
      <w:tr>
        <w:trPr>
          <w:trHeight w:val="144"/>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Thereafter</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1,973</w:t>
            </w:r>
          </w:p>
        </w:tc>
      </w:tr>
      <w:tr>
        <w:trPr>
          <w:trHeight w:val="20"/>
        </w:trPr>
        <w:tc>
          <w:tcPr>
            <w:tcW w:w="840" w:type="dxa"/>
            <w:vAlign w:val="bottom"/>
            <w:shd w:val="clear" w:color="auto" w:fill="CCEEFF"/>
          </w:tcPr>
          <w:p>
            <w:pPr>
              <w:spacing w:after="0" w:line="20" w:lineRule="exact"/>
              <w:rPr>
                <w:sz w:val="1"/>
                <w:szCs w:val="1"/>
                <w:color w:val="auto"/>
              </w:rPr>
            </w:pPr>
          </w:p>
        </w:tc>
        <w:tc>
          <w:tcPr>
            <w:tcW w:w="88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0"/>
        </w:trPr>
        <w:tc>
          <w:tcPr>
            <w:tcW w:w="97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10,549</w:t>
            </w:r>
          </w:p>
        </w:tc>
      </w:tr>
      <w:tr>
        <w:trPr>
          <w:trHeight w:val="288"/>
        </w:trPr>
        <w:tc>
          <w:tcPr>
            <w:tcW w:w="9720" w:type="dxa"/>
            <w:vAlign w:val="bottom"/>
            <w:gridSpan w:val="2"/>
          </w:tcPr>
          <w:p>
            <w:pPr>
              <w:ind w:left="5580"/>
              <w:spacing w:after="0"/>
              <w:rPr>
                <w:sz w:val="20"/>
                <w:szCs w:val="20"/>
                <w:color w:val="auto"/>
              </w:rPr>
            </w:pPr>
            <w:r>
              <w:rPr>
                <w:rFonts w:ascii="Times New Roman" w:cs="Times New Roman" w:eastAsia="Times New Roman" w:hAnsi="Times New Roman"/>
                <w:sz w:val="12"/>
                <w:szCs w:val="12"/>
                <w:color w:val="auto"/>
              </w:rPr>
              <w:t>23</w:t>
            </w:r>
          </w:p>
        </w:tc>
        <w:tc>
          <w:tcPr>
            <w:tcW w:w="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840" w:type="dxa"/>
            <w:vAlign w:val="bottom"/>
            <w:tcBorders>
              <w:bottom w:val="single" w:sz="8" w:color="auto"/>
            </w:tcBorders>
          </w:tcPr>
          <w:p>
            <w:pPr>
              <w:spacing w:after="0"/>
              <w:rPr>
                <w:sz w:val="6"/>
                <w:szCs w:val="6"/>
                <w:color w:val="auto"/>
              </w:rPr>
            </w:pPr>
          </w:p>
        </w:tc>
        <w:tc>
          <w:tcPr>
            <w:tcW w:w="88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19" w:right="29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12. RESTRUCTURING</w:t>
      </w:r>
    </w:p>
    <w:p>
      <w:pPr>
        <w:spacing w:after="0" w:line="154" w:lineRule="exact"/>
        <w:rPr>
          <w:sz w:val="20"/>
          <w:szCs w:val="20"/>
          <w:color w:val="auto"/>
        </w:rPr>
      </w:pPr>
    </w:p>
    <w:p>
      <w:pPr>
        <w:ind w:left="20" w:right="40"/>
        <w:spacing w:after="0" w:line="265" w:lineRule="auto"/>
        <w:rPr>
          <w:sz w:val="20"/>
          <w:szCs w:val="20"/>
          <w:color w:val="auto"/>
        </w:rPr>
      </w:pPr>
      <w:r>
        <w:rPr>
          <w:rFonts w:ascii="Times New Roman" w:cs="Times New Roman" w:eastAsia="Times New Roman" w:hAnsi="Times New Roman"/>
          <w:sz w:val="12"/>
          <w:szCs w:val="12"/>
          <w:color w:val="auto"/>
        </w:rPr>
        <w:t>On May 9, 2023, the Company announced a plan to reduce expenses and re-align the organization’s structure by implementing a reduction in its current workforce impacting approximately 50 employees and 15 contractors, primarily in the Philippines. The headcount reduction is part of the Company's cost-saving initiatives to navigate challenges in the industry and to better position itself for future growth opportunities. The Company incurred $1.6 million of restructuring charges during the year-ended December 31, 2023.</w:t>
      </w:r>
    </w:p>
    <w:p>
      <w:pPr>
        <w:spacing w:after="0" w:line="119" w:lineRule="exact"/>
        <w:rPr>
          <w:sz w:val="20"/>
          <w:szCs w:val="20"/>
          <w:color w:val="auto"/>
        </w:rPr>
      </w:pPr>
    </w:p>
    <w:p>
      <w:pPr>
        <w:ind w:left="20" w:right="220"/>
        <w:spacing w:after="0" w:line="279" w:lineRule="auto"/>
        <w:rPr>
          <w:sz w:val="20"/>
          <w:szCs w:val="20"/>
          <w:color w:val="auto"/>
        </w:rPr>
      </w:pPr>
      <w:r>
        <w:rPr>
          <w:rFonts w:ascii="Times New Roman" w:cs="Times New Roman" w:eastAsia="Times New Roman" w:hAnsi="Times New Roman"/>
          <w:sz w:val="12"/>
          <w:szCs w:val="12"/>
          <w:color w:val="auto"/>
        </w:rPr>
        <w:t>On February 8, 2024, the Company committed to a fixed cost-cutting plan, including a reduction in workforce which resulted in the termination of approximately 17 employees and 26 contractors globally. The Company recognized restructuring charges of $17 thousand and $0.6 million for the three and six months ended June 30, 2024, respectively.</w:t>
      </w:r>
    </w:p>
    <w:p>
      <w:pPr>
        <w:spacing w:after="0" w:line="111" w:lineRule="exact"/>
        <w:rPr>
          <w:sz w:val="20"/>
          <w:szCs w:val="20"/>
          <w:color w:val="auto"/>
        </w:rPr>
      </w:pPr>
    </w:p>
    <w:p>
      <w:pPr>
        <w:ind w:left="20" w:right="20"/>
        <w:spacing w:after="0" w:line="327" w:lineRule="auto"/>
        <w:rPr>
          <w:sz w:val="20"/>
          <w:szCs w:val="20"/>
          <w:color w:val="auto"/>
        </w:rPr>
      </w:pPr>
      <w:r>
        <w:rPr>
          <w:rFonts w:ascii="Times New Roman" w:cs="Times New Roman" w:eastAsia="Times New Roman" w:hAnsi="Times New Roman"/>
          <w:sz w:val="11"/>
          <w:szCs w:val="11"/>
          <w:color w:val="auto"/>
        </w:rPr>
        <w:t>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provides a summary of the restructuring costs incurred: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2"/>
                <w:szCs w:val="12"/>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59"/>
        </w:trPr>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140" w:type="dxa"/>
            <w:vAlign w:val="bottom"/>
          </w:tcPr>
          <w:p>
            <w:pPr>
              <w:spacing w:after="0"/>
              <w:rPr>
                <w:sz w:val="13"/>
                <w:szCs w:val="13"/>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33"/>
        </w:trPr>
        <w:tc>
          <w:tcPr>
            <w:tcW w:w="8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80"/>
              <w:spacing w:after="0" w:line="133"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320"/>
              <w:spacing w:after="0" w:line="133"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12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severance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132</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Retention bonus settled</w:t>
            </w:r>
          </w:p>
        </w:tc>
        <w:tc>
          <w:tcPr>
            <w:tcW w:w="14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411</w:t>
            </w:r>
          </w:p>
        </w:tc>
        <w:tc>
          <w:tcPr>
            <w:tcW w:w="1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Other restructuring costs</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w:t>
            </w:r>
          </w:p>
        </w:tc>
      </w:tr>
      <w:tr>
        <w:trPr>
          <w:trHeight w:val="20"/>
        </w:trPr>
        <w:tc>
          <w:tcPr>
            <w:tcW w:w="8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8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restructuring costs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1,216</w:t>
            </w:r>
          </w:p>
        </w:tc>
        <w:tc>
          <w:tcPr>
            <w:tcW w:w="20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17</w:t>
            </w:r>
          </w:p>
        </w:tc>
      </w:tr>
      <w:tr>
        <w:trPr>
          <w:trHeight w:val="27"/>
        </w:trPr>
        <w:tc>
          <w:tcPr>
            <w:tcW w:w="8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160" w:type="dxa"/>
            <w:vAlign w:val="bottom"/>
          </w:tcPr>
          <w:p>
            <w:pPr>
              <w:spacing w:after="0"/>
              <w:rPr>
                <w:sz w:val="12"/>
                <w:szCs w:val="12"/>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59"/>
        </w:trPr>
        <w:tc>
          <w:tcPr>
            <w:tcW w:w="8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160" w:type="dxa"/>
            <w:vAlign w:val="bottom"/>
          </w:tcPr>
          <w:p>
            <w:pPr>
              <w:spacing w:after="0"/>
              <w:rPr>
                <w:sz w:val="13"/>
                <w:szCs w:val="13"/>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33"/>
        </w:trPr>
        <w:tc>
          <w:tcPr>
            <w:tcW w:w="80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20"/>
              <w:spacing w:after="0" w:line="133"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20"/>
              <w:spacing w:after="0" w:line="133"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12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severance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683</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Retention bonus settled</w:t>
            </w:r>
          </w:p>
        </w:tc>
        <w:tc>
          <w:tcPr>
            <w:tcW w:w="18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411</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Other restructuring costs</w:t>
            </w:r>
            <w:r>
              <w:rPr>
                <w:rFonts w:ascii="Times New Roman" w:cs="Times New Roman" w:eastAsia="Times New Roman" w:hAnsi="Times New Roman"/>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(108)</w:t>
            </w:r>
          </w:p>
        </w:tc>
      </w:tr>
      <w:tr>
        <w:trPr>
          <w:trHeight w:val="20"/>
        </w:trPr>
        <w:tc>
          <w:tcPr>
            <w:tcW w:w="8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8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restructuring costs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1,216</w:t>
            </w:r>
          </w:p>
        </w:tc>
        <w:tc>
          <w:tcPr>
            <w:tcW w:w="200" w:type="dxa"/>
            <w:vAlign w:val="bottom"/>
          </w:tcPr>
          <w:p>
            <w:pPr>
              <w:spacing w:after="0"/>
              <w:rPr>
                <w:sz w:val="11"/>
                <w:szCs w:val="11"/>
                <w:color w:val="auto"/>
              </w:rPr>
            </w:pPr>
          </w:p>
        </w:tc>
        <w:tc>
          <w:tcPr>
            <w:tcW w:w="16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575</w:t>
            </w:r>
          </w:p>
        </w:tc>
      </w:tr>
      <w:tr>
        <w:trPr>
          <w:trHeight w:val="27"/>
        </w:trPr>
        <w:tc>
          <w:tcPr>
            <w:tcW w:w="8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3" w:lineRule="exact"/>
        <w:rPr>
          <w:sz w:val="20"/>
          <w:szCs w:val="20"/>
          <w:color w:val="auto"/>
        </w:rPr>
      </w:pPr>
    </w:p>
    <w:p>
      <w:pPr>
        <w:ind w:left="20" w:right="5540" w:hanging="8"/>
        <w:spacing w:after="0" w:line="497" w:lineRule="auto"/>
        <w:tabs>
          <w:tab w:leader="none" w:pos="19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reversal of costs associated with a contract settlement during the three and six months ended June 30, 2024. The following table provides a summary of the Company's total restructuring reserve:</w:t>
      </w:r>
    </w:p>
    <w:tbl>
      <w:tblPr>
        <w:tblLayout w:type="fixed"/>
        <w:tblInd w:w="2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Contract Termination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6000" w:type="dxa"/>
            <w:vAlign w:val="bottom"/>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Employee Severance</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Costs</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3"/>
                <w:szCs w:val="13"/>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 December 31, 2023</w:t>
            </w:r>
          </w:p>
        </w:tc>
        <w:tc>
          <w:tcPr>
            <w:tcW w:w="48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193</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193</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Charges</w:t>
            </w: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683</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Usage-cash</w:t>
            </w: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(526)</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(75)</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Usage-non-cash</w:t>
            </w:r>
          </w:p>
        </w:tc>
        <w:tc>
          <w:tcPr>
            <w:tcW w:w="4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(118)</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(118)</w:t>
            </w:r>
          </w:p>
        </w:tc>
      </w:tr>
      <w:tr>
        <w:trPr>
          <w:trHeight w:val="20"/>
        </w:trPr>
        <w:tc>
          <w:tcPr>
            <w:tcW w:w="6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 June 30, 2024</w:t>
            </w:r>
          </w:p>
        </w:tc>
        <w:tc>
          <w:tcPr>
            <w:tcW w:w="48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157</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158</w:t>
            </w:r>
          </w:p>
        </w:tc>
      </w:tr>
      <w:tr>
        <w:trPr>
          <w:trHeight w:val="27"/>
        </w:trPr>
        <w:tc>
          <w:tcPr>
            <w:tcW w:w="60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ind w:left="20" w:right="240"/>
        <w:spacing w:after="0" w:line="279" w:lineRule="auto"/>
        <w:rPr>
          <w:sz w:val="20"/>
          <w:szCs w:val="20"/>
          <w:color w:val="auto"/>
        </w:rPr>
      </w:pPr>
      <w:r>
        <w:rPr>
          <w:rFonts w:ascii="Times New Roman" w:cs="Times New Roman" w:eastAsia="Times New Roman" w:hAnsi="Times New Roman"/>
          <w:sz w:val="12"/>
          <w:szCs w:val="12"/>
          <w:color w:val="auto"/>
        </w:rPr>
        <w:t>As of June 30, 2024, the Company has a liability of $0.2 million for restructuring costs which are included in accrued expenses and other current liabilities on the consolidated balance sheet. As of June 30, 2023, the Company has a liability of $0.6 million for restructuring costs, of which $0.5 million is included in accrued expenses and other current liabilities and $0.1 million is included in other liabilities on the consolidated balance sheet.</w:t>
      </w:r>
    </w:p>
    <w:p>
      <w:pPr>
        <w:spacing w:after="0" w:line="11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As of December 31, 2023, the Company had a liability of $0.2 million for restructuring costs, of which $0.1 million was included in accrued expenses and other current liabilities and $0.1 million was included in other liabilities on the consolidated balance sheet.</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Company will continue to assess the restructuring plan's progress and provide updates as required in future financial statements if there are material changes to the initial estimates or additional significant restructuring activities.</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13. SUBSEQUENT EVENTS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Management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 Discussion and Analysis of Financial Condition and Results of Operations.</w:t>
      </w:r>
    </w:p>
    <w:p>
      <w:pPr>
        <w:spacing w:after="0" w:line="152"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2023 included in our Annual Report on Form 10-K for the year ended December 31, 2023 as filed with the Securities and Exchange Commission (the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SEC</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on March 19, 2024. As discussed in the section titled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Special Note Regarding Forward-Looking Statements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Special Note Regarding Forward Looking Statements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and those discussed in the section titled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under Part II, Item 1A in this Quarterly Report on Form 10-Q.</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 xml:space="preserve">Unless the context otherwise requires, the terms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Aterian,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we,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us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and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our</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in this Quarterly Report on Form 10-Q refer to Aterian, Inc. and our consolidated subsidiaries, including Aterian Group, Inc.</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We are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beauty products and essential oils.</w:t>
      </w:r>
    </w:p>
    <w:p>
      <w:pPr>
        <w:spacing w:after="0" w:line="11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year ended December 31, 2023, the Company enacted a strategy to reduce the number of SKUs it sells and is no longer pursuing future sales of SKUs that are either not profitable or not core to the Company’s strategy.</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Seasonality of Business and Product Mix</w:t>
      </w:r>
    </w:p>
    <w:p>
      <w:pPr>
        <w:spacing w:after="0" w:line="15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2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auto"/>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Financial Operations Overview</w:t>
      </w:r>
    </w:p>
    <w:p>
      <w:pPr>
        <w:spacing w:after="0" w:line="150"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2"/>
          <w:szCs w:val="12"/>
          <w:b w:val="1"/>
          <w:bCs w:val="1"/>
          <w:color w:val="auto"/>
        </w:rPr>
        <w:t>Net Revenue</w:t>
      </w:r>
      <w:r>
        <w:rPr>
          <w:rFonts w:ascii="Times New Roman" w:cs="Times New Roman" w:eastAsia="Times New Roman" w:hAnsi="Times New Roman"/>
          <w:sz w:val="12"/>
          <w:szCs w:val="12"/>
          <w:color w:val="auto"/>
        </w:rPr>
        <w:t>—We derive our revenue from the sale of consumer products, primarily in the U.S. We sell products directly to consumers through online retail channels and through wholesale channels. Direct-to-consumer sales (i.e.,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1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b w:val="1"/>
          <w:bCs w:val="1"/>
          <w:color w:val="auto"/>
        </w:rPr>
        <w:t>Cost of Goods Sold</w:t>
      </w:r>
      <w:r>
        <w:rPr>
          <w:rFonts w:ascii="Times New Roman" w:cs="Times New Roman" w:eastAsia="Times New Roman" w:hAnsi="Times New Roman"/>
          <w:sz w:val="12"/>
          <w:szCs w:val="12"/>
          <w:color w:val="auto"/>
        </w:rPr>
        <w:t>—Cost of goods sold consists of the book value of inventory sold to customers during the reporting period. Book value of inventory includes the amounts we pay manufacturers for product, tariffs and duties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Expenses: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Research and Development Expenses</w:t>
      </w:r>
      <w:r>
        <w:rPr>
          <w:rFonts w:ascii="Times New Roman" w:cs="Times New Roman" w:eastAsia="Times New Roman" w:hAnsi="Times New Roman"/>
          <w:sz w:val="12"/>
          <w:szCs w:val="12"/>
          <w:color w:val="auto"/>
        </w:rPr>
        <w:t>—Research and development expenses include compensation and employee benefits for technology development employees, travel-related costs and fees paid to outside consultants related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development of our intellectual property. During the six months ending June 30, 2024, the Company shifted its technology platform away from a fully internally developed model to an integrated third party model. Therefore, beginning with the three months ending March 31, 2024, technology and employee related costs have been presented in general and administrative costs on the Condensed Consolidated Statement of Operations.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b w:val="1"/>
          <w:bCs w:val="1"/>
          <w:color w:val="auto"/>
        </w:rPr>
        <w:t>Sales and Distribution Expenses</w:t>
      </w:r>
      <w:r>
        <w:rPr>
          <w:rFonts w:ascii="Times New Roman" w:cs="Times New Roman" w:eastAsia="Times New Roman" w:hAnsi="Times New Roman"/>
          <w:sz w:val="12"/>
          <w:szCs w:val="12"/>
          <w:color w:val="auto"/>
        </w:rPr>
        <w:t>—Sales and distribution expenses consist of online advertising costs, marketing and promotional costs, sales and ecommerce platform commissions, fulfillment, including shipping and handling,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General and Administrative Expenses</w:t>
      </w:r>
      <w:r>
        <w:rPr>
          <w:rFonts w:ascii="Times New Roman" w:cs="Times New Roman" w:eastAsia="Times New Roman" w:hAnsi="Times New Roman"/>
          <w:sz w:val="12"/>
          <w:szCs w:val="12"/>
          <w:color w:val="auto"/>
        </w:rPr>
        <w:t>—General and administrative expenses include compensation and employee benefits for executive management, finance administration, legal, and human resources, facility costs, insurance,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travel, professional service fees and other general overhead costs, including the costs of being a public company. Beginning with the three months ending March 31, 2024, technology and employee related costs have been presented in general and administrative costs.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Interest Expense, Net</w:t>
      </w:r>
      <w:r>
        <w:rPr>
          <w:rFonts w:ascii="Times New Roman" w:cs="Times New Roman" w:eastAsia="Times New Roman" w:hAnsi="Times New Roman"/>
          <w:sz w:val="12"/>
          <w:szCs w:val="12"/>
          <w:color w:val="auto"/>
        </w:rPr>
        <w:t>—Interest expense, net includes the interest cost from our credit facility and term loans, and includes amortization of deferred finance costs and debt discounts from our credit facility (the “Credit Facility”)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MidCap Funding IV Trust (“MidCap”).</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 Months Ended June 30, 2023 and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components of our results of operations as a percentage of net 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680" w:type="dxa"/>
            <w:vAlign w:val="bottom"/>
            <w:gridSpan w:val="6"/>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20" w:type="dxa"/>
            <w:vAlign w:val="bottom"/>
          </w:tcPr>
          <w:p>
            <w:pPr>
              <w:spacing w:after="0"/>
              <w:rPr>
                <w:sz w:val="13"/>
                <w:szCs w:val="13"/>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7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0"/>
                <w:szCs w:val="10"/>
                <w:b w:val="1"/>
                <w:bCs w:val="1"/>
                <w:color w:val="auto"/>
              </w:rPr>
              <w:t>2023</w:t>
            </w:r>
            <w:r>
              <w:rPr>
                <w:rFonts w:ascii="Times New Roman" w:cs="Times New Roman" w:eastAsia="Times New Roman" w:hAnsi="Times New Roman"/>
                <w:sz w:val="15"/>
                <w:szCs w:val="15"/>
                <w:b w:val="1"/>
                <w:bCs w:val="1"/>
                <w:color w:val="auto"/>
                <w:vertAlign w:val="superscript"/>
              </w:rPr>
              <w:t>(1)</w:t>
            </w: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00"/>
              <w:spacing w:after="0" w:line="133" w:lineRule="exact"/>
              <w:rPr>
                <w:sz w:val="20"/>
                <w:szCs w:val="20"/>
                <w:color w:val="auto"/>
              </w:rPr>
            </w:pPr>
            <w:r>
              <w:rPr>
                <w:rFonts w:ascii="Times New Roman" w:cs="Times New Roman" w:eastAsia="Times New Roman" w:hAnsi="Times New Roman"/>
                <w:sz w:val="10"/>
                <w:szCs w:val="10"/>
                <w:b w:val="1"/>
                <w:bCs w:val="1"/>
                <w:color w:val="auto"/>
              </w:rPr>
              <w:t>2024</w:t>
            </w:r>
            <w:r>
              <w:rPr>
                <w:rFonts w:ascii="Times New Roman" w:cs="Times New Roman" w:eastAsia="Times New Roman" w:hAnsi="Times New Roman"/>
                <w:sz w:val="15"/>
                <w:szCs w:val="15"/>
                <w:b w:val="1"/>
                <w:bCs w:val="1"/>
                <w:color w:val="auto"/>
                <w:vertAlign w:val="superscript"/>
              </w:rPr>
              <w:t>(1)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tcBorders>
              <w:top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1"/>
                <w:szCs w:val="11"/>
                <w:color w:val="auto"/>
              </w:rPr>
            </w:pPr>
          </w:p>
        </w:tc>
        <w:tc>
          <w:tcPr>
            <w:tcW w:w="1140" w:type="dxa"/>
            <w:vAlign w:val="bottom"/>
            <w:tcBorders>
              <w:top w:val="single" w:sz="8" w:color="auto"/>
            </w:tcBorders>
            <w:gridSpan w:val="2"/>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w:t>
            </w: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35,264</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27,984</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(7,280)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Cost of good sold</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20,368</w:t>
            </w:r>
          </w:p>
        </w:tc>
        <w:tc>
          <w:tcPr>
            <w:tcW w:w="220" w:type="dxa"/>
            <w:vAlign w:val="bottom"/>
          </w:tcPr>
          <w:p>
            <w:pPr>
              <w:spacing w:after="0"/>
              <w:rPr>
                <w:sz w:val="12"/>
                <w:szCs w:val="12"/>
                <w:color w:val="auto"/>
              </w:rPr>
            </w:pPr>
          </w:p>
        </w:tc>
        <w:tc>
          <w:tcPr>
            <w:tcW w:w="112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11,093</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(9,275)</w:t>
            </w:r>
          </w:p>
        </w:tc>
        <w:tc>
          <w:tcPr>
            <w:tcW w:w="30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7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14,896</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52"/>
              <w:spacing w:after="0" w:line="133" w:lineRule="exact"/>
              <w:rPr>
                <w:sz w:val="20"/>
                <w:szCs w:val="20"/>
                <w:color w:val="auto"/>
              </w:rPr>
            </w:pPr>
            <w:r>
              <w:rPr>
                <w:rFonts w:ascii="Times New Roman" w:cs="Times New Roman" w:eastAsia="Times New Roman" w:hAnsi="Times New Roman"/>
                <w:sz w:val="12"/>
                <w:szCs w:val="12"/>
                <w:color w:val="auto"/>
              </w:rPr>
              <w:t>16,891</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1,995</w:t>
            </w:r>
          </w:p>
        </w:tc>
        <w:tc>
          <w:tcPr>
            <w:tcW w:w="3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and distribution</w:t>
            </w:r>
          </w:p>
        </w:tc>
        <w:tc>
          <w:tcPr>
            <w:tcW w:w="7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20,557</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15,162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(5,395)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(1,709)</w:t>
            </w:r>
          </w:p>
        </w:tc>
        <w:tc>
          <w:tcPr>
            <w:tcW w:w="30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6,281</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4,934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(1,347)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0" w:type="dxa"/>
            <w:vAlign w:val="bottom"/>
          </w:tcPr>
          <w:p>
            <w:pPr>
              <w:spacing w:after="0"/>
              <w:rPr>
                <w:sz w:val="1"/>
                <w:szCs w:val="1"/>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Impairment loss on intangibles</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22,785</w:t>
            </w:r>
          </w:p>
        </w:tc>
        <w:tc>
          <w:tcPr>
            <w:tcW w:w="220" w:type="dxa"/>
            <w:vAlign w:val="bottom"/>
          </w:tcPr>
          <w:p>
            <w:pPr>
              <w:spacing w:after="0"/>
              <w:rPr>
                <w:sz w:val="12"/>
                <w:szCs w:val="12"/>
                <w:color w:val="auto"/>
              </w:rPr>
            </w:pPr>
          </w:p>
        </w:tc>
        <w:tc>
          <w:tcPr>
            <w:tcW w:w="112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(22,785)</w:t>
            </w:r>
          </w:p>
        </w:tc>
        <w:tc>
          <w:tcPr>
            <w:tcW w:w="30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51,332</w:t>
            </w:r>
          </w:p>
        </w:tc>
        <w:tc>
          <w:tcPr>
            <w:tcW w:w="220" w:type="dxa"/>
            <w:vAlign w:val="bottom"/>
            <w:tcBorders>
              <w:left w:val="single" w:sz="8" w:color="CCEEFF"/>
            </w:tcBorders>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20,096</w:t>
            </w:r>
          </w:p>
        </w:tc>
        <w:tc>
          <w:tcPr>
            <w:tcW w:w="2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(31,236)</w:t>
            </w:r>
          </w:p>
        </w:tc>
        <w:tc>
          <w:tcPr>
            <w:tcW w:w="20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loss</w:t>
            </w:r>
          </w:p>
        </w:tc>
        <w:tc>
          <w:tcPr>
            <w:tcW w:w="74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7"/>
              </w:rPr>
              <w:t>(36,436)</w:t>
            </w:r>
          </w:p>
        </w:tc>
        <w:tc>
          <w:tcPr>
            <w:tcW w:w="220" w:type="dxa"/>
            <w:vAlign w:val="bottom"/>
          </w:tcPr>
          <w:p>
            <w:pPr>
              <w:spacing w:after="0"/>
              <w:rPr>
                <w:sz w:val="11"/>
                <w:szCs w:val="11"/>
                <w:color w:val="auto"/>
              </w:rPr>
            </w:pPr>
          </w:p>
        </w:tc>
        <w:tc>
          <w:tcPr>
            <w:tcW w:w="1120" w:type="dxa"/>
            <w:vAlign w:val="bottom"/>
            <w:gridSpan w:val="2"/>
          </w:tcPr>
          <w:p>
            <w:pPr>
              <w:jc w:val="right"/>
              <w:ind w:right="112"/>
              <w:spacing w:after="0" w:line="133" w:lineRule="exact"/>
              <w:rPr>
                <w:sz w:val="20"/>
                <w:szCs w:val="20"/>
                <w:color w:val="auto"/>
              </w:rPr>
            </w:pPr>
            <w:r>
              <w:rPr>
                <w:rFonts w:ascii="Times New Roman" w:cs="Times New Roman" w:eastAsia="Times New Roman" w:hAnsi="Times New Roman"/>
                <w:sz w:val="12"/>
                <w:szCs w:val="12"/>
                <w:color w:val="auto"/>
              </w:rPr>
              <w:t>(3,205)</w:t>
            </w:r>
          </w:p>
        </w:tc>
        <w:tc>
          <w:tcPr>
            <w:tcW w:w="220" w:type="dxa"/>
            <w:vAlign w:val="bottom"/>
          </w:tcPr>
          <w:p>
            <w:pPr>
              <w:spacing w:after="0"/>
              <w:rPr>
                <w:sz w:val="11"/>
                <w:szCs w:val="11"/>
                <w:color w:val="auto"/>
              </w:rPr>
            </w:pP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33,231</w:t>
            </w:r>
          </w:p>
        </w:tc>
        <w:tc>
          <w:tcPr>
            <w:tcW w:w="300" w:type="dxa"/>
            <w:vAlign w:val="bottom"/>
          </w:tcPr>
          <w:p>
            <w:pPr>
              <w:spacing w:after="0"/>
              <w:rPr>
                <w:sz w:val="11"/>
                <w:szCs w:val="11"/>
                <w:color w:val="auto"/>
              </w:rPr>
            </w:pPr>
          </w:p>
        </w:tc>
        <w:tc>
          <w:tcPr>
            <w:tcW w:w="98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91.2%</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228</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warrant liability</w:t>
            </w:r>
          </w:p>
        </w:tc>
        <w:tc>
          <w:tcPr>
            <w:tcW w:w="7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(2,197)</w:t>
            </w:r>
          </w:p>
        </w:tc>
        <w:tc>
          <w:tcPr>
            <w:tcW w:w="220" w:type="dxa"/>
            <w:vAlign w:val="bottom"/>
          </w:tcPr>
          <w:p>
            <w:pPr>
              <w:spacing w:after="0"/>
              <w:rPr>
                <w:sz w:val="12"/>
                <w:szCs w:val="12"/>
                <w:color w:val="auto"/>
              </w:rPr>
            </w:pPr>
          </w:p>
        </w:tc>
        <w:tc>
          <w:tcPr>
            <w:tcW w:w="1120" w:type="dxa"/>
            <w:vAlign w:val="bottom"/>
            <w:gridSpan w:val="2"/>
          </w:tcPr>
          <w:p>
            <w:pPr>
              <w:jc w:val="right"/>
              <w:ind w:right="112"/>
              <w:spacing w:after="0"/>
              <w:rPr>
                <w:sz w:val="20"/>
                <w:szCs w:val="20"/>
                <w:color w:val="auto"/>
              </w:rPr>
            </w:pPr>
            <w:r>
              <w:rPr>
                <w:rFonts w:ascii="Times New Roman" w:cs="Times New Roman" w:eastAsia="Times New Roman" w:hAnsi="Times New Roman"/>
                <w:sz w:val="12"/>
                <w:szCs w:val="12"/>
                <w:color w:val="auto"/>
              </w:rPr>
              <w:t>(52)</w:t>
            </w:r>
          </w:p>
        </w:tc>
        <w:tc>
          <w:tcPr>
            <w:tcW w:w="22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2,145</w:t>
            </w:r>
          </w:p>
        </w:tc>
        <w:tc>
          <w:tcPr>
            <w:tcW w:w="30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97.6%</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43</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(133)</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74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7"/>
              </w:rPr>
              <w:t>(34,761)</w:t>
            </w:r>
          </w:p>
        </w:tc>
        <w:tc>
          <w:tcPr>
            <w:tcW w:w="220" w:type="dxa"/>
            <w:vAlign w:val="bottom"/>
          </w:tcPr>
          <w:p>
            <w:pPr>
              <w:spacing w:after="0"/>
              <w:rPr>
                <w:sz w:val="11"/>
                <w:szCs w:val="11"/>
                <w:color w:val="auto"/>
              </w:rPr>
            </w:pPr>
          </w:p>
        </w:tc>
        <w:tc>
          <w:tcPr>
            <w:tcW w:w="1120" w:type="dxa"/>
            <w:vAlign w:val="bottom"/>
            <w:gridSpan w:val="2"/>
          </w:tcPr>
          <w:p>
            <w:pPr>
              <w:jc w:val="right"/>
              <w:ind w:right="112"/>
              <w:spacing w:after="0" w:line="133" w:lineRule="exact"/>
              <w:rPr>
                <w:sz w:val="20"/>
                <w:szCs w:val="20"/>
                <w:color w:val="auto"/>
              </w:rPr>
            </w:pPr>
            <w:r>
              <w:rPr>
                <w:rFonts w:ascii="Times New Roman" w:cs="Times New Roman" w:eastAsia="Times New Roman" w:hAnsi="Times New Roman"/>
                <w:sz w:val="12"/>
                <w:szCs w:val="12"/>
                <w:color w:val="auto"/>
              </w:rPr>
              <w:t>(3,424)</w:t>
            </w:r>
          </w:p>
        </w:tc>
        <w:tc>
          <w:tcPr>
            <w:tcW w:w="220" w:type="dxa"/>
            <w:vAlign w:val="bottom"/>
          </w:tcPr>
          <w:p>
            <w:pPr>
              <w:spacing w:after="0"/>
              <w:rPr>
                <w:sz w:val="11"/>
                <w:szCs w:val="11"/>
                <w:color w:val="auto"/>
              </w:rPr>
            </w:pP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31,337</w:t>
            </w:r>
          </w:p>
        </w:tc>
        <w:tc>
          <w:tcPr>
            <w:tcW w:w="300" w:type="dxa"/>
            <w:vAlign w:val="bottom"/>
          </w:tcPr>
          <w:p>
            <w:pPr>
              <w:spacing w:after="0"/>
              <w:rPr>
                <w:sz w:val="11"/>
                <w:szCs w:val="11"/>
                <w:color w:val="auto"/>
              </w:rPr>
            </w:pPr>
          </w:p>
        </w:tc>
        <w:tc>
          <w:tcPr>
            <w:tcW w:w="98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90.1%</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205</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688.5%</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7"/>
              </w:rPr>
              <w:t>(34,787)</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12"/>
              <w:spacing w:after="0" w:line="133" w:lineRule="exact"/>
              <w:rPr>
                <w:sz w:val="20"/>
                <w:szCs w:val="20"/>
                <w:color w:val="auto"/>
              </w:rPr>
            </w:pPr>
            <w:r>
              <w:rPr>
                <w:rFonts w:ascii="Times New Roman" w:cs="Times New Roman" w:eastAsia="Times New Roman" w:hAnsi="Times New Roman"/>
                <w:sz w:val="12"/>
                <w:szCs w:val="12"/>
                <w:color w:val="auto"/>
              </w:rPr>
              <w:t>(3,629)</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31,158</w:t>
            </w:r>
          </w:p>
        </w:tc>
        <w:tc>
          <w:tcPr>
            <w:tcW w:w="300" w:type="dxa"/>
            <w:vAlign w:val="bottom"/>
          </w:tcPr>
          <w:p>
            <w:pPr>
              <w:spacing w:after="0"/>
              <w:rPr>
                <w:sz w:val="12"/>
                <w:szCs w:val="12"/>
                <w:color w:val="auto"/>
              </w:rPr>
            </w:pPr>
          </w:p>
        </w:tc>
        <w:tc>
          <w:tcPr>
            <w:tcW w:w="98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89.6%</w:t>
            </w:r>
          </w:p>
        </w:tc>
        <w:tc>
          <w:tcPr>
            <w:tcW w:w="0" w:type="dxa"/>
            <w:vAlign w:val="bottom"/>
          </w:tcPr>
          <w:p>
            <w:pPr>
              <w:spacing w:after="0"/>
              <w:rPr>
                <w:sz w:val="1"/>
                <w:szCs w:val="1"/>
                <w:color w:val="auto"/>
              </w:rPr>
            </w:pPr>
          </w:p>
        </w:tc>
      </w:tr>
      <w:tr>
        <w:trPr>
          <w:trHeight w:val="288"/>
        </w:trPr>
        <w:tc>
          <w:tcPr>
            <w:tcW w:w="60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   Amounts include stock-based compensation expense as follows:</w:t>
            </w: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00" w:type="dxa"/>
            <w:vAlign w:val="bottom"/>
          </w:tcPr>
          <w:p>
            <w:pPr>
              <w:spacing w:after="0"/>
              <w:rPr>
                <w:sz w:val="24"/>
                <w:szCs w:val="24"/>
                <w:color w:val="auto"/>
              </w:rPr>
            </w:pPr>
          </w:p>
        </w:tc>
        <w:tc>
          <w:tcPr>
            <w:tcW w:w="2680" w:type="dxa"/>
            <w:vAlign w:val="bottom"/>
            <w:gridSpan w:val="6"/>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20" w:type="dxa"/>
            <w:vAlign w:val="bottom"/>
          </w:tcPr>
          <w:p>
            <w:pPr>
              <w:spacing w:after="0"/>
              <w:rPr>
                <w:sz w:val="24"/>
                <w:szCs w:val="24"/>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740" w:type="dxa"/>
            <w:vAlign w:val="bottom"/>
            <w:tcBorders>
              <w:top w:val="single" w:sz="8" w:color="auto"/>
            </w:tcBorders>
          </w:tcPr>
          <w:p>
            <w:pPr>
              <w:jc w:val="right"/>
              <w:ind w:right="4"/>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tcBorders>
              <w:top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1"/>
                <w:szCs w:val="11"/>
                <w:color w:val="auto"/>
              </w:rPr>
            </w:pPr>
          </w:p>
        </w:tc>
        <w:tc>
          <w:tcPr>
            <w:tcW w:w="1140" w:type="dxa"/>
            <w:vAlign w:val="bottom"/>
            <w:tcBorders>
              <w:top w:val="single" w:sz="8" w:color="auto"/>
            </w:tcBorders>
            <w:gridSpan w:val="2"/>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distribution expenses</w:t>
            </w: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946</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(145)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(423)</w:t>
            </w:r>
          </w:p>
        </w:tc>
        <w:tc>
          <w:tcPr>
            <w:tcW w:w="30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1,709</w:t>
            </w:r>
          </w:p>
        </w:tc>
        <w:tc>
          <w:tcPr>
            <w:tcW w:w="22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1,975</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266</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7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3,223</w:t>
            </w:r>
          </w:p>
        </w:tc>
        <w:tc>
          <w:tcPr>
            <w:tcW w:w="22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52"/>
              <w:spacing w:after="0" w:line="133" w:lineRule="exact"/>
              <w:rPr>
                <w:sz w:val="20"/>
                <w:szCs w:val="20"/>
                <w:color w:val="auto"/>
              </w:rPr>
            </w:pPr>
            <w:r>
              <w:rPr>
                <w:rFonts w:ascii="Times New Roman" w:cs="Times New Roman" w:eastAsia="Times New Roman" w:hAnsi="Times New Roman"/>
                <w:sz w:val="12"/>
                <w:szCs w:val="12"/>
                <w:color w:val="auto"/>
              </w:rPr>
              <w:t>2,921</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(302)</w:t>
            </w:r>
          </w:p>
        </w:tc>
        <w:tc>
          <w:tcPr>
            <w:tcW w:w="300" w:type="dxa"/>
            <w:vAlign w:val="bottom"/>
          </w:tcPr>
          <w:p>
            <w:pPr>
              <w:spacing w:after="0"/>
              <w:rPr>
                <w:sz w:val="11"/>
                <w:szCs w:val="11"/>
                <w:color w:val="auto"/>
              </w:rPr>
            </w:pPr>
          </w:p>
        </w:tc>
        <w:tc>
          <w:tcPr>
            <w:tcW w:w="9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(9.4)%</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components of our results of operations as a percentage of net revenue:</w:t>
      </w:r>
    </w:p>
    <w:p>
      <w:pPr>
        <w:spacing w:after="0" w:line="146"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98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jc w:val="right"/>
              <w:ind w:right="561"/>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1"/>
                <w:szCs w:val="11"/>
                <w:color w:val="auto"/>
              </w:rPr>
            </w:pPr>
          </w:p>
        </w:tc>
      </w:tr>
      <w:tr>
        <w:trPr>
          <w:trHeight w:val="133"/>
        </w:trPr>
        <w:tc>
          <w:tcPr>
            <w:tcW w:w="89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revenue</w:t>
            </w:r>
          </w:p>
        </w:tc>
        <w:tc>
          <w:tcPr>
            <w:tcW w:w="7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6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100.0%</w:t>
            </w:r>
          </w:p>
        </w:tc>
      </w:tr>
      <w:tr>
        <w:trPr>
          <w:trHeight w:val="144"/>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Cost of good sold</w:t>
            </w:r>
          </w:p>
        </w:tc>
        <w:tc>
          <w:tcPr>
            <w:tcW w:w="10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57.8</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39.6</w:t>
            </w:r>
          </w:p>
        </w:tc>
      </w:tr>
      <w:tr>
        <w:trPr>
          <w:trHeight w:val="20"/>
        </w:trPr>
        <w:tc>
          <w:tcPr>
            <w:tcW w:w="79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79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10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42.2</w:t>
            </w:r>
          </w:p>
        </w:tc>
        <w:tc>
          <w:tcPr>
            <w:tcW w:w="1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60.4</w:t>
            </w:r>
          </w:p>
        </w:tc>
      </w:tr>
      <w:tr>
        <w:trPr>
          <w:trHeight w:val="144"/>
        </w:trPr>
        <w:tc>
          <w:tcPr>
            <w:tcW w:w="8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8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and distribution</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58.3</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54.2</w:t>
            </w:r>
          </w:p>
        </w:tc>
      </w:tr>
      <w:tr>
        <w:trPr>
          <w:trHeight w:val="144"/>
        </w:trPr>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4.8</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140" w:type="dxa"/>
            <w:vAlign w:val="bottom"/>
          </w:tcPr>
          <w:p>
            <w:pPr>
              <w:spacing w:after="0"/>
              <w:rPr>
                <w:sz w:val="12"/>
                <w:szCs w:val="12"/>
                <w:color w:val="auto"/>
              </w:rPr>
            </w:pPr>
          </w:p>
        </w:tc>
      </w:tr>
      <w:tr>
        <w:trPr>
          <w:trHeight w:val="144"/>
        </w:trPr>
        <w:tc>
          <w:tcPr>
            <w:tcW w:w="8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17.8</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17.6</w:t>
            </w:r>
          </w:p>
        </w:tc>
      </w:tr>
      <w:tr>
        <w:trPr>
          <w:trHeight w:val="144"/>
        </w:trPr>
        <w:tc>
          <w:tcPr>
            <w:tcW w:w="79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Impairment loss on intangibles</w:t>
            </w:r>
          </w:p>
        </w:tc>
        <w:tc>
          <w:tcPr>
            <w:tcW w:w="10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64.6</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79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79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0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145.5</w:t>
            </w:r>
          </w:p>
        </w:tc>
        <w:tc>
          <w:tcPr>
            <w:tcW w:w="1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71.8</w:t>
            </w:r>
          </w:p>
        </w:tc>
      </w:tr>
      <w:tr>
        <w:trPr>
          <w:trHeight w:val="20"/>
        </w:trPr>
        <w:tc>
          <w:tcPr>
            <w:tcW w:w="79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33"/>
        </w:trPr>
        <w:tc>
          <w:tcPr>
            <w:tcW w:w="7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loss</w:t>
            </w:r>
          </w:p>
        </w:tc>
        <w:tc>
          <w:tcPr>
            <w:tcW w:w="1000" w:type="dxa"/>
            <w:vAlign w:val="bottom"/>
          </w:tcPr>
          <w:p>
            <w:pPr>
              <w:spacing w:after="0"/>
              <w:rPr>
                <w:sz w:val="11"/>
                <w:szCs w:val="11"/>
                <w:color w:val="auto"/>
              </w:rPr>
            </w:pPr>
          </w:p>
        </w:tc>
        <w:tc>
          <w:tcPr>
            <w:tcW w:w="7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(103.3)</w:t>
            </w:r>
          </w:p>
        </w:tc>
        <w:tc>
          <w:tcPr>
            <w:tcW w:w="16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(11.5)</w:t>
            </w:r>
          </w:p>
        </w:tc>
      </w:tr>
      <w:tr>
        <w:trPr>
          <w:trHeight w:val="144"/>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40" w:type="dxa"/>
            <w:vAlign w:val="bottom"/>
            <w:shd w:val="clear" w:color="auto" w:fill="CCEEFF"/>
          </w:tcPr>
          <w:p>
            <w:pPr>
              <w:spacing w:after="0"/>
              <w:rPr>
                <w:sz w:val="12"/>
                <w:szCs w:val="12"/>
                <w:color w:val="auto"/>
              </w:rPr>
            </w:pPr>
          </w:p>
        </w:tc>
      </w:tr>
      <w:tr>
        <w:trPr>
          <w:trHeight w:val="144"/>
        </w:trPr>
        <w:tc>
          <w:tcPr>
            <w:tcW w:w="8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warrant liability</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0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0.5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40" w:type="dxa"/>
            <w:vAlign w:val="bottom"/>
            <w:shd w:val="clear" w:color="auto" w:fill="CCEEFF"/>
          </w:tcPr>
          <w:p>
            <w:pPr>
              <w:spacing w:after="0"/>
              <w:rPr>
                <w:sz w:val="12"/>
                <w:szCs w:val="12"/>
                <w:color w:val="auto"/>
              </w:rPr>
            </w:pPr>
          </w:p>
        </w:tc>
      </w:tr>
      <w:tr>
        <w:trPr>
          <w:trHeight w:val="20"/>
        </w:trPr>
        <w:tc>
          <w:tcPr>
            <w:tcW w:w="79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33"/>
        </w:trPr>
        <w:tc>
          <w:tcPr>
            <w:tcW w:w="7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1000" w:type="dxa"/>
            <w:vAlign w:val="bottom"/>
          </w:tcPr>
          <w:p>
            <w:pPr>
              <w:spacing w:after="0"/>
              <w:rPr>
                <w:sz w:val="11"/>
                <w:szCs w:val="11"/>
                <w:color w:val="auto"/>
              </w:rPr>
            </w:pPr>
          </w:p>
        </w:tc>
        <w:tc>
          <w:tcPr>
            <w:tcW w:w="7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(98.6)</w:t>
            </w:r>
          </w:p>
        </w:tc>
        <w:tc>
          <w:tcPr>
            <w:tcW w:w="16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(12.3)</w:t>
            </w:r>
          </w:p>
        </w:tc>
      </w:tr>
      <w:tr>
        <w:trPr>
          <w:trHeight w:val="144"/>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0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0.1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40" w:type="dxa"/>
            <w:vAlign w:val="bottom"/>
            <w:shd w:val="clear" w:color="auto" w:fill="CCEEFF"/>
          </w:tcPr>
          <w:p>
            <w:pPr>
              <w:spacing w:after="0"/>
              <w:rPr>
                <w:sz w:val="12"/>
                <w:szCs w:val="12"/>
                <w:color w:val="auto"/>
              </w:rPr>
            </w:pPr>
          </w:p>
        </w:tc>
      </w:tr>
      <w:tr>
        <w:trPr>
          <w:trHeight w:val="20"/>
        </w:trPr>
        <w:tc>
          <w:tcPr>
            <w:tcW w:w="79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0"/>
        </w:trPr>
        <w:tc>
          <w:tcPr>
            <w:tcW w:w="7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000" w:type="dxa"/>
            <w:vAlign w:val="bottom"/>
          </w:tcPr>
          <w:p>
            <w:pPr>
              <w:spacing w:after="0"/>
              <w:rPr>
                <w:sz w:val="12"/>
                <w:szCs w:val="12"/>
                <w:color w:val="auto"/>
              </w:rPr>
            </w:pPr>
          </w:p>
        </w:tc>
        <w:tc>
          <w:tcPr>
            <w:tcW w:w="7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9"/>
                <w:szCs w:val="9"/>
                <w:color w:val="auto"/>
              </w:rPr>
              <w:t>(98.7</w:t>
            </w:r>
            <w:r>
              <w:rPr>
                <w:rFonts w:ascii="Times New Roman" w:cs="Times New Roman" w:eastAsia="Times New Roman" w:hAnsi="Times New Roman"/>
                <w:sz w:val="15"/>
                <w:szCs w:val="15"/>
                <w:color w:val="auto"/>
                <w:vertAlign w:val="subscript"/>
              </w:rPr>
              <w:t>)%</w:t>
            </w:r>
          </w:p>
        </w:tc>
        <w:tc>
          <w:tcPr>
            <w:tcW w:w="1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9"/>
                <w:szCs w:val="9"/>
                <w:color w:val="auto"/>
              </w:rPr>
              <w:t>(13.0</w:t>
            </w:r>
            <w:r>
              <w:rPr>
                <w:rFonts w:ascii="Times New Roman" w:cs="Times New Roman" w:eastAsia="Times New Roman" w:hAnsi="Times New Roman"/>
                <w:sz w:val="15"/>
                <w:szCs w:val="15"/>
                <w:color w:val="auto"/>
                <w:vertAlign w:val="subscript"/>
              </w:rPr>
              <w:t>)%</w:t>
            </w:r>
          </w:p>
        </w:tc>
      </w:tr>
      <w:tr>
        <w:trPr>
          <w:trHeight w:val="288"/>
        </w:trPr>
        <w:tc>
          <w:tcPr>
            <w:tcW w:w="798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27</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72"/>
        </w:trPr>
        <w:tc>
          <w:tcPr>
            <w:tcW w:w="79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Revenue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 by Product Categories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tables sets forth our net revenue disaggregated by product categories: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Wholesale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2440" w:type="dxa"/>
            <w:vAlign w:val="bottom"/>
            <w:gridSpan w:val="5"/>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800" w:type="dxa"/>
            <w:vAlign w:val="bottom"/>
          </w:tcPr>
          <w:p>
            <w:pPr>
              <w:spacing w:after="0"/>
              <w:rPr>
                <w:sz w:val="13"/>
                <w:szCs w:val="13"/>
                <w:color w:val="auto"/>
              </w:rPr>
            </w:pP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3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0"/>
                <w:szCs w:val="10"/>
                <w:color w:val="auto"/>
              </w:rPr>
            </w:pPr>
          </w:p>
        </w:tc>
        <w:tc>
          <w:tcPr>
            <w:tcW w:w="800" w:type="dxa"/>
            <w:vAlign w:val="bottom"/>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percentages)</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34,468</w:t>
            </w: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27,829</w:t>
            </w: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(6,639)</w:t>
            </w:r>
          </w:p>
        </w:tc>
        <w:tc>
          <w:tcPr>
            <w:tcW w:w="30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155</w:t>
            </w:r>
          </w:p>
        </w:tc>
        <w:tc>
          <w:tcPr>
            <w:tcW w:w="8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(641)</w:t>
            </w:r>
          </w:p>
        </w:tc>
        <w:tc>
          <w:tcPr>
            <w:tcW w:w="30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(80.5)%</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35,264</w:t>
            </w:r>
          </w:p>
        </w:tc>
        <w:tc>
          <w:tcPr>
            <w:tcW w:w="220" w:type="dxa"/>
            <w:vAlign w:val="bottom"/>
            <w:vMerge w:val="continue"/>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27,984</w:t>
            </w:r>
          </w:p>
        </w:tc>
        <w:tc>
          <w:tcPr>
            <w:tcW w:w="220" w:type="dxa"/>
            <w:vAlign w:val="bottom"/>
            <w:vMerge w:val="continue"/>
          </w:tcPr>
          <w:p>
            <w:pPr>
              <w:spacing w:after="0"/>
              <w:rPr>
                <w:sz w:val="11"/>
                <w:szCs w:val="11"/>
                <w:color w:val="auto"/>
              </w:rPr>
            </w:pP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1"/>
              </w:rPr>
              <w:t>(7,280)</w:t>
            </w:r>
          </w:p>
        </w:tc>
        <w:tc>
          <w:tcPr>
            <w:tcW w:w="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(20.6)%</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-296545</wp:posOffset>
            </wp:positionV>
            <wp:extent cx="7178040"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-107950</wp:posOffset>
            </wp:positionV>
            <wp:extent cx="7178040" cy="108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280" w:space="720"/>
            <w:col w:w="5300"/>
          </w:cols>
          <w:pgMar w:left="300" w:top="129" w:right="299" w:bottom="1440" w:gutter="0" w:footer="0" w:header="0"/>
        </w:sectPr>
      </w:pPr>
    </w:p>
    <w:p>
      <w:pPr>
        <w:spacing w:after="0" w:line="279" w:lineRule="auto"/>
        <w:rPr>
          <w:sz w:val="20"/>
          <w:szCs w:val="20"/>
          <w:color w:val="auto"/>
        </w:rPr>
      </w:pPr>
      <w:r>
        <w:rPr>
          <w:rFonts w:ascii="Times New Roman" w:cs="Times New Roman" w:eastAsia="Times New Roman" w:hAnsi="Times New Roman"/>
          <w:sz w:val="12"/>
          <w:szCs w:val="12"/>
          <w:color w:val="auto"/>
        </w:rPr>
        <w:t>Net revenue decreased $7.3 million, or 20.6%, during the three months ended June 30, 2024 to $28.0 million, compared to $35.3 million for the three months ended June 30, 2023. The decrease in net revenue was primarily attributable to a decrease in direct net revenue of $6.6 million, or 19.3%, which was primarily relating to a reduction in our product offering due to our SKU rationalization.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2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8020" w:type="dxa"/>
            <w:vAlign w:val="bottom"/>
          </w:tcPr>
          <w:p>
            <w:pPr>
              <w:spacing w:after="0"/>
              <w:rPr>
                <w:sz w:val="11"/>
                <w:szCs w:val="11"/>
                <w:color w:val="auto"/>
              </w:rPr>
            </w:pPr>
          </w:p>
        </w:tc>
        <w:tc>
          <w:tcPr>
            <w:tcW w:w="1020" w:type="dxa"/>
            <w:vAlign w:val="bottom"/>
            <w:tcBorders>
              <w:bottom w:val="single" w:sz="8" w:color="auto"/>
            </w:tcBorders>
          </w:tcPr>
          <w:p>
            <w:pPr>
              <w:jc w:val="right"/>
              <w:ind w:right="103"/>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8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(in</w:t>
            </w:r>
          </w:p>
        </w:tc>
        <w:tc>
          <w:tcPr>
            <w:tcW w:w="1220" w:type="dxa"/>
            <w:vAlign w:val="bottom"/>
            <w:gridSpan w:val="2"/>
          </w:tcPr>
          <w:p>
            <w:pPr>
              <w:jc w:val="right"/>
              <w:ind w:right="700"/>
              <w:spacing w:after="0" w:line="133" w:lineRule="exact"/>
              <w:rPr>
                <w:sz w:val="20"/>
                <w:szCs w:val="20"/>
                <w:color w:val="auto"/>
              </w:rPr>
            </w:pPr>
            <w:r>
              <w:rPr>
                <w:rFonts w:ascii="Times New Roman" w:cs="Times New Roman" w:eastAsia="Times New Roman" w:hAnsi="Times New Roman"/>
                <w:sz w:val="12"/>
                <w:szCs w:val="12"/>
                <w:color w:val="auto"/>
                <w:w w:val="84"/>
              </w:rPr>
              <w:t>thousands)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Heating, cooling and air quality</w:t>
            </w: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8,394</w:t>
            </w:r>
          </w:p>
        </w:tc>
        <w:tc>
          <w:tcPr>
            <w:tcW w:w="100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10,396</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Kitchen appliances</w:t>
            </w:r>
          </w:p>
        </w:tc>
        <w:tc>
          <w:tcPr>
            <w:tcW w:w="10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6,277</w:t>
            </w:r>
          </w:p>
        </w:tc>
        <w:tc>
          <w:tcPr>
            <w:tcW w:w="10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2,111</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 and beauty</w:t>
            </w:r>
          </w:p>
        </w:tc>
        <w:tc>
          <w:tcPr>
            <w:tcW w:w="10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3,834</w:t>
            </w:r>
          </w:p>
        </w:tc>
        <w:tc>
          <w:tcPr>
            <w:tcW w:w="10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3,431</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Cookware, kitchen tools and gadgets</w:t>
            </w:r>
          </w:p>
        </w:tc>
        <w:tc>
          <w:tcPr>
            <w:tcW w:w="10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2,287</w:t>
            </w:r>
          </w:p>
        </w:tc>
        <w:tc>
          <w:tcPr>
            <w:tcW w:w="10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1,294</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Home office</w:t>
            </w:r>
          </w:p>
        </w:tc>
        <w:tc>
          <w:tcPr>
            <w:tcW w:w="10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2,627</w:t>
            </w:r>
          </w:p>
        </w:tc>
        <w:tc>
          <w:tcPr>
            <w:tcW w:w="10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2,310</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Housewares</w:t>
            </w:r>
          </w:p>
        </w:tc>
        <w:tc>
          <w:tcPr>
            <w:tcW w:w="10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6,931</w:t>
            </w:r>
          </w:p>
        </w:tc>
        <w:tc>
          <w:tcPr>
            <w:tcW w:w="10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5,046</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Essential oils and related accessories</w:t>
            </w:r>
          </w:p>
        </w:tc>
        <w:tc>
          <w:tcPr>
            <w:tcW w:w="10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4,263</w:t>
            </w:r>
          </w:p>
        </w:tc>
        <w:tc>
          <w:tcPr>
            <w:tcW w:w="10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3,236</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0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651</w:t>
            </w:r>
          </w:p>
        </w:tc>
        <w:tc>
          <w:tcPr>
            <w:tcW w:w="10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160</w:t>
            </w:r>
          </w:p>
        </w:tc>
      </w:tr>
      <w:tr>
        <w:trPr>
          <w:trHeight w:val="20"/>
        </w:trPr>
        <w:tc>
          <w:tcPr>
            <w:tcW w:w="8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8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35,264</w:t>
            </w:r>
          </w:p>
        </w:tc>
        <w:tc>
          <w:tcPr>
            <w:tcW w:w="1000" w:type="dxa"/>
            <w:vAlign w:val="bottom"/>
            <w:shd w:val="clear" w:color="auto" w:fill="CCEEFF"/>
          </w:tcPr>
          <w:p>
            <w:pPr>
              <w:jc w:val="right"/>
              <w:ind w:right="8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27,984</w:t>
            </w:r>
          </w:p>
        </w:tc>
      </w:tr>
      <w:tr>
        <w:trPr>
          <w:trHeight w:val="20"/>
        </w:trPr>
        <w:tc>
          <w:tcPr>
            <w:tcW w:w="80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3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Our Heating cooling and air quality business increased to $10.4 million during the three months ending June 30, 2024 compared to $8.4 million during the three months ending June 30, 2023 due to an enhanced marketing program for our air quality products during the quarter ending June 30, 2024, resulting in an increase in units sold. Every other category of business had a reduction in sales compared to the prior year primarily relating to the SKU rationalization that took place during the year-ended December 31, 2023 and softness in consumer demand due the macroeconomic environment. In addition, there were competitive pricing pressures coupled with certain key products losing their prominent positioning on Amazon due to competition, specifically in kitchen appliance businesses. These factors resulted in a reduction of units sold and a reduction in certain retail sales prices.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Goods Sold and Gross Profit</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800" w:type="dxa"/>
            <w:vAlign w:val="bottom"/>
          </w:tcPr>
          <w:p>
            <w:pPr>
              <w:spacing w:after="0"/>
              <w:rPr>
                <w:sz w:val="24"/>
                <w:szCs w:val="24"/>
                <w:color w:val="auto"/>
              </w:rPr>
            </w:pP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3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1"/>
                <w:szCs w:val="11"/>
                <w:color w:val="auto"/>
              </w:rPr>
            </w:pPr>
          </w:p>
        </w:tc>
        <w:tc>
          <w:tcPr>
            <w:tcW w:w="800" w:type="dxa"/>
            <w:vAlign w:val="bottom"/>
          </w:tcPr>
          <w:p>
            <w:pPr>
              <w:jc w:val="right"/>
              <w:ind w:right="23"/>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20,368</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11,093</w:t>
            </w: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(9,275)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0" w:type="dxa"/>
            <w:vAlign w:val="bottom"/>
          </w:tcPr>
          <w:p>
            <w:pPr>
              <w:spacing w:after="0"/>
              <w:rPr>
                <w:sz w:val="1"/>
                <w:szCs w:val="1"/>
                <w:color w:val="auto"/>
              </w:rPr>
            </w:pPr>
          </w:p>
        </w:tc>
      </w:tr>
      <w:tr>
        <w:trPr>
          <w:trHeight w:val="155"/>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14,896</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16,891</w:t>
            </w: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1,995</w:t>
            </w:r>
          </w:p>
        </w:tc>
        <w:tc>
          <w:tcPr>
            <w:tcW w:w="3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13.4%</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Cost of goods sold decreased by $9.3 million, from $20.4 million for the three months ended June 30, 2023 to $11.1 million for the three months ended June 30, 2024 primarily from reduced sales volumes. The decrease in cost of goods sold was primarily attributable to a decrease of $6.9 million in cost of goods sold from our direct businesses and a decrease of $2.4 million in cost of goods sold from our wholesale businesses.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Gross profit increased from 42.2% for the three months ended June 30, 2023 to 60.4% for the three months ended June 30, 2024. The increase in gross profit was due primarily to a change of product mix and a reduction in liquidation of high priced excess inventory at reduced prices compared to the prior year.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29" w:name="page30"/>
    <w:bookmarkEnd w:id="29"/>
    <w:tbl>
      <w:tblPr>
        <w:tblLayout w:type="fixed"/>
        <w:tblInd w:w="20" w:type="dxa"/>
        <w:tblCellMar>
          <w:top w:w="0" w:type="dxa"/>
          <w:left w:w="0" w:type="dxa"/>
          <w:bottom w:w="0" w:type="dxa"/>
          <w:right w:w="0" w:type="dxa"/>
        </w:tblCellMar>
      </w:tblPr>
      <w:tr>
        <w:trPr>
          <w:trHeight w:val="13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Sales and Distribution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800" w:type="dxa"/>
            <w:vAlign w:val="bottom"/>
          </w:tcPr>
          <w:p>
            <w:pPr>
              <w:spacing w:after="0"/>
              <w:rPr>
                <w:sz w:val="24"/>
                <w:szCs w:val="24"/>
                <w:color w:val="auto"/>
              </w:rPr>
            </w:pP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3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1"/>
                <w:szCs w:val="11"/>
                <w:color w:val="auto"/>
              </w:rPr>
            </w:pPr>
          </w:p>
        </w:tc>
        <w:tc>
          <w:tcPr>
            <w:tcW w:w="800" w:type="dxa"/>
            <w:vAlign w:val="bottom"/>
          </w:tcPr>
          <w:p>
            <w:pPr>
              <w:jc w:val="right"/>
              <w:ind w:right="22"/>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distribution expenses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20,557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15,162</w:t>
            </w:r>
          </w:p>
        </w:tc>
        <w:tc>
          <w:tcPr>
            <w:tcW w:w="80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(5,395)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Sales and distribution expenses, which included e-commerce platform commissions, online advertising and logistics expenses (i.e., variable sales and distribution expense), decreased to $15.2 million for the three months ended June 30, 2024, from $20.6 million for the three months ended June 30, 2023. This decrease is primarily attributable to the decrease in the volume of products sold in the three months ended June 30, 2024, as our e-commerce platform commissions, online advertising, selling and logistics expenses decreased to $12.0 million in the three months ended June 30, 2024 as compared to $16.2 million in the prior year period.</w:t>
      </w:r>
    </w:p>
    <w:p>
      <w:pPr>
        <w:spacing w:after="0" w:line="119"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Our sales and distribution fixed costs (e.g., salary and office expenses) including stock-based compensation decreased to $3.1 million for the three months ended June 30, 2024, from $4.4 million for the three months ended June 30, 2023. This decrease is primarily attributable to a decrease in headcount expense of $0.8 million, a decrease in restructuring costs of $0.7 million and a decrease in stock compensation expense of $0.1 million, partially offset by an increase in other miscellaneous costs of $0.3 million.</w:t>
      </w:r>
    </w:p>
    <w:p>
      <w:pPr>
        <w:spacing w:after="0" w:line="119"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2"/>
          <w:szCs w:val="12"/>
          <w:color w:val="auto"/>
        </w:rPr>
        <w:t>As a percentage of net revenue, sales and distribution expenses decreased to 54.2% for the three months ended June 30, 2024, from 58.3% for the three months ended June 30, 2023. E-commerce platform commissions, online advertising, selling and logistics expenses included within sales and distribution expenses, as a percentage of net revenue, were 43.0% for the three months ended June 30, 2024 as compared to 45.8% for the three months ended June 30, 2023. This decrease in sales and distribution expenses as a percentage of revenue is primarily due to product mix, with a higher proportion of heating, cooling and air quality sales during the three months ending June 30, 2024, compared to the previous quarter. These products incur lower last-mile costs as a percentage of revenue.</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780" w:type="dxa"/>
            <w:vAlign w:val="bottom"/>
            <w:tcBorders>
              <w:bottom w:val="single" w:sz="8" w:color="auto"/>
            </w:tcBorders>
          </w:tcPr>
          <w:p>
            <w:pPr>
              <w:jc w:val="right"/>
              <w:ind w:right="4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ind w:right="10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20" w:type="dxa"/>
            <w:vAlign w:val="bottom"/>
            <w:gridSpan w:val="6"/>
          </w:tcPr>
          <w:p>
            <w:pPr>
              <w:jc w:val="center"/>
              <w:ind w:left="6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7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1,709</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(1,709)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bl>
    <w:p>
      <w:pPr>
        <w:spacing w:after="0" w:line="133" w:lineRule="exact"/>
        <w:rPr>
          <w:sz w:val="20"/>
          <w:szCs w:val="20"/>
          <w:color w:val="auto"/>
        </w:rPr>
      </w:pPr>
    </w:p>
    <w:p>
      <w:pPr>
        <w:ind w:left="20" w:right="40"/>
        <w:spacing w:after="0" w:line="279" w:lineRule="auto"/>
        <w:rPr>
          <w:sz w:val="20"/>
          <w:szCs w:val="20"/>
          <w:color w:val="auto"/>
        </w:rPr>
      </w:pPr>
      <w:r>
        <w:rPr>
          <w:rFonts w:ascii="Times New Roman" w:cs="Times New Roman" w:eastAsia="Times New Roman" w:hAnsi="Times New Roman"/>
          <w:sz w:val="12"/>
          <w:szCs w:val="12"/>
          <w:color w:val="auto"/>
        </w:rPr>
        <w:t>During the three months ending March 31, 2024, the Company shifted its technology platform away from a fully internally developed model to an integrated third party model. Therefore, beginning with the three months ending March 31, 2024, technology and employee related costs have been presented in general and administrative costs on the Condensed Consolidated Statements of Operations.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2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780" w:type="dxa"/>
            <w:vAlign w:val="bottom"/>
            <w:tcBorders>
              <w:bottom w:val="single" w:sz="8" w:color="auto"/>
            </w:tcBorders>
          </w:tcPr>
          <w:p>
            <w:pPr>
              <w:jc w:val="right"/>
              <w:ind w:right="4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bottom w:val="single" w:sz="8" w:color="auto"/>
            </w:tcBorders>
          </w:tcPr>
          <w:p>
            <w:pPr>
              <w:jc w:val="right"/>
              <w:ind w:right="4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20" w:type="dxa"/>
            <w:vAlign w:val="bottom"/>
            <w:gridSpan w:val="6"/>
          </w:tcPr>
          <w:p>
            <w:pPr>
              <w:jc w:val="center"/>
              <w:ind w:left="6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7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6,281</w:t>
            </w:r>
          </w:p>
        </w:tc>
        <w:tc>
          <w:tcPr>
            <w:tcW w:w="78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4,934</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(1,347)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r>
    </w:tbl>
    <w:p>
      <w:pPr>
        <w:spacing w:after="0" w:line="133" w:lineRule="exact"/>
        <w:rPr>
          <w:sz w:val="20"/>
          <w:szCs w:val="20"/>
          <w:color w:val="auto"/>
        </w:rPr>
      </w:pPr>
    </w:p>
    <w:p>
      <w:pPr>
        <w:ind w:left="20" w:right="360"/>
        <w:spacing w:after="0" w:line="279" w:lineRule="auto"/>
        <w:rPr>
          <w:sz w:val="20"/>
          <w:szCs w:val="20"/>
          <w:color w:val="auto"/>
        </w:rPr>
      </w:pPr>
      <w:r>
        <w:rPr>
          <w:rFonts w:ascii="Times New Roman" w:cs="Times New Roman" w:eastAsia="Times New Roman" w:hAnsi="Times New Roman"/>
          <w:sz w:val="12"/>
          <w:szCs w:val="12"/>
          <w:color w:val="auto"/>
        </w:rPr>
        <w:t>The decrease in general and administrative expenses was primarily the result of a decrease of $0.9 million in depreciation and amortization, a decrease of $0.4 in headcount expenses, and a decrease of $0.4 in other miscellaneous expenses, partially offset by an increase in stock-compensation expense of $0.3 million and an increase in restructuring costs of $0.1 million.</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loss on intangibles</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74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ind w:right="10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60" w:type="dxa"/>
            <w:vAlign w:val="bottom"/>
            <w:gridSpan w:val="6"/>
          </w:tcPr>
          <w:p>
            <w:pPr>
              <w:jc w:val="center"/>
              <w:ind w:left="10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loss on intangibles</w:t>
            </w:r>
          </w:p>
        </w:tc>
        <w:tc>
          <w:tcPr>
            <w:tcW w:w="74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22,785</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(22,785)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bl>
    <w:p>
      <w:pPr>
        <w:spacing w:after="0" w:line="13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Certain asset groups experienced a significant decrease in sales and contribution margin through June 30, 2023. This was considered an interim triggering event for the three months ended June 30, 2023. Based on the analysis of comparing the undiscounted cash flow to the carrying value of the asset group, one group tested indicated that the assets may not be recoverable. For this asset group, we compared the fair value to the carrying amount of the asset group and recorded an intangible impairment charge of $22.8 million in the three months ended June 30, 2023. There was no impairment loss on intangibles during the three months ended June 30, 2024.</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net</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820" w:type="dxa"/>
            <w:vAlign w:val="bottom"/>
            <w:tcBorders>
              <w:bottom w:val="single" w:sz="8" w:color="auto"/>
            </w:tcBorders>
          </w:tcPr>
          <w:p>
            <w:pPr>
              <w:jc w:val="right"/>
              <w:ind w:right="8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tcPr>
          <w:p>
            <w:pPr>
              <w:jc w:val="right"/>
              <w:ind w:right="8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80" w:type="dxa"/>
            <w:vAlign w:val="bottom"/>
            <w:gridSpan w:val="6"/>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82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346</w:t>
            </w: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228</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w:t>
            </w: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decrease in interest expense, net of $0.1 million is primarily relating to a decrease in interest expense of $0.2 million and an increase in interest income of $0.1 million compared to the prior period due to lower average borrowings.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market value of warrant liability</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760" w:type="dxa"/>
            <w:vAlign w:val="bottom"/>
            <w:tcBorders>
              <w:bottom w:val="single" w:sz="8" w:color="auto"/>
            </w:tcBorders>
          </w:tcPr>
          <w:p>
            <w:pPr>
              <w:jc w:val="right"/>
              <w:ind w:right="2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tcPr>
          <w:p>
            <w:pPr>
              <w:jc w:val="right"/>
              <w:ind w:right="8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40" w:type="dxa"/>
            <w:vAlign w:val="bottom"/>
            <w:gridSpan w:val="6"/>
          </w:tcPr>
          <w:p>
            <w:pPr>
              <w:jc w:val="center"/>
              <w:ind w:left="8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market value of warrant liability</w:t>
            </w:r>
          </w:p>
        </w:tc>
        <w:tc>
          <w:tcPr>
            <w:tcW w:w="76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(2,197)</w:t>
            </w: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(52)</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2,145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w:t>
            </w:r>
          </w:p>
        </w:tc>
      </w:tr>
    </w:tbl>
    <w:p>
      <w:pPr>
        <w:spacing w:after="0" w:line="133"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The 2023 and 2024 activity is related to the change in fair market value of the warrant liabilities from the common stock warrants from our March 2022 equity raise of capital. The change in fair value of warrant liabilities during the three months ending June 30, 2024 primarily relates to the reduced share price compared to the prior period.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19"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3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Six Months Ended June 30, 2023 and 2024</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sets forth the components of our results of operations as a percentage of net revenue:</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680" w:type="dxa"/>
            <w:vAlign w:val="bottom"/>
            <w:gridSpan w:val="6"/>
          </w:tcPr>
          <w:p>
            <w:pPr>
              <w:jc w:val="right"/>
              <w:ind w:right="686"/>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20" w:type="dxa"/>
            <w:vAlign w:val="bottom"/>
          </w:tcPr>
          <w:p>
            <w:pPr>
              <w:spacing w:after="0"/>
              <w:rPr>
                <w:sz w:val="24"/>
                <w:szCs w:val="24"/>
                <w:color w:val="auto"/>
              </w:rPr>
            </w:pP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0"/>
                <w:szCs w:val="10"/>
                <w:b w:val="1"/>
                <w:bCs w:val="1"/>
                <w:color w:val="auto"/>
              </w:rPr>
              <w:t>2023</w:t>
            </w:r>
            <w:r>
              <w:rPr>
                <w:rFonts w:ascii="Times New Roman" w:cs="Times New Roman" w:eastAsia="Times New Roman" w:hAnsi="Times New Roman"/>
                <w:sz w:val="15"/>
                <w:szCs w:val="15"/>
                <w:b w:val="1"/>
                <w:bCs w:val="1"/>
                <w:color w:val="auto"/>
                <w:vertAlign w:val="superscript"/>
              </w:rPr>
              <w:t>(1)</w:t>
            </w:r>
          </w:p>
        </w:tc>
        <w:tc>
          <w:tcPr>
            <w:tcW w:w="3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center"/>
              <w:ind w:right="300"/>
              <w:spacing w:after="0" w:line="133" w:lineRule="exact"/>
              <w:rPr>
                <w:sz w:val="20"/>
                <w:szCs w:val="20"/>
                <w:color w:val="auto"/>
              </w:rPr>
            </w:pPr>
            <w:r>
              <w:rPr>
                <w:rFonts w:ascii="Times New Roman" w:cs="Times New Roman" w:eastAsia="Times New Roman" w:hAnsi="Times New Roman"/>
                <w:sz w:val="10"/>
                <w:szCs w:val="10"/>
                <w:b w:val="1"/>
                <w:bCs w:val="1"/>
                <w:color w:val="auto"/>
              </w:rPr>
              <w:t>2024</w:t>
            </w:r>
            <w:r>
              <w:rPr>
                <w:rFonts w:ascii="Times New Roman" w:cs="Times New Roman" w:eastAsia="Times New Roman" w:hAnsi="Times New Roman"/>
                <w:sz w:val="15"/>
                <w:szCs w:val="15"/>
                <w:b w:val="1"/>
                <w:bCs w:val="1"/>
                <w:color w:val="auto"/>
                <w:vertAlign w:val="superscript"/>
              </w:rPr>
              <w:t>(1)</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36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except percentages)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w:t>
            </w: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70,143</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48,199</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(21,944)</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0" w:type="dxa"/>
            <w:vAlign w:val="bottom"/>
          </w:tcPr>
          <w:p>
            <w:pPr>
              <w:spacing w:after="0"/>
              <w:rPr>
                <w:sz w:val="1"/>
                <w:szCs w:val="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good sold</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36,151</w:t>
            </w:r>
          </w:p>
        </w:tc>
        <w:tc>
          <w:tcPr>
            <w:tcW w:w="220" w:type="dxa"/>
            <w:vAlign w:val="bottom"/>
          </w:tcPr>
          <w:p>
            <w:pPr>
              <w:spacing w:after="0"/>
              <w:rPr>
                <w:sz w:val="12"/>
                <w:szCs w:val="12"/>
                <w:color w:val="auto"/>
              </w:rPr>
            </w:pPr>
          </w:p>
        </w:tc>
        <w:tc>
          <w:tcPr>
            <w:tcW w:w="11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18,139</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(18,012)</w:t>
            </w:r>
          </w:p>
        </w:tc>
        <w:tc>
          <w:tcPr>
            <w:tcW w:w="3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7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33,992</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6"/>
              <w:spacing w:after="0" w:line="133" w:lineRule="exact"/>
              <w:rPr>
                <w:sz w:val="20"/>
                <w:szCs w:val="20"/>
                <w:color w:val="auto"/>
              </w:rPr>
            </w:pPr>
            <w:r>
              <w:rPr>
                <w:rFonts w:ascii="Times New Roman" w:cs="Times New Roman" w:eastAsia="Times New Roman" w:hAnsi="Times New Roman"/>
                <w:sz w:val="12"/>
                <w:szCs w:val="12"/>
                <w:color w:val="auto"/>
              </w:rPr>
              <w:t>30,060</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(3,932)</w:t>
            </w:r>
          </w:p>
        </w:tc>
        <w:tc>
          <w:tcPr>
            <w:tcW w:w="3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w:t>
            </w:r>
          </w:p>
        </w:tc>
        <w:tc>
          <w:tcPr>
            <w:tcW w:w="0" w:type="dxa"/>
            <w:vAlign w:val="bottom"/>
          </w:tcPr>
          <w:p>
            <w:pPr>
              <w:spacing w:after="0"/>
              <w:rPr>
                <w:sz w:val="1"/>
                <w:szCs w:val="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and distribution</w:t>
            </w:r>
          </w:p>
        </w:tc>
        <w:tc>
          <w:tcPr>
            <w:tcW w:w="7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40,783</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28,376</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(12,407)</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0" w:type="dxa"/>
            <w:vAlign w:val="bottom"/>
          </w:tcPr>
          <w:p>
            <w:pPr>
              <w:spacing w:after="0"/>
              <w:rPr>
                <w:sz w:val="1"/>
                <w:szCs w:val="1"/>
                <w:color w:val="auto"/>
              </w:rPr>
            </w:pP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(2,956)</w:t>
            </w:r>
          </w:p>
        </w:tc>
        <w:tc>
          <w:tcPr>
            <w:tcW w:w="3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7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12,240</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10,166</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(2,074)</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0" w:type="dxa"/>
            <w:vAlign w:val="bottom"/>
          </w:tcPr>
          <w:p>
            <w:pPr>
              <w:spacing w:after="0"/>
              <w:rPr>
                <w:sz w:val="1"/>
                <w:szCs w:val="1"/>
                <w:color w:val="auto"/>
              </w:rPr>
            </w:pP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Impairment loss on intangibles</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39,445</w:t>
            </w:r>
          </w:p>
        </w:tc>
        <w:tc>
          <w:tcPr>
            <w:tcW w:w="220" w:type="dxa"/>
            <w:vAlign w:val="bottom"/>
          </w:tcPr>
          <w:p>
            <w:pPr>
              <w:spacing w:after="0"/>
              <w:rPr>
                <w:sz w:val="12"/>
                <w:szCs w:val="12"/>
                <w:color w:val="auto"/>
              </w:rPr>
            </w:pPr>
          </w:p>
        </w:tc>
        <w:tc>
          <w:tcPr>
            <w:tcW w:w="11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(39,445)</w:t>
            </w:r>
          </w:p>
        </w:tc>
        <w:tc>
          <w:tcPr>
            <w:tcW w:w="3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7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95,424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38,542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(56,882)</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loss</w:t>
            </w:r>
          </w:p>
        </w:tc>
        <w:tc>
          <w:tcPr>
            <w:tcW w:w="74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7"/>
              </w:rPr>
              <w:t>(61,432)</w:t>
            </w:r>
          </w:p>
        </w:tc>
        <w:tc>
          <w:tcPr>
            <w:tcW w:w="220" w:type="dxa"/>
            <w:vAlign w:val="bottom"/>
          </w:tcPr>
          <w:p>
            <w:pPr>
              <w:spacing w:after="0"/>
              <w:rPr>
                <w:sz w:val="11"/>
                <w:szCs w:val="11"/>
                <w:color w:val="auto"/>
              </w:rPr>
            </w:pPr>
          </w:p>
        </w:tc>
        <w:tc>
          <w:tcPr>
            <w:tcW w:w="1120" w:type="dxa"/>
            <w:vAlign w:val="bottom"/>
            <w:gridSpan w:val="2"/>
          </w:tcPr>
          <w:p>
            <w:pPr>
              <w:jc w:val="right"/>
              <w:ind w:right="106"/>
              <w:spacing w:after="0" w:line="133" w:lineRule="exact"/>
              <w:rPr>
                <w:sz w:val="20"/>
                <w:szCs w:val="20"/>
                <w:color w:val="auto"/>
              </w:rPr>
            </w:pPr>
            <w:r>
              <w:rPr>
                <w:rFonts w:ascii="Times New Roman" w:cs="Times New Roman" w:eastAsia="Times New Roman" w:hAnsi="Times New Roman"/>
                <w:sz w:val="12"/>
                <w:szCs w:val="12"/>
                <w:color w:val="auto"/>
              </w:rPr>
              <w:t>(8,482)</w:t>
            </w:r>
          </w:p>
        </w:tc>
        <w:tc>
          <w:tcPr>
            <w:tcW w:w="220" w:type="dxa"/>
            <w:vAlign w:val="bottom"/>
          </w:tcPr>
          <w:p>
            <w:pPr>
              <w:spacing w:after="0"/>
              <w:rPr>
                <w:sz w:val="11"/>
                <w:szCs w:val="11"/>
                <w:color w:val="auto"/>
              </w:rPr>
            </w:pP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52,950</w:t>
            </w:r>
          </w:p>
        </w:tc>
        <w:tc>
          <w:tcPr>
            <w:tcW w:w="320" w:type="dxa"/>
            <w:vAlign w:val="bottom"/>
          </w:tcPr>
          <w:p>
            <w:pPr>
              <w:spacing w:after="0"/>
              <w:rPr>
                <w:sz w:val="11"/>
                <w:szCs w:val="11"/>
                <w:color w:val="auto"/>
              </w:rPr>
            </w:pPr>
          </w:p>
        </w:tc>
        <w:tc>
          <w:tcPr>
            <w:tcW w:w="9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86.2%</w:t>
            </w: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552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(165)</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0" w:type="dxa"/>
            <w:vAlign w:val="bottom"/>
          </w:tcPr>
          <w:p>
            <w:pPr>
              <w:spacing w:after="0"/>
              <w:rPr>
                <w:sz w:val="1"/>
                <w:szCs w:val="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warrant liability</w:t>
            </w:r>
          </w:p>
        </w:tc>
        <w:tc>
          <w:tcPr>
            <w:tcW w:w="7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(1,843)</w:t>
            </w:r>
          </w:p>
        </w:tc>
        <w:tc>
          <w:tcPr>
            <w:tcW w:w="220" w:type="dxa"/>
            <w:vAlign w:val="bottom"/>
          </w:tcPr>
          <w:p>
            <w:pPr>
              <w:spacing w:after="0"/>
              <w:rPr>
                <w:sz w:val="12"/>
                <w:szCs w:val="12"/>
                <w:color w:val="auto"/>
              </w:rPr>
            </w:pPr>
          </w:p>
        </w:tc>
        <w:tc>
          <w:tcPr>
            <w:tcW w:w="112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(569)</w:t>
            </w:r>
          </w:p>
        </w:tc>
        <w:tc>
          <w:tcPr>
            <w:tcW w:w="22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1,274</w:t>
            </w:r>
          </w:p>
        </w:tc>
        <w:tc>
          <w:tcPr>
            <w:tcW w:w="32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69.1%</w:t>
            </w: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50</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(179)</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78.2%</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740" w:type="dxa"/>
            <w:vAlign w:val="bottom"/>
          </w:tcPr>
          <w:p>
            <w:pPr>
              <w:spacing w:after="0"/>
              <w:rPr>
                <w:sz w:val="11"/>
                <w:szCs w:val="11"/>
                <w:color w:val="auto"/>
              </w:rPr>
            </w:pPr>
          </w:p>
        </w:tc>
        <w:tc>
          <w:tcPr>
            <w:tcW w:w="6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7"/>
              </w:rPr>
              <w:t>(60,535)</w:t>
            </w:r>
          </w:p>
        </w:tc>
        <w:tc>
          <w:tcPr>
            <w:tcW w:w="220" w:type="dxa"/>
            <w:vAlign w:val="bottom"/>
          </w:tcPr>
          <w:p>
            <w:pPr>
              <w:spacing w:after="0"/>
              <w:rPr>
                <w:sz w:val="11"/>
                <w:szCs w:val="11"/>
                <w:color w:val="auto"/>
              </w:rPr>
            </w:pPr>
          </w:p>
        </w:tc>
        <w:tc>
          <w:tcPr>
            <w:tcW w:w="1120" w:type="dxa"/>
            <w:vAlign w:val="bottom"/>
            <w:gridSpan w:val="2"/>
          </w:tcPr>
          <w:p>
            <w:pPr>
              <w:jc w:val="right"/>
              <w:ind w:right="106"/>
              <w:spacing w:after="0" w:line="133" w:lineRule="exact"/>
              <w:rPr>
                <w:sz w:val="20"/>
                <w:szCs w:val="20"/>
                <w:color w:val="auto"/>
              </w:rPr>
            </w:pPr>
            <w:r>
              <w:rPr>
                <w:rFonts w:ascii="Times New Roman" w:cs="Times New Roman" w:eastAsia="Times New Roman" w:hAnsi="Times New Roman"/>
                <w:sz w:val="12"/>
                <w:szCs w:val="12"/>
                <w:color w:val="auto"/>
              </w:rPr>
              <w:t>(8,515)</w:t>
            </w:r>
          </w:p>
        </w:tc>
        <w:tc>
          <w:tcPr>
            <w:tcW w:w="220" w:type="dxa"/>
            <w:vAlign w:val="bottom"/>
          </w:tcPr>
          <w:p>
            <w:pPr>
              <w:spacing w:after="0"/>
              <w:rPr>
                <w:sz w:val="11"/>
                <w:szCs w:val="11"/>
                <w:color w:val="auto"/>
              </w:rPr>
            </w:pP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52,020</w:t>
            </w:r>
          </w:p>
        </w:tc>
        <w:tc>
          <w:tcPr>
            <w:tcW w:w="320" w:type="dxa"/>
            <w:vAlign w:val="bottom"/>
          </w:tcPr>
          <w:p>
            <w:pPr>
              <w:spacing w:after="0"/>
              <w:rPr>
                <w:sz w:val="11"/>
                <w:szCs w:val="11"/>
                <w:color w:val="auto"/>
              </w:rPr>
            </w:pPr>
          </w:p>
        </w:tc>
        <w:tc>
          <w:tcPr>
            <w:tcW w:w="9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85.9%</w:t>
            </w: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276</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224</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(430.8)%</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7"/>
              </w:rPr>
              <w:t>(60,587)</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6"/>
              <w:spacing w:after="0" w:line="133" w:lineRule="exact"/>
              <w:rPr>
                <w:sz w:val="20"/>
                <w:szCs w:val="20"/>
                <w:color w:val="auto"/>
              </w:rPr>
            </w:pPr>
            <w:r>
              <w:rPr>
                <w:rFonts w:ascii="Times New Roman" w:cs="Times New Roman" w:eastAsia="Times New Roman" w:hAnsi="Times New Roman"/>
                <w:sz w:val="12"/>
                <w:szCs w:val="12"/>
                <w:color w:val="auto"/>
              </w:rPr>
              <w:t>(8,791)</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51,796</w:t>
            </w:r>
          </w:p>
        </w:tc>
        <w:tc>
          <w:tcPr>
            <w:tcW w:w="320" w:type="dxa"/>
            <w:vAlign w:val="bottom"/>
          </w:tcPr>
          <w:p>
            <w:pPr>
              <w:spacing w:after="0"/>
              <w:rPr>
                <w:sz w:val="12"/>
                <w:szCs w:val="12"/>
                <w:color w:val="auto"/>
              </w:rPr>
            </w:pPr>
          </w:p>
        </w:tc>
        <w:tc>
          <w:tcPr>
            <w:tcW w:w="9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85.5%</w:t>
            </w:r>
          </w:p>
        </w:tc>
        <w:tc>
          <w:tcPr>
            <w:tcW w:w="0" w:type="dxa"/>
            <w:vAlign w:val="bottom"/>
          </w:tcPr>
          <w:p>
            <w:pPr>
              <w:spacing w:after="0"/>
              <w:rPr>
                <w:sz w:val="1"/>
                <w:szCs w:val="1"/>
                <w:color w:val="auto"/>
              </w:rPr>
            </w:pPr>
          </w:p>
        </w:tc>
      </w:tr>
      <w:tr>
        <w:trPr>
          <w:trHeight w:val="288"/>
        </w:trPr>
        <w:tc>
          <w:tcPr>
            <w:tcW w:w="600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   Amounts include stock-based compensation expense as follows:</w:t>
            </w: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680" w:type="dxa"/>
            <w:vAlign w:val="bottom"/>
            <w:gridSpan w:val="6"/>
          </w:tcPr>
          <w:p>
            <w:pPr>
              <w:jc w:val="right"/>
              <w:ind w:right="686"/>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20" w:type="dxa"/>
            <w:vAlign w:val="bottom"/>
          </w:tcPr>
          <w:p>
            <w:pPr>
              <w:spacing w:after="0"/>
              <w:rPr>
                <w:sz w:val="24"/>
                <w:szCs w:val="24"/>
                <w:color w:val="auto"/>
              </w:rPr>
            </w:pP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40" w:type="dxa"/>
            <w:vAlign w:val="bottom"/>
            <w:tcBorders>
              <w:top w:val="single" w:sz="8" w:color="auto"/>
            </w:tcBorders>
          </w:tcPr>
          <w:p>
            <w:pPr>
              <w:jc w:val="right"/>
              <w:ind w:right="4"/>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76"/>
              </w:rPr>
              <w:t>except</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right"/>
              <w:ind w:right="88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tcBorders>
              <w:top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1"/>
                <w:szCs w:val="11"/>
                <w:color w:val="auto"/>
              </w:rPr>
            </w:pPr>
          </w:p>
        </w:tc>
        <w:tc>
          <w:tcPr>
            <w:tcW w:w="1140" w:type="dxa"/>
            <w:vAlign w:val="bottom"/>
            <w:tcBorders>
              <w:top w:val="single" w:sz="8" w:color="auto"/>
            </w:tcBorders>
            <w:gridSpan w:val="2"/>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2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distribution expenses</w:t>
            </w: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1,245</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(516)</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0" w:type="dxa"/>
            <w:vAlign w:val="bottom"/>
          </w:tcPr>
          <w:p>
            <w:pPr>
              <w:spacing w:after="0"/>
              <w:rPr>
                <w:sz w:val="1"/>
                <w:szCs w:val="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(857)</w:t>
            </w:r>
          </w:p>
        </w:tc>
        <w:tc>
          <w:tcPr>
            <w:tcW w:w="3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3,343</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422</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14.4%</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7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5,539</w:t>
            </w:r>
          </w:p>
        </w:tc>
        <w:tc>
          <w:tcPr>
            <w:tcW w:w="22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46"/>
              <w:spacing w:after="0" w:line="133" w:lineRule="exact"/>
              <w:rPr>
                <w:sz w:val="20"/>
                <w:szCs w:val="20"/>
                <w:color w:val="auto"/>
              </w:rPr>
            </w:pPr>
            <w:r>
              <w:rPr>
                <w:rFonts w:ascii="Times New Roman" w:cs="Times New Roman" w:eastAsia="Times New Roman" w:hAnsi="Times New Roman"/>
                <w:sz w:val="12"/>
                <w:szCs w:val="12"/>
                <w:color w:val="auto"/>
              </w:rPr>
              <w:t>4,588</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(951)</w:t>
            </w:r>
          </w:p>
        </w:tc>
        <w:tc>
          <w:tcPr>
            <w:tcW w:w="320" w:type="dxa"/>
            <w:vAlign w:val="bottom"/>
          </w:tcPr>
          <w:p>
            <w:pPr>
              <w:spacing w:after="0"/>
              <w:rPr>
                <w:sz w:val="11"/>
                <w:szCs w:val="11"/>
                <w:color w:val="auto"/>
              </w:rPr>
            </w:pPr>
          </w:p>
        </w:tc>
        <w:tc>
          <w:tcPr>
            <w:tcW w:w="9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(17.2)%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components of our results of operations as a percentage of net revenue:</w:t>
      </w:r>
    </w:p>
    <w:p>
      <w:pPr>
        <w:spacing w:after="0" w:line="14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98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right"/>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jc w:val="right"/>
              <w:ind w:right="561"/>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1"/>
                <w:szCs w:val="11"/>
                <w:color w:val="auto"/>
              </w:rPr>
            </w:pPr>
          </w:p>
        </w:tc>
      </w:tr>
      <w:tr>
        <w:trPr>
          <w:trHeight w:val="133"/>
        </w:trPr>
        <w:tc>
          <w:tcPr>
            <w:tcW w:w="9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revenue</w:t>
            </w:r>
          </w:p>
        </w:tc>
        <w:tc>
          <w:tcPr>
            <w:tcW w:w="7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6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100.0%</w:t>
            </w:r>
          </w:p>
        </w:tc>
      </w:tr>
      <w:tr>
        <w:trPr>
          <w:trHeight w:val="144"/>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Cost of good sold</w:t>
            </w:r>
          </w:p>
        </w:tc>
        <w:tc>
          <w:tcPr>
            <w:tcW w:w="10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51.5</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37.6</w:t>
            </w:r>
          </w:p>
        </w:tc>
      </w:tr>
      <w:tr>
        <w:trPr>
          <w:trHeight w:val="20"/>
        </w:trPr>
        <w:tc>
          <w:tcPr>
            <w:tcW w:w="7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7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10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48.5</w:t>
            </w:r>
          </w:p>
        </w:tc>
        <w:tc>
          <w:tcPr>
            <w:tcW w:w="1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62.4</w:t>
            </w:r>
          </w:p>
        </w:tc>
      </w:tr>
      <w:tr>
        <w:trPr>
          <w:trHeight w:val="144"/>
        </w:trPr>
        <w:tc>
          <w:tcPr>
            <w:tcW w:w="9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distribution</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58.1</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58.9</w:t>
            </w:r>
          </w:p>
        </w:tc>
      </w:tr>
      <w:tr>
        <w:trPr>
          <w:trHeight w:val="144"/>
        </w:trPr>
        <w:tc>
          <w:tcPr>
            <w:tcW w:w="9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4.2</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140" w:type="dxa"/>
            <w:vAlign w:val="bottom"/>
          </w:tcPr>
          <w:p>
            <w:pPr>
              <w:spacing w:after="0"/>
              <w:rPr>
                <w:sz w:val="12"/>
                <w:szCs w:val="12"/>
                <w:color w:val="auto"/>
              </w:rPr>
            </w:pPr>
          </w:p>
        </w:tc>
      </w:tr>
      <w:tr>
        <w:trPr>
          <w:trHeight w:val="144"/>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17.5</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21.1</w:t>
            </w:r>
          </w:p>
        </w:tc>
      </w:tr>
      <w:tr>
        <w:trPr>
          <w:trHeight w:val="144"/>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 on intangibles</w:t>
            </w:r>
          </w:p>
        </w:tc>
        <w:tc>
          <w:tcPr>
            <w:tcW w:w="10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56.2</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7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7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0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136.0</w:t>
            </w:r>
          </w:p>
        </w:tc>
        <w:tc>
          <w:tcPr>
            <w:tcW w:w="16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80.0</w:t>
            </w:r>
          </w:p>
        </w:tc>
      </w:tr>
      <w:tr>
        <w:trPr>
          <w:trHeight w:val="20"/>
        </w:trPr>
        <w:tc>
          <w:tcPr>
            <w:tcW w:w="79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33"/>
        </w:trPr>
        <w:tc>
          <w:tcPr>
            <w:tcW w:w="7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loss</w:t>
            </w:r>
          </w:p>
        </w:tc>
        <w:tc>
          <w:tcPr>
            <w:tcW w:w="1020" w:type="dxa"/>
            <w:vAlign w:val="bottom"/>
          </w:tcPr>
          <w:p>
            <w:pPr>
              <w:spacing w:after="0"/>
              <w:rPr>
                <w:sz w:val="11"/>
                <w:szCs w:val="11"/>
                <w:color w:val="auto"/>
              </w:rPr>
            </w:pPr>
          </w:p>
        </w:tc>
        <w:tc>
          <w:tcPr>
            <w:tcW w:w="7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(87.6)</w:t>
            </w:r>
          </w:p>
        </w:tc>
        <w:tc>
          <w:tcPr>
            <w:tcW w:w="16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(17.6)</w:t>
            </w:r>
          </w:p>
        </w:tc>
      </w:tr>
      <w:tr>
        <w:trPr>
          <w:trHeight w:val="144"/>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shd w:val="clear" w:color="auto" w:fill="CCEEFF"/>
          </w:tcPr>
          <w:p>
            <w:pPr>
              <w:spacing w:after="0"/>
              <w:rPr>
                <w:sz w:val="12"/>
                <w:szCs w:val="12"/>
                <w:color w:val="auto"/>
              </w:rPr>
            </w:pPr>
          </w:p>
        </w:tc>
      </w:tr>
      <w:tr>
        <w:trPr>
          <w:trHeight w:val="144"/>
        </w:trPr>
        <w:tc>
          <w:tcPr>
            <w:tcW w:w="9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warrant liability</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0.3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shd w:val="clear" w:color="auto" w:fill="CCEEFF"/>
          </w:tcPr>
          <w:p>
            <w:pPr>
              <w:spacing w:after="0"/>
              <w:rPr>
                <w:sz w:val="12"/>
                <w:szCs w:val="12"/>
                <w:color w:val="auto"/>
              </w:rPr>
            </w:pPr>
          </w:p>
        </w:tc>
      </w:tr>
      <w:tr>
        <w:trPr>
          <w:trHeight w:val="20"/>
        </w:trPr>
        <w:tc>
          <w:tcPr>
            <w:tcW w:w="79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33"/>
        </w:trPr>
        <w:tc>
          <w:tcPr>
            <w:tcW w:w="7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1020" w:type="dxa"/>
            <w:vAlign w:val="bottom"/>
          </w:tcPr>
          <w:p>
            <w:pPr>
              <w:spacing w:after="0"/>
              <w:rPr>
                <w:sz w:val="11"/>
                <w:szCs w:val="11"/>
                <w:color w:val="auto"/>
              </w:rPr>
            </w:pPr>
          </w:p>
        </w:tc>
        <w:tc>
          <w:tcPr>
            <w:tcW w:w="7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(86.3)</w:t>
            </w:r>
          </w:p>
        </w:tc>
        <w:tc>
          <w:tcPr>
            <w:tcW w:w="16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(17.6)</w:t>
            </w:r>
          </w:p>
        </w:tc>
      </w:tr>
      <w:tr>
        <w:trPr>
          <w:trHeight w:val="144"/>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0.1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40" w:type="dxa"/>
            <w:vAlign w:val="bottom"/>
            <w:shd w:val="clear" w:color="auto" w:fill="CCEEFF"/>
          </w:tcPr>
          <w:p>
            <w:pPr>
              <w:spacing w:after="0"/>
              <w:rPr>
                <w:sz w:val="12"/>
                <w:szCs w:val="12"/>
                <w:color w:val="auto"/>
              </w:rPr>
            </w:pPr>
          </w:p>
        </w:tc>
      </w:tr>
      <w:tr>
        <w:trPr>
          <w:trHeight w:val="20"/>
        </w:trPr>
        <w:tc>
          <w:tcPr>
            <w:tcW w:w="79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0"/>
        </w:trPr>
        <w:tc>
          <w:tcPr>
            <w:tcW w:w="7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020" w:type="dxa"/>
            <w:vAlign w:val="bottom"/>
          </w:tcPr>
          <w:p>
            <w:pPr>
              <w:spacing w:after="0"/>
              <w:rPr>
                <w:sz w:val="12"/>
                <w:szCs w:val="12"/>
                <w:color w:val="auto"/>
              </w:rPr>
            </w:pPr>
          </w:p>
        </w:tc>
        <w:tc>
          <w:tcPr>
            <w:tcW w:w="7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9"/>
                <w:szCs w:val="9"/>
                <w:color w:val="auto"/>
              </w:rPr>
              <w:t>(86.4</w:t>
            </w:r>
            <w:r>
              <w:rPr>
                <w:rFonts w:ascii="Times New Roman" w:cs="Times New Roman" w:eastAsia="Times New Roman" w:hAnsi="Times New Roman"/>
                <w:sz w:val="15"/>
                <w:szCs w:val="15"/>
                <w:color w:val="auto"/>
                <w:vertAlign w:val="subscript"/>
              </w:rPr>
              <w:t>)%</w:t>
            </w:r>
          </w:p>
        </w:tc>
        <w:tc>
          <w:tcPr>
            <w:tcW w:w="1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9"/>
                <w:szCs w:val="9"/>
                <w:color w:val="auto"/>
              </w:rPr>
              <w:t>(18.2</w:t>
            </w:r>
            <w:r>
              <w:rPr>
                <w:rFonts w:ascii="Times New Roman" w:cs="Times New Roman" w:eastAsia="Times New Roman" w:hAnsi="Times New Roman"/>
                <w:sz w:val="15"/>
                <w:szCs w:val="15"/>
                <w:color w:val="auto"/>
                <w:vertAlign w:val="subscript"/>
              </w:rPr>
              <w:t>)%</w:t>
            </w:r>
          </w:p>
        </w:tc>
      </w:tr>
      <w:tr>
        <w:trPr>
          <w:trHeight w:val="288"/>
        </w:trPr>
        <w:tc>
          <w:tcPr>
            <w:tcW w:w="798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30</w:t>
            </w:r>
          </w:p>
        </w:tc>
        <w:tc>
          <w:tcPr>
            <w:tcW w:w="10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72"/>
        </w:trPr>
        <w:tc>
          <w:tcPr>
            <w:tcW w:w="79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1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Revenue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 by Product Categories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tables sets forth our net revenue disaggregated by product categories: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Wholesale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08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60" w:type="dxa"/>
            <w:vAlign w:val="bottom"/>
            <w:tcBorders>
              <w:bottom w:val="single" w:sz="8" w:color="auto"/>
            </w:tcBorders>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33"/>
        </w:trPr>
        <w:tc>
          <w:tcPr>
            <w:tcW w:w="740" w:type="dxa"/>
            <w:vAlign w:val="bottom"/>
          </w:tcPr>
          <w:p>
            <w:pPr>
              <w:jc w:val="right"/>
              <w:ind w:right="3"/>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220" w:type="dxa"/>
            <w:vAlign w:val="bottom"/>
          </w:tcPr>
          <w:p>
            <w:pPr>
              <w:spacing w:after="0"/>
              <w:rPr>
                <w:sz w:val="11"/>
                <w:szCs w:val="11"/>
                <w:color w:val="auto"/>
              </w:rPr>
            </w:pPr>
          </w:p>
        </w:tc>
        <w:tc>
          <w:tcPr>
            <w:tcW w:w="160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6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2"/>
          </w:tcPr>
          <w:p>
            <w:pPr>
              <w:jc w:val="right"/>
              <w:spacing w:after="0" w:line="122"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0"/>
                <w:szCs w:val="10"/>
                <w:color w:val="auto"/>
              </w:rPr>
            </w:pPr>
          </w:p>
        </w:tc>
        <w:tc>
          <w:tcPr>
            <w:tcW w:w="1140" w:type="dxa"/>
            <w:vAlign w:val="bottom"/>
            <w:tcBorders>
              <w:top w:val="single" w:sz="8" w:color="auto"/>
            </w:tcBorders>
            <w:gridSpan w:val="2"/>
          </w:tcPr>
          <w:p>
            <w:pPr>
              <w:jc w:val="right"/>
              <w:ind w:right="360"/>
              <w:spacing w:after="0" w:line="122" w:lineRule="exact"/>
              <w:rPr>
                <w:sz w:val="20"/>
                <w:szCs w:val="20"/>
                <w:color w:val="auto"/>
              </w:rPr>
            </w:pPr>
            <w:r>
              <w:rPr>
                <w:rFonts w:ascii="Times New Roman" w:cs="Times New Roman" w:eastAsia="Times New Roman" w:hAnsi="Times New Roman"/>
                <w:sz w:val="12"/>
                <w:szCs w:val="12"/>
                <w:color w:val="auto"/>
              </w:rPr>
              <w:t>percentages)</w:t>
            </w:r>
          </w:p>
        </w:tc>
        <w:tc>
          <w:tcPr>
            <w:tcW w:w="2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67,831</w:t>
            </w:r>
          </w:p>
        </w:tc>
        <w:tc>
          <w:tcPr>
            <w:tcW w:w="220" w:type="dxa"/>
            <w:vAlign w:val="bottom"/>
          </w:tcPr>
          <w:p>
            <w:pPr>
              <w:spacing w:after="0"/>
              <w:rPr>
                <w:sz w:val="12"/>
                <w:szCs w:val="12"/>
                <w:color w:val="auto"/>
              </w:rPr>
            </w:pP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47,899</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(19,932)</w:t>
            </w:r>
          </w:p>
        </w:tc>
        <w:tc>
          <w:tcPr>
            <w:tcW w:w="4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300</w:t>
            </w:r>
          </w:p>
        </w:tc>
        <w:tc>
          <w:tcPr>
            <w:tcW w:w="2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(2,012)</w:t>
            </w:r>
          </w:p>
        </w:tc>
        <w:tc>
          <w:tcPr>
            <w:tcW w:w="4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70,143</w:t>
            </w:r>
          </w:p>
        </w:tc>
        <w:tc>
          <w:tcPr>
            <w:tcW w:w="220" w:type="dxa"/>
            <w:vAlign w:val="bottom"/>
            <w:vMerge w:val="continue"/>
          </w:tcPr>
          <w:p>
            <w:pPr>
              <w:spacing w:after="0"/>
              <w:rPr>
                <w:sz w:val="11"/>
                <w:szCs w:val="11"/>
                <w:color w:val="auto"/>
              </w:rPr>
            </w:pP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48,199</w:t>
            </w:r>
          </w:p>
        </w:tc>
        <w:tc>
          <w:tcPr>
            <w:tcW w:w="220" w:type="dxa"/>
            <w:vAlign w:val="bottom"/>
            <w:vMerge w:val="continue"/>
          </w:tcPr>
          <w:p>
            <w:pPr>
              <w:spacing w:after="0"/>
              <w:rPr>
                <w:sz w:val="11"/>
                <w:szCs w:val="11"/>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(21,944)</w:t>
            </w:r>
          </w:p>
        </w:tc>
        <w:tc>
          <w:tcPr>
            <w:tcW w:w="2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(31.3)%</w:t>
            </w:r>
          </w:p>
        </w:tc>
        <w:tc>
          <w:tcPr>
            <w:tcW w:w="0" w:type="dxa"/>
            <w:vAlign w:val="bottom"/>
          </w:tcPr>
          <w:p>
            <w:pPr>
              <w:spacing w:after="0"/>
              <w:rPr>
                <w:sz w:val="1"/>
                <w:szCs w:val="1"/>
                <w:color w:val="auto"/>
              </w:rPr>
            </w:pPr>
          </w:p>
        </w:tc>
      </w:tr>
      <w:tr>
        <w:trPr>
          <w:trHeight w:val="27"/>
        </w:trPr>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-296545</wp:posOffset>
            </wp:positionV>
            <wp:extent cx="7178040"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-107950</wp:posOffset>
            </wp:positionV>
            <wp:extent cx="7178040" cy="108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280" w:space="720"/>
            <w:col w:w="5300"/>
          </w:cols>
          <w:pgMar w:left="300" w:top="129" w:right="299" w:bottom="1440" w:gutter="0" w:footer="0" w:header="0"/>
        </w:sectPr>
      </w:pPr>
    </w:p>
    <w:p>
      <w:pPr>
        <w:jc w:val="both"/>
        <w:spacing w:after="0" w:line="265" w:lineRule="auto"/>
        <w:rPr>
          <w:sz w:val="20"/>
          <w:szCs w:val="20"/>
          <w:color w:val="auto"/>
        </w:rPr>
      </w:pPr>
      <w:r>
        <w:rPr>
          <w:rFonts w:ascii="Times New Roman" w:cs="Times New Roman" w:eastAsia="Times New Roman" w:hAnsi="Times New Roman"/>
          <w:sz w:val="12"/>
          <w:szCs w:val="12"/>
          <w:color w:val="auto"/>
        </w:rPr>
        <w:t>Net revenue decreased $21.9 million, or 31.3%, during the six months ended June 30, 2024 to $48.2 million, compared to $70.1 million for the six months ended June 30, 2023. The decrease in net revenue was primarily attributable to a decrease in direct net revenue of $19.9 million, or 29.4%, which was primarily relating to a reduction in our product offering due to our SKU rationalization, competitive pricing pressure and other competitive dynamics on marketplaces.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802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Pr>
          <w:p>
            <w:pPr>
              <w:spacing w:after="0"/>
              <w:rPr>
                <w:sz w:val="11"/>
                <w:szCs w:val="11"/>
                <w:color w:val="auto"/>
              </w:rPr>
            </w:pPr>
          </w:p>
        </w:tc>
      </w:tr>
      <w:tr>
        <w:trPr>
          <w:trHeight w:val="133"/>
        </w:trPr>
        <w:tc>
          <w:tcPr>
            <w:tcW w:w="8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(in</w:t>
            </w:r>
          </w:p>
        </w:tc>
        <w:tc>
          <w:tcPr>
            <w:tcW w:w="82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84"/>
              </w:rPr>
              <w:t>thousands)</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Heating, cooling and air quality</w:t>
            </w:r>
          </w:p>
        </w:tc>
        <w:tc>
          <w:tcPr>
            <w:tcW w:w="88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13,742</w:t>
            </w:r>
          </w:p>
        </w:tc>
        <w:tc>
          <w:tcPr>
            <w:tcW w:w="60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13,600</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Kitchen appliances</w:t>
            </w:r>
          </w:p>
        </w:tc>
        <w:tc>
          <w:tcPr>
            <w:tcW w:w="8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12,648</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4,032</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 and beauty</w:t>
            </w: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8,691</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6,744</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Cookware, kitchen tools and gadgets</w:t>
            </w:r>
          </w:p>
        </w:tc>
        <w:tc>
          <w:tcPr>
            <w:tcW w:w="8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5,907</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2,690</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Home office</w:t>
            </w: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5,294</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4,341</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Housewares</w:t>
            </w:r>
          </w:p>
        </w:tc>
        <w:tc>
          <w:tcPr>
            <w:tcW w:w="8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13,140</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9,932</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Essential oils and related accessories</w:t>
            </w: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8,851</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6,443</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8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1,870</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417</w:t>
            </w:r>
          </w:p>
        </w:tc>
      </w:tr>
      <w:tr>
        <w:trPr>
          <w:trHeight w:val="20"/>
        </w:trPr>
        <w:tc>
          <w:tcPr>
            <w:tcW w:w="8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8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net revenue</w:t>
            </w:r>
          </w:p>
        </w:tc>
        <w:tc>
          <w:tcPr>
            <w:tcW w:w="88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70,143</w:t>
            </w:r>
          </w:p>
        </w:tc>
        <w:tc>
          <w:tcPr>
            <w:tcW w:w="600" w:type="dxa"/>
            <w:vAlign w:val="bottom"/>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48,199</w:t>
            </w:r>
          </w:p>
        </w:tc>
      </w:tr>
      <w:tr>
        <w:trPr>
          <w:trHeight w:val="20"/>
        </w:trPr>
        <w:tc>
          <w:tcPr>
            <w:tcW w:w="80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3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Every category of business had a reduction in sales compared to the prior year primarily relating to the SKU rationalization that took place during the year-ended December 31, 2023 and softness in consumer demand due the macroeconomic environment. In addition, there were competitive pricing pressures coupled with certain key products losing their prominent positioning on Amazon due to competition, specifically in the kitchen appliance businesses. These factors resulted in a reduction of units sold and a reduction in certain retail sales prices.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Goods Sold and Gross Profit</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right"/>
              <w:ind w:right="692"/>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20" w:type="dxa"/>
            <w:vAlign w:val="bottom"/>
          </w:tcPr>
          <w:p>
            <w:pPr>
              <w:spacing w:after="0"/>
              <w:rPr>
                <w:sz w:val="24"/>
                <w:szCs w:val="24"/>
                <w:color w:val="auto"/>
              </w:rPr>
            </w:pP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tcBorders>
              <w:top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1"/>
                <w:szCs w:val="11"/>
                <w:color w:val="auto"/>
              </w:rPr>
            </w:pPr>
          </w:p>
        </w:tc>
        <w:tc>
          <w:tcPr>
            <w:tcW w:w="1140" w:type="dxa"/>
            <w:vAlign w:val="bottom"/>
            <w:tcBorders>
              <w:top w:val="single" w:sz="8" w:color="auto"/>
            </w:tcBorders>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2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36,151</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18,139</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(18,012)</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0" w:type="dxa"/>
            <w:vAlign w:val="bottom"/>
          </w:tcPr>
          <w:p>
            <w:pPr>
              <w:spacing w:after="0"/>
              <w:rPr>
                <w:sz w:val="1"/>
                <w:szCs w:val="1"/>
                <w:color w:val="auto"/>
              </w:rPr>
            </w:pPr>
          </w:p>
        </w:tc>
      </w:tr>
      <w:tr>
        <w:trPr>
          <w:trHeight w:val="155"/>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33,992</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52"/>
              <w:spacing w:after="0"/>
              <w:rPr>
                <w:sz w:val="20"/>
                <w:szCs w:val="20"/>
                <w:color w:val="auto"/>
              </w:rPr>
            </w:pPr>
            <w:r>
              <w:rPr>
                <w:rFonts w:ascii="Times New Roman" w:cs="Times New Roman" w:eastAsia="Times New Roman" w:hAnsi="Times New Roman"/>
                <w:sz w:val="12"/>
                <w:szCs w:val="12"/>
                <w:color w:val="auto"/>
              </w:rPr>
              <w:t>30,060</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(3,932)</w:t>
            </w:r>
          </w:p>
        </w:tc>
        <w:tc>
          <w:tcPr>
            <w:tcW w:w="3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Cost of goods sold decreased by $18.0 million, from $36.2 million for the six months ended June 30, 2023 to $18.1 million for the six months ended June 30, 2024 primarily from reduced sales volumes. The decrease in cost of goods sold was primarily attributable to a decrease of $13.2 million in cost of goods sold from our direct businesses and a decrease of $4.8 million in cost of goods sold from our wholesale businesses.</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Gross profit increased from 48.5% for the six months ended June 30, 2023 to 62.4% for the six months ended June 30, 2024. The increase in gross profit was due primarily to a change of product mix and a reduction in liquidation of high priced excess inventory at reduced prices compared to the prior year.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32" w:name="page33"/>
    <w:bookmarkEnd w:id="32"/>
    <w:tbl>
      <w:tblPr>
        <w:tblLayout w:type="fixed"/>
        <w:tblInd w:w="20" w:type="dxa"/>
        <w:tblCellMar>
          <w:top w:w="0" w:type="dxa"/>
          <w:left w:w="0" w:type="dxa"/>
          <w:bottom w:w="0" w:type="dxa"/>
          <w:right w:w="0" w:type="dxa"/>
        </w:tblCellMar>
      </w:tblPr>
      <w:tr>
        <w:trPr>
          <w:trHeight w:val="13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Sales and Distribution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right"/>
              <w:ind w:right="692"/>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20" w:type="dxa"/>
            <w:vAlign w:val="bottom"/>
          </w:tcPr>
          <w:p>
            <w:pPr>
              <w:spacing w:after="0"/>
              <w:rPr>
                <w:sz w:val="24"/>
                <w:szCs w:val="24"/>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tcBorders>
              <w:top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1"/>
                <w:szCs w:val="11"/>
                <w:color w:val="auto"/>
              </w:rPr>
            </w:pPr>
          </w:p>
        </w:tc>
        <w:tc>
          <w:tcPr>
            <w:tcW w:w="1140" w:type="dxa"/>
            <w:vAlign w:val="bottom"/>
            <w:tcBorders>
              <w:top w:val="single" w:sz="8" w:color="auto"/>
            </w:tcBorders>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distribution expenses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40,783</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28,376</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(12,407)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Sales and distribution expenses, which included e-commerce platform commissions, online advertising and logistics expenses (i.e., variable sales and distribution expense), decreased to $28.4 million for the six months ended June 30, 2024, from $40.8 million for the six months ended June 30, 2023. This decrease is primarily attributable to the decrease in the volume of products sold in the six months ended June 30, 2024, as our e-commerce platform commissions, online advertising, selling and logistics expenses decreased to $22.3 million in the six months ended June 30, 2024 as compared to $33.2 million in the prior year period.</w:t>
      </w:r>
    </w:p>
    <w:p>
      <w:pPr>
        <w:spacing w:after="0" w:line="119"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Our sales and distribution fixed costs (e.g., salary and office expenses) including stock-based compensation decreased to $6.0 million for the six months ended June 30, 2024, from $7.6 million for the six months ended June 30, 2023. This decrease is primarily attributable to a decrease in headcount expense of $1.3 million, a decrease in stock-compensation expense of $0.5 million and a decrease in restructuring costs of $0.4 million, partially offset by an increase in other miscellaneous costs costs of $0.6 million.</w:t>
      </w:r>
    </w:p>
    <w:p>
      <w:pPr>
        <w:spacing w:after="0" w:line="119"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As a percentage of net revenue, sales and distribution expenses increased to 58.9% for the six months ended June 30, 2024, from 58.1% for the six months ended June 30, 2023. E-commerce platform commissions, online advertising, selling and logistics expenses included within sales and distribution expenses, as a percentage of net revenue, were 46.4% for the six months ended June 30, 2024 as compared to 47.3% for the six months ended June 30, 2023.</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780" w:type="dxa"/>
            <w:vAlign w:val="bottom"/>
            <w:tcBorders>
              <w:bottom w:val="single" w:sz="8" w:color="auto"/>
            </w:tcBorders>
          </w:tcPr>
          <w:p>
            <w:pPr>
              <w:jc w:val="right"/>
              <w:ind w:right="4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ind w:right="10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20" w:type="dxa"/>
            <w:vAlign w:val="bottom"/>
            <w:gridSpan w:val="6"/>
          </w:tcPr>
          <w:p>
            <w:pPr>
              <w:jc w:val="center"/>
              <w:ind w:left="6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7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2,956</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(2,956)</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bl>
    <w:p>
      <w:pPr>
        <w:spacing w:after="0" w:line="133" w:lineRule="exact"/>
        <w:rPr>
          <w:sz w:val="20"/>
          <w:szCs w:val="20"/>
          <w:color w:val="auto"/>
        </w:rPr>
      </w:pPr>
    </w:p>
    <w:p>
      <w:pPr>
        <w:ind w:left="20" w:right="240"/>
        <w:spacing w:after="0" w:line="279" w:lineRule="auto"/>
        <w:rPr>
          <w:sz w:val="20"/>
          <w:szCs w:val="20"/>
          <w:color w:val="auto"/>
        </w:rPr>
      </w:pPr>
      <w:r>
        <w:rPr>
          <w:rFonts w:ascii="Times New Roman" w:cs="Times New Roman" w:eastAsia="Times New Roman" w:hAnsi="Times New Roman"/>
          <w:sz w:val="12"/>
          <w:szCs w:val="12"/>
          <w:color w:val="auto"/>
        </w:rPr>
        <w:t>During the six months ending June 30, 2024, the Company shifted its technology platform away from a fully internally developed model to an integrated third party model. Therefore, beginning with the six months ending June 30, 2024, technology and employee related costs have been presented in general and administrative costs on the Condensed Consolidated Statements of Operations.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08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74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bottom w:val="single" w:sz="8" w:color="auto"/>
            </w:tcBorders>
          </w:tcPr>
          <w:p>
            <w:pPr>
              <w:jc w:val="right"/>
              <w:ind w:right="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60" w:type="dxa"/>
            <w:vAlign w:val="bottom"/>
            <w:gridSpan w:val="6"/>
          </w:tcPr>
          <w:p>
            <w:pPr>
              <w:jc w:val="center"/>
              <w:ind w:left="10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74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12,240</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10,166</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(2,074)</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r>
    </w:tbl>
    <w:p>
      <w:pPr>
        <w:spacing w:after="0" w:line="133" w:lineRule="exact"/>
        <w:rPr>
          <w:sz w:val="20"/>
          <w:szCs w:val="20"/>
          <w:color w:val="auto"/>
        </w:rPr>
      </w:pPr>
    </w:p>
    <w:p>
      <w:pPr>
        <w:ind w:left="20" w:right="740"/>
        <w:spacing w:after="0" w:line="279" w:lineRule="auto"/>
        <w:rPr>
          <w:sz w:val="20"/>
          <w:szCs w:val="20"/>
          <w:color w:val="auto"/>
        </w:rPr>
      </w:pPr>
      <w:r>
        <w:rPr>
          <w:rFonts w:ascii="Times New Roman" w:cs="Times New Roman" w:eastAsia="Times New Roman" w:hAnsi="Times New Roman"/>
          <w:sz w:val="12"/>
          <w:szCs w:val="12"/>
          <w:color w:val="auto"/>
        </w:rPr>
        <w:t>The decrease in general and administrative expenses was primarily the result of a decrease of $2.2 million in depreciation and amortization, a decrease of $0.3 million in headcount expense, and a decrease of $0.3 in other miscellaneous costs, partially offset by an increase in stock-compensation expense of $0.4 million and an increase in restructuring costs of $0.3 million.</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loss on intangibles</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74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ind w:right="10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60" w:type="dxa"/>
            <w:vAlign w:val="bottom"/>
            <w:gridSpan w:val="6"/>
          </w:tcPr>
          <w:p>
            <w:pPr>
              <w:jc w:val="center"/>
              <w:ind w:left="10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loss on intangibles</w:t>
            </w:r>
          </w:p>
        </w:tc>
        <w:tc>
          <w:tcPr>
            <w:tcW w:w="74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39,445</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(39,445)</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bl>
    <w:p>
      <w:pPr>
        <w:spacing w:after="0" w:line="13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Certain asset groups experienced a significant decrease in sales and contribution margin through June 30, 2023. This was considered an interim triggering event for the six months ended June 30, 2023. Based on the analysis of comparing the undiscounted cash flow to the carrying value of the asset group, one group tested indicated that the assets may not be recoverable. There was no impairment loss on intangibles during the six months ended June 30, 2024.</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net</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820" w:type="dxa"/>
            <w:vAlign w:val="bottom"/>
            <w:tcBorders>
              <w:bottom w:val="single" w:sz="8" w:color="auto"/>
            </w:tcBorders>
          </w:tcPr>
          <w:p>
            <w:pPr>
              <w:jc w:val="right"/>
              <w:ind w:right="8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tcPr>
          <w:p>
            <w:pPr>
              <w:jc w:val="right"/>
              <w:ind w:right="8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80" w:type="dxa"/>
            <w:vAlign w:val="bottom"/>
            <w:gridSpan w:val="6"/>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82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717</w:t>
            </w: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552</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(165)</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decrease in interest expense, net of $0.2 million is primarily relating to a decrease in interest expense of $0.5 million and an increase in interest income of $0.3 million compared to the prior period.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market value of warrant liability</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760" w:type="dxa"/>
            <w:vAlign w:val="bottom"/>
            <w:tcBorders>
              <w:bottom w:val="single" w:sz="8" w:color="auto"/>
            </w:tcBorders>
          </w:tcPr>
          <w:p>
            <w:pPr>
              <w:jc w:val="right"/>
              <w:ind w:right="22"/>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bottom w:val="single" w:sz="8" w:color="auto"/>
            </w:tcBorders>
          </w:tcPr>
          <w:p>
            <w:pPr>
              <w:jc w:val="right"/>
              <w:ind w:right="6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40" w:type="dxa"/>
            <w:vAlign w:val="bottom"/>
            <w:gridSpan w:val="6"/>
          </w:tcPr>
          <w:p>
            <w:pPr>
              <w:jc w:val="center"/>
              <w:ind w:left="80"/>
              <w:spacing w:after="0" w:line="133" w:lineRule="exact"/>
              <w:rPr>
                <w:sz w:val="20"/>
                <w:szCs w:val="20"/>
                <w:color w:val="auto"/>
              </w:rPr>
            </w:pPr>
            <w:r>
              <w:rPr>
                <w:rFonts w:ascii="Times New Roman" w:cs="Times New Roman" w:eastAsia="Times New Roman" w:hAnsi="Times New Roman"/>
                <w:sz w:val="12"/>
                <w:szCs w:val="12"/>
                <w:color w:val="auto"/>
                <w:w w:val="99"/>
              </w:rPr>
              <w:t>(in thousands, except percentages)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market value of warrant liability</w:t>
            </w:r>
          </w:p>
        </w:tc>
        <w:tc>
          <w:tcPr>
            <w:tcW w:w="76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(1,843)</w:t>
            </w: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(569)</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1,274</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w:t>
            </w:r>
          </w:p>
        </w:tc>
      </w:tr>
    </w:tbl>
    <w:p>
      <w:pPr>
        <w:spacing w:after="0" w:line="133"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The 2023 and 2024 activity is related to the change in fair market value of the warrant liabilities from the common stock warrants from our March 2022 equity raise of capital. The change in fair value of warrant liabilities during the six months ending June 30, 2024 primarily relates to the reduced share price compared to the prior period.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19" w:right="29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Cash Flows for the Six Months Ended June 30, 2023 and 2024</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The following table provides information regarding our cash flows for the six months ended June 30, 2023 and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78040" cy="91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wp:posOffset>
            </wp:positionV>
            <wp:extent cx="7178040" cy="91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color w:val="auto"/>
        </w:rPr>
        <w:t>Cash used in financing activities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Effect of exchange rate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7178040" cy="108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Net change in cash and restricted cash for the period</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Net Cash (Used in)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Six Months Ended 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11"/>
                <w:szCs w:val="11"/>
                <w:color w:val="auto"/>
              </w:rPr>
            </w:pPr>
          </w:p>
        </w:tc>
      </w:tr>
      <w:tr>
        <w:trPr>
          <w:trHeight w:val="122"/>
        </w:trPr>
        <w:tc>
          <w:tcPr>
            <w:tcW w:w="340" w:type="dxa"/>
            <w:vAlign w:val="bottom"/>
          </w:tcPr>
          <w:p>
            <w:pPr>
              <w:spacing w:after="0"/>
              <w:rPr>
                <w:sz w:val="10"/>
                <w:szCs w:val="10"/>
                <w:color w:val="auto"/>
              </w:rPr>
            </w:pPr>
          </w:p>
        </w:tc>
        <w:tc>
          <w:tcPr>
            <w:tcW w:w="1140" w:type="dxa"/>
            <w:vAlign w:val="bottom"/>
          </w:tcPr>
          <w:p>
            <w:pPr>
              <w:jc w:val="right"/>
              <w:ind w:right="40"/>
              <w:spacing w:after="0" w:line="122" w:lineRule="exact"/>
              <w:rPr>
                <w:sz w:val="20"/>
                <w:szCs w:val="20"/>
                <w:color w:val="auto"/>
              </w:rPr>
            </w:pPr>
            <w:r>
              <w:rPr>
                <w:rFonts w:ascii="Times New Roman" w:cs="Times New Roman" w:eastAsia="Times New Roman" w:hAnsi="Times New Roman"/>
                <w:sz w:val="12"/>
                <w:szCs w:val="12"/>
                <w:color w:val="auto"/>
              </w:rPr>
              <w:t>(in</w:t>
            </w: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2"/>
                <w:szCs w:val="12"/>
                <w:color w:val="auto"/>
                <w:w w:val="84"/>
              </w:rPr>
              <w:t>thousands)</w:t>
            </w: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(8,857)</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2,896</w:t>
            </w:r>
          </w:p>
        </w:tc>
      </w:tr>
      <w:tr>
        <w:trPr>
          <w:trHeight w:val="144"/>
        </w:trPr>
        <w:tc>
          <w:tcPr>
            <w:tcW w:w="34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(191)</w:t>
            </w:r>
          </w:p>
        </w:tc>
        <w:tc>
          <w:tcPr>
            <w:tcW w:w="4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(242)</w:t>
            </w:r>
          </w:p>
        </w:tc>
      </w:tr>
      <w:tr>
        <w:trPr>
          <w:trHeight w:val="144"/>
        </w:trPr>
        <w:tc>
          <w:tcPr>
            <w:tcW w:w="34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(6,547)</w:t>
            </w:r>
          </w:p>
        </w:tc>
        <w:tc>
          <w:tcPr>
            <w:tcW w:w="4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(2,336)</w:t>
            </w:r>
          </w:p>
        </w:tc>
      </w:tr>
      <w:tr>
        <w:trPr>
          <w:trHeight w:val="155"/>
        </w:trPr>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0"/>
        </w:trPr>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(15,340)</w:t>
            </w: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289</w:t>
            </w:r>
          </w:p>
        </w:tc>
        <w:tc>
          <w:tcPr>
            <w:tcW w:w="40" w:type="dxa"/>
            <w:vAlign w:val="bottom"/>
          </w:tcPr>
          <w:p>
            <w:pPr>
              <w:spacing w:after="0"/>
              <w:rPr>
                <w:sz w:val="12"/>
                <w:szCs w:val="12"/>
                <w:color w:val="auto"/>
              </w:rPr>
            </w:pPr>
          </w:p>
        </w:tc>
      </w:tr>
    </w:tbl>
    <w:p>
      <w:pPr>
        <w:spacing w:after="0" w:line="421" w:lineRule="exact"/>
        <w:rPr>
          <w:sz w:val="20"/>
          <w:szCs w:val="20"/>
          <w:color w:val="auto"/>
        </w:rPr>
      </w:pPr>
    </w:p>
    <w:p>
      <w:pPr>
        <w:sectPr>
          <w:pgSz w:w="11900" w:h="16838" w:orient="portrait"/>
          <w:cols w:equalWidth="0" w:num="2">
            <w:col w:w="7320" w:space="720"/>
            <w:col w:w="3280"/>
          </w:cols>
          <w:pgMar w:left="280" w:top="129" w:right="299" w:bottom="1440" w:gutter="0" w:footer="0" w:header="0"/>
        </w:sectPr>
      </w:pPr>
    </w:p>
    <w:p>
      <w:pPr>
        <w:ind w:right="60"/>
        <w:spacing w:after="0" w:line="265" w:lineRule="auto"/>
        <w:rPr>
          <w:sz w:val="20"/>
          <w:szCs w:val="20"/>
          <w:color w:val="auto"/>
        </w:rPr>
      </w:pPr>
      <w:r>
        <w:rPr>
          <w:rFonts w:ascii="Times New Roman" w:cs="Times New Roman" w:eastAsia="Times New Roman" w:hAnsi="Times New Roman"/>
          <w:sz w:val="12"/>
          <w:szCs w:val="12"/>
          <w:color w:val="auto"/>
        </w:rPr>
        <w:t>Net cash used in operating activities was $8.9 million for the six months ended June 30, 2023, resulting primarily from our net cash losses from operations of $14.2 million, impacts from working capital of $5.3 million from changes in accounts receivable, purchases of inventory and payments of accounts payable. The reduction of gross inventory of $6.7 million from December 31, 2022 to June 30, 2023 primarily relates to the liquidation of high priced excess inventory and a reduction of purchases for the period.</w:t>
      </w:r>
    </w:p>
    <w:p>
      <w:pPr>
        <w:spacing w:after="0" w:line="119" w:lineRule="exact"/>
        <w:rPr>
          <w:sz w:val="20"/>
          <w:szCs w:val="20"/>
          <w:color w:val="auto"/>
        </w:rPr>
      </w:pPr>
    </w:p>
    <w:p>
      <w:pPr>
        <w:ind w:left="20"/>
        <w:spacing w:after="0" w:line="279" w:lineRule="auto"/>
        <w:rPr>
          <w:sz w:val="20"/>
          <w:szCs w:val="20"/>
          <w:color w:val="auto"/>
        </w:rPr>
      </w:pPr>
      <w:r>
        <w:rPr>
          <w:rFonts w:ascii="Times New Roman" w:cs="Times New Roman" w:eastAsia="Times New Roman" w:hAnsi="Times New Roman"/>
          <w:sz w:val="12"/>
          <w:szCs w:val="12"/>
          <w:color w:val="auto"/>
        </w:rPr>
        <w:t>Net cash generated by operating activities was $2.9 million for the six months ended June 30, 2024, resulting primarily from our net cash losses from operations of $5.0 million, inflow from working capital of $7.9 million from changes in accounts receivable, purchases of inventory and payments of accounts payable. The working capital benefit primarily relates to the timing of payments for our seasonal air quality products.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Net Cash Used in Investing Activities</w:t>
      </w:r>
    </w:p>
    <w:p>
      <w:pPr>
        <w:spacing w:after="0" w:line="152" w:lineRule="exact"/>
        <w:rPr>
          <w:sz w:val="20"/>
          <w:szCs w:val="20"/>
          <w:color w:val="auto"/>
        </w:rPr>
      </w:pPr>
    </w:p>
    <w:p>
      <w:pPr>
        <w:ind w:left="20" w:right="340"/>
        <w:spacing w:after="0" w:line="279" w:lineRule="auto"/>
        <w:rPr>
          <w:sz w:val="20"/>
          <w:szCs w:val="20"/>
          <w:color w:val="auto"/>
        </w:rPr>
      </w:pPr>
      <w:r>
        <w:rPr>
          <w:rFonts w:ascii="Times New Roman" w:cs="Times New Roman" w:eastAsia="Times New Roman" w:hAnsi="Times New Roman"/>
          <w:sz w:val="12"/>
          <w:szCs w:val="12"/>
          <w:color w:val="auto"/>
        </w:rPr>
        <w:t>For the six months ended June 30, 2023, net cash used in investing activities was $0.2 million primarily related to the remaining payment for the purchase of Step and Go assets which was acquired during the three months ending December 31, 2022.</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the six months ended June 30, 2024, net cash used in investing activities was $0.2 million primarily related to the purchase of a minority equity investment in 4th and Heart during the six months ending June 30, 2024.</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Net Cash Used in Financing Activities</w:t>
      </w:r>
    </w:p>
    <w:p>
      <w:pPr>
        <w:spacing w:after="0" w:line="152" w:lineRule="exact"/>
        <w:rPr>
          <w:sz w:val="20"/>
          <w:szCs w:val="20"/>
          <w:color w:val="auto"/>
        </w:rPr>
      </w:pPr>
    </w:p>
    <w:p>
      <w:pPr>
        <w:ind w:left="20" w:right="400"/>
        <w:spacing w:after="0" w:line="279" w:lineRule="auto"/>
        <w:rPr>
          <w:sz w:val="20"/>
          <w:szCs w:val="20"/>
          <w:color w:val="auto"/>
        </w:rPr>
      </w:pPr>
      <w:r>
        <w:rPr>
          <w:rFonts w:ascii="Times New Roman" w:cs="Times New Roman" w:eastAsia="Times New Roman" w:hAnsi="Times New Roman"/>
          <w:sz w:val="12"/>
          <w:szCs w:val="12"/>
          <w:color w:val="auto"/>
        </w:rPr>
        <w:t>For the six months ended June 30, 2023, cash used by financing activities of $6.5 million primarily from the net repayments for our MidCap credit facility of $5.5 million, repayment of note payable to Smash of $0.5 million and payment of insurance obligations of $0.5 million.</w:t>
      </w:r>
    </w:p>
    <w:p>
      <w:pPr>
        <w:spacing w:after="0" w:line="111" w:lineRule="exact"/>
        <w:rPr>
          <w:sz w:val="20"/>
          <w:szCs w:val="20"/>
          <w:color w:val="auto"/>
        </w:rPr>
      </w:pPr>
    </w:p>
    <w:p>
      <w:pPr>
        <w:ind w:left="20"/>
        <w:spacing w:after="0" w:line="279" w:lineRule="auto"/>
        <w:rPr>
          <w:sz w:val="20"/>
          <w:szCs w:val="20"/>
          <w:color w:val="auto"/>
        </w:rPr>
      </w:pPr>
      <w:r>
        <w:rPr>
          <w:rFonts w:ascii="Times New Roman" w:cs="Times New Roman" w:eastAsia="Times New Roman" w:hAnsi="Times New Roman"/>
          <w:sz w:val="12"/>
          <w:szCs w:val="12"/>
          <w:color w:val="auto"/>
        </w:rPr>
        <w:t>For the six months ended June 30, 2024, cash used by financing activities of $2.3 million primarily from the net repayments for our MidCap credit facility of $1.6 million, repayment of note payable to Smash of $0.4 million and payment of insurance obligations of $0.3 million.</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type w:val="continuous"/>
        </w:sectPr>
      </w:pPr>
    </w:p>
    <w:bookmarkStart w:id="34" w:name="page35"/>
    <w:bookmarkEnd w:id="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of the date the accompanying Condensed Consolidated Financial Statements were issued (the “issuance date”), we evaluated the significance of the following adverse financial conditions in accordance with Accounting Standard Codification 205-40, Going Concern:</w:t>
      </w:r>
    </w:p>
    <w:p>
      <w:pPr>
        <w:spacing w:after="0" w:line="111" w:lineRule="exact"/>
        <w:rPr>
          <w:sz w:val="20"/>
          <w:szCs w:val="20"/>
          <w:color w:val="auto"/>
        </w:rPr>
      </w:pPr>
    </w:p>
    <w:p>
      <w:pPr>
        <w:ind w:left="340" w:right="520" w:hanging="4"/>
        <w:spacing w:after="0" w:line="265" w:lineRule="auto"/>
        <w:tabs>
          <w:tab w:leader="none" w:pos="412"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our inception, we have incurred significant losses and used cash flows from operations to fund our enterprise. In this regard, during the six months ended June 30, 2024, we incurred a net loss of $8.8 million and generated net cash flows from operations of $2.9 million. In addition, as of June 30, 2024, we had unrestricted cash and cash equivalents of $20.3 million available to fund our operations and an accumulated deficit of $708.6 million.</w:t>
      </w:r>
    </w:p>
    <w:p>
      <w:pPr>
        <w:spacing w:after="0" w:line="118" w:lineRule="exact"/>
        <w:rPr>
          <w:rFonts w:ascii="Times New Roman" w:cs="Times New Roman" w:eastAsia="Times New Roman" w:hAnsi="Times New Roman"/>
          <w:sz w:val="12"/>
          <w:szCs w:val="12"/>
          <w:color w:val="auto"/>
        </w:rPr>
      </w:pPr>
    </w:p>
    <w:p>
      <w:pPr>
        <w:jc w:val="both"/>
        <w:ind w:left="320" w:hanging="8"/>
        <w:spacing w:after="0" w:line="256" w:lineRule="auto"/>
        <w:tabs>
          <w:tab w:leader="none" w:pos="393"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required to remain in compliance with certain financial covenants required by the MidCap Credit facility (See Note 7, Credit Facility, Term Loans and Warrants). We were in compliance with these financial covenants as of June 30, 2024, and expect to remain in compliance through at least June 30, 2025. During February 2024, the Company amended its terms with Midcap Credit Facility extending the term until December 2026 and amending certain financial covenants with favorable terms. We can provide no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24" w:lineRule="exact"/>
        <w:rPr>
          <w:rFonts w:ascii="Times New Roman" w:cs="Times New Roman" w:eastAsia="Times New Roman" w:hAnsi="Times New Roman"/>
          <w:sz w:val="12"/>
          <w:szCs w:val="12"/>
          <w:color w:val="auto"/>
        </w:rPr>
      </w:pPr>
    </w:p>
    <w:p>
      <w:pPr>
        <w:jc w:val="both"/>
        <w:ind w:left="320" w:hanging="8"/>
        <w:spacing w:after="0" w:line="265" w:lineRule="auto"/>
        <w:tabs>
          <w:tab w:leader="none" w:pos="40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issuance date, we have no firm commitments to secure additional outside capital from lenders or investors. While we expect to continue to explore raising additional outside capital, specifically to fund our M&amp;A strategy,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18" w:lineRule="exact"/>
        <w:rPr>
          <w:rFonts w:ascii="Times New Roman" w:cs="Times New Roman" w:eastAsia="Times New Roman" w:hAnsi="Times New Roman"/>
          <w:sz w:val="12"/>
          <w:szCs w:val="12"/>
          <w:color w:val="auto"/>
        </w:rPr>
      </w:pPr>
    </w:p>
    <w:p>
      <w:pPr>
        <w:jc w:val="both"/>
        <w:ind w:left="320" w:hanging="8"/>
        <w:spacing w:after="0" w:line="257" w:lineRule="auto"/>
        <w:tabs>
          <w:tab w:leader="none" w:pos="395"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has initiated two restructuring programs over the last 15 months to reduce operating costs and right size the workforce to align with the scale of our streamlined operations. In addition, we have reduced the SKU count to solely focus on profitable products that are core to the Company’s strategy. During the six months ending June 30, 2024, we extended the term with Midcap Credit Facility until December 2026 (See Note 7, Credit Facility, Term Loans and Warrants)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1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Nasdaq Listing - </w:t>
      </w:r>
      <w:r>
        <w:rPr>
          <w:rFonts w:ascii="Times New Roman" w:cs="Times New Roman" w:eastAsia="Times New Roman" w:hAnsi="Times New Roman"/>
          <w:sz w:val="12"/>
          <w:szCs w:val="12"/>
          <w:color w:val="auto"/>
        </w:rPr>
        <w:t>On April 24, 2023, we received a letter from the Listing Qualifications Staff of The Nasdaq Stock Market LLC (“Nasdaq”) indicating that, based upon the closing bid price of our common stock for the last 30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consecutive business days, the Company is currently in compliance with the requirement to maintain a minimum bid price of $1.00 per share for continued listing on The Nasdaq Capital Market, as set forth in Nasdaq Listing Rule 5550(a)(2)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(the “Extension Notice”).</w:t>
      </w:r>
    </w:p>
    <w:p>
      <w:pPr>
        <w:spacing w:after="0" w:line="12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spacing w:after="0" w:line="11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On August 11, 2023, Aterian's shareholders approved discretionary authority to our Board to (A) amend our Amended and Restated Certificate of Incorporation to effect one or more consolidations of the issued and outstanding shares of our common stock, par value $0.0001 per share, pursuant to which the shares of Common Stock would be combined and reclassified at ratios within the range from 1-for-2 up to 1-for-30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w:t>
      </w:r>
    </w:p>
    <w:p>
      <w:pPr>
        <w:spacing w:after="0" w:line="1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On March 20, 2024, the Company filed a Certificate of Amendment to its Amended and Restated Certificate of Incorporation of the Company with the Secretary of State of Delaware (the “Certificate of Amendment”) to affect a 1 -for-12 reverse stock split (the “Reverse Stock Split”) of the shares of the Company’s common stock, par value $0.0001 per share (the “Common Stock”). The Certificate of Amendment did not decrease the number of authorized shares of Common Stock.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not impact any stockholder’s percentage ownership of Common Stock (except to the extent the Reverse Stock Split results in any stockholder owning fractional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Common Stock began trading on a Reverse Stock Split-adjusted basis on the Nasdaq on March 22, 2024. All share and per share data has been retroactively adjusted to reflect the Reverse Stock Split.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Restructuring - </w:t>
      </w:r>
      <w:r>
        <w:rPr>
          <w:rFonts w:ascii="Times New Roman" w:cs="Times New Roman" w:eastAsia="Times New Roman" w:hAnsi="Times New Roman"/>
          <w:sz w:val="12"/>
          <w:szCs w:val="12"/>
          <w:color w:val="auto"/>
        </w:rPr>
        <w:t>On May 9, 2023, the Company announced a plan to reduce expenses by implementing a reduction in its current workforce impacting approximately 50 employees and 15 contractors, primarily in the Philippines.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recognized restructuring charges of $1.6 million for the year-ended December 31, 2023, respectively.</w:t>
      </w:r>
    </w:p>
    <w:p>
      <w:pPr>
        <w:spacing w:after="0" w:line="10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On February 8, 2024, the Company committed to a fixed cost-cutting plan, including a reduction in workforce which resulted in the termination of approximately 17 employees and 26 contractors globally. The Company recognized restructuring charges of $17 thousand and $0.6 million for the three and six months ended June 30, 2024, respectively.</w:t>
      </w:r>
    </w:p>
    <w:p>
      <w:pPr>
        <w:spacing w:after="0" w:line="111" w:lineRule="exact"/>
        <w:rPr>
          <w:sz w:val="20"/>
          <w:szCs w:val="20"/>
          <w:color w:val="auto"/>
        </w:rPr>
      </w:pPr>
    </w:p>
    <w:p>
      <w:pPr>
        <w:ind w:left="20" w:right="220"/>
        <w:spacing w:after="0" w:line="279" w:lineRule="auto"/>
        <w:rPr>
          <w:sz w:val="20"/>
          <w:szCs w:val="20"/>
          <w:color w:val="auto"/>
        </w:rPr>
      </w:pPr>
      <w:r>
        <w:rPr>
          <w:rFonts w:ascii="Times New Roman" w:cs="Times New Roman" w:eastAsia="Times New Roman" w:hAnsi="Times New Roman"/>
          <w:sz w:val="12"/>
          <w:szCs w:val="12"/>
          <w:color w:val="auto"/>
        </w:rPr>
        <w:t>As of June 30, 2024, the Company has a liability of $0.2 million for restructuring costs included in accrued expenses and other current liabilities on the consolidated balance sheet. As of June 30, 2023, the Company has a liability of $0.6 million for restructuring costs, of which $0.5 million is included in accrued expenses and other current liabilities and $0.1 million is included in other liabilities on the consolidated balance sheet.</w:t>
      </w:r>
    </w:p>
    <w:p>
      <w:pPr>
        <w:spacing w:after="0" w:line="10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MidCap Credit Facility </w:t>
      </w:r>
      <w:r>
        <w:rPr>
          <w:rFonts w:ascii="Times New Roman" w:cs="Times New Roman" w:eastAsia="Times New Roman" w:hAnsi="Times New Roman"/>
          <w:sz w:val="12"/>
          <w:szCs w:val="12"/>
          <w:color w:val="auto"/>
        </w:rPr>
        <w:t>—On December 22, 2021, we entered into a Credit Facility with MidCap, pursuant to which, among other things, (i) the lenders party thereto as lenders (the “Lenders”) agreed to provide a revolving credit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facility in a principal amount of up to $40.0 million subject to a borrowing base consisting of, among other things, inventory and sales receivables (subject to certain reserves), and (ii) we agreed to issue to MidCap Funding XXVII Trust a warrant to purchase up to an aggregate of 16,667 shares of our common stock, in exchange for the Lenders extending loans and other extensions of credit to us under the Credit Facility.</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Prior to the February 2024 amendment, The Credit Facility contained a financial covenant that required us to maintain a minimum unrestricted cash balance of (a) $12.5 million during the period from February 1st through and including May 31st of each calendar year, and (b) $15.0 million at all other times.</w:t>
      </w:r>
    </w:p>
    <w:p>
      <w:pPr>
        <w:spacing w:after="0" w:line="11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Condensed Consolidated Financial Statements were issued.</w:t>
      </w:r>
    </w:p>
    <w:p>
      <w:pPr>
        <w:spacing w:after="0" w:line="12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outstanding balance on the MidCap credit facility as of December 31, 2023 and June 30, 2024 was $11.1 million and $9.6 million, respectively. The Company had $1.1 million available on the Midcap credit facility as of June 30, 2024. We are in compliance with the financial covenants contained within the Credit Agreement as of June 30, 2024.</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that our financial statements and the other financial data included in this Quarterly Report have been prepared in a manner that complies, in all material respects, with generally accepted accounting principles in the 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However, for the reasons discussed below, we have presented certain non-GAAP measures herein.</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provision for income taxes. As used herein, Adjusted EBITDA represents EBITDA plus stock-based compensation expense, changes in fair-market value of warrant liability, impairment on intangibles, restructuring expenses,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2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recognize that EBITDA, Adjusted EBITDA and Adjusted EBITDA as a percentage of net revenue, have limitations as analytical financial measures. For example, neither EBITDA nor Adjusted EBITDA reflects:</w:t>
      </w:r>
    </w:p>
    <w:p>
      <w:pPr>
        <w:spacing w:after="0" w:line="150" w:lineRule="exact"/>
        <w:rPr>
          <w:sz w:val="20"/>
          <w:szCs w:val="20"/>
          <w:color w:val="auto"/>
        </w:rPr>
      </w:pPr>
    </w:p>
    <w:p>
      <w:pPr>
        <w:ind w:left="360" w:hanging="68"/>
        <w:spacing w:after="0"/>
        <w:tabs>
          <w:tab w:leader="none" w:pos="3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capital expenditures or future requirements for capital expenditures or mergers and acquisitions;</w:t>
      </w:r>
    </w:p>
    <w:p>
      <w:pPr>
        <w:spacing w:after="0" w:line="150" w:lineRule="exact"/>
        <w:rPr>
          <w:rFonts w:ascii="Times New Roman" w:cs="Times New Roman" w:eastAsia="Times New Roman" w:hAnsi="Times New Roman"/>
          <w:sz w:val="12"/>
          <w:szCs w:val="12"/>
          <w:color w:val="auto"/>
        </w:rPr>
      </w:pPr>
    </w:p>
    <w:p>
      <w:pPr>
        <w:ind w:left="360" w:hanging="68"/>
        <w:spacing w:after="0"/>
        <w:tabs>
          <w:tab w:leader="none" w:pos="3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 expense or the cash requirements necessary to service interest expense or principal payments, associated with indebtedness;</w:t>
      </w:r>
    </w:p>
    <w:p>
      <w:pPr>
        <w:spacing w:after="0" w:line="150" w:lineRule="exact"/>
        <w:rPr>
          <w:rFonts w:ascii="Times New Roman" w:cs="Times New Roman" w:eastAsia="Times New Roman" w:hAnsi="Times New Roman"/>
          <w:sz w:val="12"/>
          <w:szCs w:val="12"/>
          <w:color w:val="auto"/>
        </w:rPr>
      </w:pPr>
    </w:p>
    <w:p>
      <w:pPr>
        <w:ind w:left="360" w:hanging="68"/>
        <w:spacing w:after="0"/>
        <w:tabs>
          <w:tab w:leader="none" w:pos="3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depreciation and amortization, which are non-cash charges, although the assets being depreciated and amortized will likely have to be replaced in the future, or any cash requirements for the replacement of assets;</w:t>
      </w:r>
    </w:p>
    <w:p>
      <w:pPr>
        <w:spacing w:after="0" w:line="150" w:lineRule="exact"/>
        <w:rPr>
          <w:rFonts w:ascii="Times New Roman" w:cs="Times New Roman" w:eastAsia="Times New Roman" w:hAnsi="Times New Roman"/>
          <w:sz w:val="12"/>
          <w:szCs w:val="12"/>
          <w:color w:val="auto"/>
        </w:rPr>
      </w:pPr>
    </w:p>
    <w:p>
      <w:pPr>
        <w:ind w:left="360" w:hanging="68"/>
        <w:spacing w:after="0"/>
        <w:tabs>
          <w:tab w:leader="none" w:pos="3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cash requirements for our working capital needs; or</w:t>
      </w:r>
    </w:p>
    <w:p>
      <w:pPr>
        <w:spacing w:after="0" w:line="150" w:lineRule="exact"/>
        <w:rPr>
          <w:rFonts w:ascii="Times New Roman" w:cs="Times New Roman" w:eastAsia="Times New Roman" w:hAnsi="Times New Roman"/>
          <w:sz w:val="12"/>
          <w:szCs w:val="12"/>
          <w:color w:val="auto"/>
        </w:rPr>
      </w:pPr>
    </w:p>
    <w:p>
      <w:pPr>
        <w:ind w:left="360" w:hanging="68"/>
        <w:spacing w:after="0"/>
        <w:tabs>
          <w:tab w:leader="none" w:pos="3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warrant liabilities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Adjusted EBITDA excludes non-cash stock-based compensation expense, which is and is expected to remain a key element of our overall long-term incentive compensation package.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also recognize that Contribution margin and Contribution margin as a percentage of net revenue have limitations as analytical financial measures. For example, Contribution margin does not reflect:</w:t>
      </w:r>
    </w:p>
    <w:p>
      <w:pPr>
        <w:spacing w:after="0" w:line="150" w:lineRule="exact"/>
        <w:rPr>
          <w:sz w:val="20"/>
          <w:szCs w:val="20"/>
          <w:color w:val="auto"/>
        </w:rPr>
      </w:pPr>
    </w:p>
    <w:p>
      <w:pPr>
        <w:ind w:left="360" w:hanging="68"/>
        <w:spacing w:after="0"/>
        <w:tabs>
          <w:tab w:leader="none" w:pos="3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and administrative expense necessary to operate our business; research and development expenses necessary for the development, operation and support of our software platform;</w:t>
      </w:r>
    </w:p>
    <w:p>
      <w:pPr>
        <w:spacing w:after="0" w:line="150" w:lineRule="exact"/>
        <w:rPr>
          <w:rFonts w:ascii="Times New Roman" w:cs="Times New Roman" w:eastAsia="Times New Roman" w:hAnsi="Times New Roman"/>
          <w:sz w:val="12"/>
          <w:szCs w:val="12"/>
          <w:color w:val="auto"/>
        </w:rPr>
      </w:pPr>
    </w:p>
    <w:p>
      <w:pPr>
        <w:ind w:left="360" w:hanging="68"/>
        <w:spacing w:after="0"/>
        <w:tabs>
          <w:tab w:leader="none" w:pos="3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fixed costs portion of our sales and distribution expenses including stock-based compensation expense; or</w:t>
      </w:r>
    </w:p>
    <w:p>
      <w:pPr>
        <w:spacing w:after="0" w:line="150" w:lineRule="exact"/>
        <w:rPr>
          <w:rFonts w:ascii="Times New Roman" w:cs="Times New Roman" w:eastAsia="Times New Roman" w:hAnsi="Times New Roman"/>
          <w:sz w:val="12"/>
          <w:szCs w:val="12"/>
          <w:color w:val="auto"/>
        </w:rPr>
      </w:pPr>
    </w:p>
    <w:p>
      <w:pPr>
        <w:ind w:left="360" w:hanging="68"/>
        <w:spacing w:after="0"/>
        <w:tabs>
          <w:tab w:leader="none" w:pos="3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warrant liabilities</w:t>
      </w:r>
    </w:p>
    <w:p>
      <w:pPr>
        <w:spacing w:after="0" w:line="1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540"/>
          </w:cols>
          <w:pgMar w:left="300" w:top="129" w:right="10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Contribution Margin</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720" w:type="dxa"/>
            <w:vAlign w:val="bottom"/>
            <w:gridSpan w:val="6"/>
          </w:tcPr>
          <w:p>
            <w:pPr>
              <w:jc w:val="right"/>
              <w:ind w:right="652"/>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60" w:type="dxa"/>
            <w:vAlign w:val="bottom"/>
          </w:tcPr>
          <w:p>
            <w:pPr>
              <w:spacing w:after="0"/>
              <w:rPr>
                <w:sz w:val="13"/>
                <w:szCs w:val="13"/>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6"/>
              </w:rPr>
              <w:t>except</w:t>
            </w: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vMerge w:val="continue"/>
          </w:tcPr>
          <w:p>
            <w:pPr>
              <w:spacing w:after="0"/>
              <w:rPr>
                <w:sz w:val="11"/>
                <w:szCs w:val="11"/>
                <w:color w:val="auto"/>
              </w:rPr>
            </w:pPr>
          </w:p>
        </w:tc>
        <w:tc>
          <w:tcPr>
            <w:tcW w:w="1120" w:type="dxa"/>
            <w:vAlign w:val="bottom"/>
            <w:gridSpan w:val="2"/>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72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14,896</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2"/>
                <w:szCs w:val="12"/>
                <w:color w:val="auto"/>
              </w:rPr>
              <w:t>16,891</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33,992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30,060</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E-commerce platform commissions, online advertising, selling and logistics expenses</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(16,164)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2"/>
                <w:szCs w:val="12"/>
                <w:color w:val="auto"/>
              </w:rPr>
              <w:t>(12,024)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(33,193)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(22,345)</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Contribution margin</w:t>
            </w:r>
          </w:p>
        </w:tc>
        <w:tc>
          <w:tcPr>
            <w:tcW w:w="720" w:type="dxa"/>
            <w:vAlign w:val="bottom"/>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(1,268)</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72"/>
              <w:spacing w:after="0" w:line="133" w:lineRule="exact"/>
              <w:rPr>
                <w:sz w:val="20"/>
                <w:szCs w:val="20"/>
                <w:color w:val="auto"/>
              </w:rPr>
            </w:pPr>
            <w:r>
              <w:rPr>
                <w:rFonts w:ascii="Times New Roman" w:cs="Times New Roman" w:eastAsia="Times New Roman" w:hAnsi="Times New Roman"/>
                <w:sz w:val="12"/>
                <w:szCs w:val="12"/>
                <w:color w:val="auto"/>
              </w:rPr>
              <w:t>4,867</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799</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7,715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 as a percentage of net revenue</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60.4%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48.5%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62.4%</w:t>
            </w:r>
          </w:p>
        </w:tc>
        <w:tc>
          <w:tcPr>
            <w:tcW w:w="0" w:type="dxa"/>
            <w:vAlign w:val="bottom"/>
          </w:tcPr>
          <w:p>
            <w:pPr>
              <w:spacing w:after="0"/>
              <w:rPr>
                <w:sz w:val="1"/>
                <w:szCs w:val="1"/>
                <w:color w:val="auto"/>
              </w:rPr>
            </w:pPr>
          </w:p>
        </w:tc>
      </w:tr>
      <w:tr>
        <w:trPr>
          <w:trHeight w:val="155"/>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Contribution margin as a percentage of net revenue</w:t>
            </w:r>
          </w:p>
        </w:tc>
        <w:tc>
          <w:tcPr>
            <w:tcW w:w="7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w:t>
            </w:r>
          </w:p>
        </w:tc>
        <w:tc>
          <w:tcPr>
            <w:tcW w:w="220" w:type="dxa"/>
            <w:vAlign w:val="bottom"/>
          </w:tcPr>
          <w:p>
            <w:pPr>
              <w:spacing w:after="0"/>
              <w:rPr>
                <w:sz w:val="13"/>
                <w:szCs w:val="13"/>
                <w:color w:val="auto"/>
              </w:rPr>
            </w:pPr>
          </w:p>
        </w:tc>
        <w:tc>
          <w:tcPr>
            <w:tcW w:w="11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17.4%</w:t>
            </w:r>
          </w:p>
        </w:tc>
        <w:tc>
          <w:tcPr>
            <w:tcW w:w="2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16.0%</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Adjusted EBITDA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EBITDA and Adjusted EBITDA to net loss, which is the most directly comparable financial measure presented in accordance with GAAP: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00" w:type="dxa"/>
            <w:vAlign w:val="bottom"/>
          </w:tcPr>
          <w:p>
            <w:pPr>
              <w:spacing w:after="0"/>
              <w:rPr>
                <w:sz w:val="13"/>
                <w:szCs w:val="13"/>
                <w:color w:val="auto"/>
              </w:rPr>
            </w:pPr>
          </w:p>
        </w:tc>
        <w:tc>
          <w:tcPr>
            <w:tcW w:w="2120" w:type="dxa"/>
            <w:vAlign w:val="bottom"/>
            <w:gridSpan w:val="4"/>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tcBorders>
              <w:top w:val="single" w:sz="8" w:color="auto"/>
              <w:bottom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70"/>
              </w:rPr>
              <w:t>except</w:t>
            </w: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0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240" w:type="dxa"/>
            <w:vAlign w:val="bottom"/>
            <w:vMerge w:val="continue"/>
          </w:tcPr>
          <w:p>
            <w:pPr>
              <w:spacing w:after="0"/>
              <w:rPr>
                <w:sz w:val="11"/>
                <w:szCs w:val="11"/>
                <w:color w:val="auto"/>
              </w:rPr>
            </w:pPr>
          </w:p>
        </w:tc>
        <w:tc>
          <w:tcPr>
            <w:tcW w:w="1140" w:type="dxa"/>
            <w:vAlign w:val="bottom"/>
            <w:gridSpan w:val="2"/>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percentages)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(34,787)</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(3,629)</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(60,587)</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(8,791)</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26</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205</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52</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72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346</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228</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717</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1,202</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430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2,964</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EBITDA</w:t>
            </w:r>
          </w:p>
        </w:tc>
        <w:tc>
          <w:tcPr>
            <w:tcW w:w="720" w:type="dxa"/>
            <w:vAlign w:val="bottom"/>
          </w:tcPr>
          <w:p>
            <w:pPr>
              <w:spacing w:after="0"/>
              <w:rPr>
                <w:sz w:val="11"/>
                <w:szCs w:val="11"/>
                <w:color w:val="auto"/>
              </w:rPr>
            </w:pPr>
          </w:p>
        </w:tc>
        <w:tc>
          <w:tcPr>
            <w:tcW w:w="6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(33,213)</w:t>
            </w:r>
          </w:p>
        </w:tc>
        <w:tc>
          <w:tcPr>
            <w:tcW w:w="740" w:type="dxa"/>
            <w:vAlign w:val="bottom"/>
          </w:tcPr>
          <w:p>
            <w:pPr>
              <w:spacing w:after="0"/>
              <w:rPr>
                <w:sz w:val="11"/>
                <w:szCs w:val="11"/>
                <w:color w:val="auto"/>
              </w:rPr>
            </w:pPr>
          </w:p>
        </w:tc>
        <w:tc>
          <w:tcPr>
            <w:tcW w:w="6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(2,766)</w:t>
            </w:r>
          </w:p>
        </w:tc>
        <w:tc>
          <w:tcPr>
            <w:tcW w:w="260" w:type="dxa"/>
            <w:vAlign w:val="bottom"/>
          </w:tcPr>
          <w:p>
            <w:pPr>
              <w:spacing w:after="0"/>
              <w:rPr>
                <w:sz w:val="11"/>
                <w:szCs w:val="11"/>
                <w:color w:val="auto"/>
              </w:rPr>
            </w:pP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(56,854)</w:t>
            </w:r>
          </w:p>
        </w:tc>
        <w:tc>
          <w:tcPr>
            <w:tcW w:w="260" w:type="dxa"/>
            <w:vAlign w:val="bottom"/>
          </w:tcPr>
          <w:p>
            <w:pPr>
              <w:spacing w:after="0"/>
              <w:rPr>
                <w:sz w:val="11"/>
                <w:szCs w:val="11"/>
                <w:color w:val="auto"/>
              </w:rPr>
            </w:pPr>
          </w:p>
        </w:tc>
        <w:tc>
          <w:tcPr>
            <w:tcW w:w="10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(7,105)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expense, net</w:t>
            </w:r>
          </w:p>
        </w:tc>
        <w:tc>
          <w:tcPr>
            <w:tcW w:w="7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176</w:t>
            </w:r>
          </w:p>
        </w:tc>
        <w:tc>
          <w:tcPr>
            <w:tcW w:w="7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43</w:t>
            </w:r>
          </w:p>
        </w:tc>
        <w:tc>
          <w:tcPr>
            <w:tcW w:w="2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229</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 on intangibles</w:t>
            </w:r>
          </w:p>
        </w:tc>
        <w:tc>
          <w:tcPr>
            <w:tcW w:w="72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22,785</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39,445</w:t>
            </w:r>
          </w:p>
        </w:tc>
        <w:tc>
          <w:tcPr>
            <w:tcW w:w="2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market value of warrant liability</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(2,197)</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(52)</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(1,843)</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(569)</w:t>
            </w:r>
          </w:p>
        </w:tc>
        <w:tc>
          <w:tcPr>
            <w:tcW w:w="0" w:type="dxa"/>
            <w:vAlign w:val="bottom"/>
          </w:tcPr>
          <w:p>
            <w:pPr>
              <w:spacing w:after="0"/>
              <w:rPr>
                <w:sz w:val="1"/>
                <w:szCs w:val="1"/>
                <w:color w:val="auto"/>
              </w:rPr>
            </w:pPr>
          </w:p>
        </w:tc>
      </w:tr>
      <w:tr>
        <w:trPr>
          <w:trHeight w:val="144"/>
        </w:trPr>
        <w:tc>
          <w:tcPr>
            <w:tcW w:w="59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Restructuring expense</w:t>
            </w:r>
            <w:r>
              <w:rPr>
                <w:rFonts w:ascii="Times New Roman" w:cs="Times New Roman" w:eastAsia="Times New Roman" w:hAnsi="Times New Roman"/>
                <w:sz w:val="16"/>
                <w:szCs w:val="16"/>
                <w:color w:val="auto"/>
                <w:vertAlign w:val="superscript"/>
              </w:rPr>
              <w:t>(1)</w:t>
            </w:r>
          </w:p>
        </w:tc>
        <w:tc>
          <w:tcPr>
            <w:tcW w:w="72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1,216</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1,216</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3,223</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2,921</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5,539</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Adjusted EBITDA</w:t>
            </w:r>
          </w:p>
        </w:tc>
        <w:tc>
          <w:tcPr>
            <w:tcW w:w="720" w:type="dxa"/>
            <w:vAlign w:val="bottom"/>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(8,010)</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163</w:t>
            </w:r>
          </w:p>
        </w:tc>
        <w:tc>
          <w:tcPr>
            <w:tcW w:w="2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(12,268)</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(2,461)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as a percentage of net revenue</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(98.6)%</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(86.4)%</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0" w:type="dxa"/>
            <w:vAlign w:val="bottom"/>
          </w:tcPr>
          <w:p>
            <w:pPr>
              <w:spacing w:after="0"/>
              <w:rPr>
                <w:sz w:val="1"/>
                <w:szCs w:val="1"/>
                <w:color w:val="auto"/>
              </w:rPr>
            </w:pPr>
          </w:p>
        </w:tc>
      </w:tr>
      <w:tr>
        <w:trPr>
          <w:trHeight w:val="155"/>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as a percentage of net revenue</w:t>
            </w:r>
          </w:p>
        </w:tc>
        <w:tc>
          <w:tcPr>
            <w:tcW w:w="7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(22.7)%</w:t>
            </w:r>
          </w:p>
        </w:tc>
        <w:tc>
          <w:tcPr>
            <w:tcW w:w="7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0.6%</w:t>
            </w:r>
          </w:p>
        </w:tc>
        <w:tc>
          <w:tcPr>
            <w:tcW w:w="2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(17.5)%</w:t>
            </w:r>
          </w:p>
        </w:tc>
        <w:tc>
          <w:tcPr>
            <w:tcW w:w="2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580" w:right="1840" w:hanging="5372"/>
        <w:spacing w:after="0" w:line="561" w:lineRule="auto"/>
        <w:tabs>
          <w:tab w:leader="none" w:pos="5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Restructuring expenses include non-recurring employee severance costs relating to the Company reorganization executed during the three and six months ending June 30, 2023 and 2024.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Use of Estimates</w:t>
      </w:r>
    </w:p>
    <w:p>
      <w:pPr>
        <w:spacing w:after="0" w:line="1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As discussed in our Form 10-K for the fiscal year ended December 31, 2023, the discussion and analysis of our financial condition and results of operations are based upon our consolidated financial statements, which have been prepared in conformity with accounting principles generally accepted in the United States of America (“US GAAP”). The preparation of these consolidated financial statements requires us to make estimates and assumptions that affect the amounts of assets, liabilities, revenues and expenses reported in those consolidated financial statements. These judgments can be subjective and complex, and consequently, actual results could differ from those estimates. Our most critical accounting policies and estimates relate to revenue recognition; leases; impairment of intangible assets; impairment of long-lived assets; and income taxes (including uncertain tax positions). There have been no significant changes to the Company’s accounting policies subsequent to December 31, 2023.</w:t>
      </w:r>
    </w:p>
    <w:p>
      <w:pPr>
        <w:spacing w:after="0" w:line="1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Intangible asset valuation</w:t>
      </w:r>
      <w:r>
        <w:rPr>
          <w:rFonts w:ascii="Times New Roman" w:cs="Times New Roman" w:eastAsia="Times New Roman" w:hAnsi="Times New Roman"/>
          <w:sz w:val="12"/>
          <w:szCs w:val="12"/>
          <w:color w:val="auto"/>
        </w:rPr>
        <w:t>—We review long-lived assets for impairment when performance expectations, events, or changes in circumstances indicate that the asset's carrying value may not be recoverable. The evaluation is performed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triggering events to test intangibles for impairment loss during the six months ended June 30, 2024.</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and future operating efficiencies.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54" w:lineRule="exact"/>
        <w:rPr>
          <w:sz w:val="20"/>
          <w:szCs w:val="20"/>
          <w:color w:val="auto"/>
        </w:rPr>
      </w:pPr>
    </w:p>
    <w:p>
      <w:pPr>
        <w:ind w:left="20" w:right="20"/>
        <w:spacing w:after="0" w:line="279"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Based on the evaluation of our disclosure controls and procedures as of June 30, 2024, our Chief Executive Officer and Chief Financial Officer concluded that our disclosure controls and procedures were effective as of June 30, 2024.</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Dismissal of Independent Registered Public Accounting Firm</w:t>
      </w:r>
    </w:p>
    <w:p>
      <w:pPr>
        <w:spacing w:after="0" w:line="15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On June 26, 2024, the Audit Committee of the Board of Directors of Aterian, Inc. (the "Company") approved the dismissal of Deloitte &amp; Touche LLP (“Deloitte”) as the Company's independent registered public accounting firm and engaged UHY LLP (“UHY”) as the Company's independent registered public accounting firm.</w:t>
      </w:r>
    </w:p>
    <w:p>
      <w:pPr>
        <w:spacing w:after="0" w:line="1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Deloitte’s report on the Company’s consolidated financial statements for the two most recent fiscal years ended December 31, 2023 and 2022 did not contain an adverse opinion or disclaimer of opinion and was not qualified or modified as to uncertainty, audit scope or accounting principles except for Deloitte’s unqualified opinion on the financial statements that included an explanatory paragraph regarding substantial doubt about the Company’s ability to continue as a going concern. During the Company’s two most recent fiscal years ended December 31, 2023 and 2022, and subsequent interim periods through the date of this report, there were no disagreements with Deloitte on any matter of accounting principles or practices, financial statement disclosure, or auditing scope or procedure which, if not resolved to the satisfaction of Deloitte, would have caused Deloitte to make reference to the matter in connection with its report. There were no reportable events of the type listed in paragraphs (A) through (D) of Item 304(a)(1)(v) of Regulation S-K that occurred within the years ended December 31, 2023 and 2022, and subsequent interim periods through the date of this report.</w:t>
      </w:r>
    </w:p>
    <w:p>
      <w:pPr>
        <w:spacing w:after="0" w:line="12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provided Deloitte with a copy of the disclosures it is making in this report and requested that Deloitte furnish a letter addressed to the SEC stating whether Deloitte agrees with the statements made herein and, if it does not agree, the respects in which it does not agree, in accordance with Item 304(a)(3) of Regulation S-K. A copy of Deloitte’s letter, dated June 27, 2024, is filed as Exhibit 16.1 to this Form 10-Q.</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Appointment of New Independent Registered Public Accounting Firm.</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As noted above, as a result of the Audit Committee’s assessment and review of several accounting firms, also effective June 26, 2024, the Company completed the appointment of UHY LLP ("UHY") as its independent registered public accounting firm. During the Company’s two most recent fiscal years ended December 31, 2023 and 2022, and the subsequent interim periods through the date of this report, neither the Company nor anyone acting on its behalf has consulted with UHY regarding (i) the application of accounting principles to a specified transaction, either completed or proposed, or the type of audit opinion that might be rendered on the Company’s consolidated financial statements, and either a written report was provided to the Company by UHY, or oral advice was provided that UHY concluded was an important factor considered by the Company in reaching a decision as to the accounting, auditing or financial reporting issue; or (ii) any matter that was either the subject of a “disagreement” (as defined in paragraph 304(a)(1)(iv) of Regulation S-K and the related instructions) or a “reportable event” (as described in paragraph 304(a)(1)(v) of Regulation S-K).</w:t>
      </w:r>
    </w:p>
    <w:p>
      <w:pPr>
        <w:spacing w:after="0" w:line="125"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There were no other changes in our internal control over financial reporting that occurred during the six months ended June 30, 2024, that materially affected, or are reasonably likely to materially affect, our internal control over financial reporting.</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Limitations on Effectiveness of Controls and Procedures</w:t>
      </w:r>
    </w:p>
    <w:p>
      <w:pPr>
        <w:spacing w:after="0" w:line="154"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PART II</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OTHER INFORMATION</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The information set forth under the headings “Shareholder Derivative Actions Related to the Securities Class Action”, "Earn-out Payment Dispute" and “Mueller Action” in Note 10 of our Condensed Consolidated Financial Statements in this Quarterly Report on Form 10-Q is incorporated herein by reference.</w:t>
      </w:r>
    </w:p>
    <w:p>
      <w:pPr>
        <w:spacing w:after="0" w:line="111"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We are party to various actions and claims arising in the normal course of business. We do not believe that the final outcome of these matters will have a material adverse effect on our financial position or results of operations. In addition, we maintain what we believe is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2"/>
          <w:szCs w:val="12"/>
          <w:color w:val="auto"/>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Risks Relating to Our Business</w:t>
      </w:r>
    </w:p>
    <w:p>
      <w:pPr>
        <w:spacing w:after="0" w:line="150" w:lineRule="exact"/>
        <w:rPr>
          <w:sz w:val="20"/>
          <w:szCs w:val="20"/>
          <w:color w:val="auto"/>
        </w:rPr>
      </w:pPr>
    </w:p>
    <w:p>
      <w:pPr>
        <w:ind w:left="20" w:right="3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historically operated at a loss and we may never achieve or sustain continuous profitability or positive cash flows. Further we and our independent registered public accounting firm have expressed substantial doubt about our ability to continue as a going concern.</w:t>
      </w:r>
    </w:p>
    <w:p>
      <w:pPr>
        <w:spacing w:after="0" w:line="10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1"/>
          <w:szCs w:val="11"/>
          <w:color w:val="auto"/>
        </w:rPr>
        <w:t>We have experienced significant after tax losses for the three and six months ended June 30, 2024 and 2023, respectively. In addition, our costs have increased historically and may increase further in future periods, which could negatively affect our future operating results and ability to achieve and sustain long-term ongoing profitability. For example, we may need to continue to expend substantial financial and other resources on the ideation, sourcing and development of products, our technology infrastructure, research and development,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long-term continuous profitability. Even if we do, there can be no assurance that we will be able to maintain or increase profitability on a quarterly or annual basis. Failure to achieve or sustain profitability could have a material adverse effect on our business.</w:t>
      </w:r>
    </w:p>
    <w:p>
      <w:pPr>
        <w:spacing w:after="0" w:line="11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Our growth strategy has resulted in operating losses and negative cash flows from operations that raised substantial doubt about our ability to continue as a going concern. Our former independent registered public accounting firm included an explanatory paragraph in its report on our financial statements as of and for the year-ended December 31, 2023,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 significant majority of our revenue results from sales of products on Amazon’s U.S. Marketplace and any change, limitation, or restriction on our ability to operate on Amazon’s platform could have a material adverse impact on our business, operating results, financial condition, and cash flows.</w:t>
      </w:r>
    </w:p>
    <w:p>
      <w:pPr>
        <w:spacing w:after="0" w:line="10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1"/>
          <w:szCs w:val="11"/>
          <w:color w:val="auto"/>
        </w:rPr>
        <w:t>A substantial percentage of our revenue is from sales of products on Amazon’s U.S. marketplace and we are subject to Amazon’s terms of service (“ToS”) and various other Amazon seller policies.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or our product listings are required to be changed, for noncompliance or any other reason, including UPC brand mismatches, our reinstatement efforts may take significant time and attention or could fail, which could have a material adverse effect on our business, operating results, financial condition, and cash flows. In addition, Amazon has made, and we expect will continue to make, changes to its platform that could require us to change the manner in which we operate, limit our ability to successfully market existing products and to launch new products or increase our costs to operate. Such changes and the efforts required to maintain compliance therewith could have an adverse effect on our business, operating results, financial condition, and cash flows. Examples of past changes from Amazon have included platform fee increases (i.e., storage, advertising, fulfillment and selling commissions), inventory warehouse limitations, restrictions on certain marketing activities and changes to listing requirements that limit the variations of products that can be included in a single listing. Any change, limitation or restriction on our ability to sell on Amazon’s platform, even if temporary, could have a material impact on our business, operating results, financial condition, and cash flows. 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 material impact on our business, results of operations, financial condition, and cash flows. We have historically experienced Amazon’s removal of the Prime badge guarantee from certain of our seller accounts and in those cases we have had limited success having the Prime badge guarantee reinstated in a timely manner or at all. We are currently experiencing such loss of Prime badge on one of our seller accounts and may not be able to recover such badge on a timely manner or at all.</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129" w:right="29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efforts to grow our business through new products, marketplace and geographic expansion may not be successful and may place a significant strain on our management and operational, financial and other resources.</w:t>
      </w:r>
    </w:p>
    <w:p>
      <w:pPr>
        <w:spacing w:after="0" w:line="1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2"/>
          <w:szCs w:val="12"/>
          <w:color w:val="auto"/>
        </w:rPr>
        <w:t>Our long-term success depends on our ability to develop and commercialize a continuing stream of new products, to expand both to new marketplaces and geographies and to leverage new technologies we may incorporate into our business. We have entered and expect to continue to enter new product categories and both new marketplaces and geographies for which we have limited or no experience. In part we rely on Amazon’s global reviews program for success in our international expansion. If that program were to be limited, reduced or discontinued, our international expansion would be negatively affected. We also in part rely on our ability to include new products as variations to existing listings on Amazon. If that strategy were no longer possible for whatever reason, our ability to launch new products could be materially affected. Our efforts to grow our business place significant strain on our management, personnel, operations, systems, financial resources, and internal financial control and reporting functions, among other things. We have limited personnel and resources and have reduced headcount significantly in recent years. In order to accomplish our growth goals, our team is required to focus on such growth ventures and reallocate their time and other resources, creating risk in all aspects of our business. We face the risk that we will be unable to disrupt incumbents and that our competitors will introduce new and better products that compete with us. There are numerous uncertainties inherent in successfully developing and commercializing new products on a continuing basis and new product launches may not deliver expected growth in sales or operating results. Any new product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it may have an adverse effect on our business, operating results, financial condition, and cash flows. Our failure to successfully execute on our growth initiatives can negatively impact our financial results, financial condition, and cash flows.</w:t>
      </w:r>
    </w:p>
    <w:p>
      <w:pPr>
        <w:spacing w:after="0" w:line="1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unsuccessful in making investments, unable to make or unsuccessful in integrating acquisitions or in maintaining or growing the financial performance of any investees or acquired businesses which may adversely affect our business and operating results and could impact the price of our common stock and result in dilution to shareholders.</w:t>
      </w:r>
    </w:p>
    <w:p>
      <w:pPr>
        <w:spacing w:after="0" w:line="10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1"/>
          <w:szCs w:val="11"/>
          <w:color w:val="auto"/>
        </w:rPr>
        <w:t>Acquisitions and investments are an important aspect of our growth strategy and we expect to continue to pursue brand and other strategic acquisitions and investments. We have acquired a number of companies, and we may in the future acquire or invest in or enter into joint ventures with additional companies. Such acquisitions have in the past required, and in the future may require, the attention of management in integrating those businesses including increased attention to managing the supply chain of certain acquisitions. In addition, we have been required to in the past, and may be required to in the future, make significant impairment charges relating to the goodwill and intangible assets of such acquired businesses. The market for acquisitions has historically been highly competitive. Our growth strategy may be adversely affected if we face increased competition for or fail to identify suitable targets. In addition, pursuing or completing any such acquisitions or investments could divert management’s attention, and otherwise disrupt our operations and adversely affect our operating results, financial condition, and cash flows. Any acquisition or investment, if not favorably received by consumers, shareholders, analysts, and others in the investment community, could have a material adverse effect on the price of our common stock. In addition, any acquisition involves numerous risks, including: failing to identify problems during due diligence, liabilities or other shortcomings or challenges that could cause a target to under-perform post-closing; difficulties in the assimilation of the operations, technologies, products, and personnel associated with the acquisition and unanticipated expenses related to such integration; challenges in integrating distribution channels; diversion of management's attention from other business concerns; difficulties in transitioning and preserving customer, contractor, supplier, and other important third-party relationships; challenges realizing anticipated cost savings, synergies and other benefits; the potential impairment of tangible and intangible assets and goodwill; risks of entering markets in which we have no or limited experience; risks associated with subsequent losses including potential unknown liabilities associated with a company we acquire; and problems retaining key personnel. We provide no assurances that we will be able to complete any acquisitions or that any acquired businesses will experience the same or better level of financial performance as prior to the acquisition.</w:t>
      </w:r>
    </w:p>
    <w:p>
      <w:pPr>
        <w:spacing w:after="0" w:line="11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 order to complete any future acquisitions, we may need to use our cash on hand, raise additional equity or incur or assume debt, any of which could harm our business. Given the Company’s current market capitalization, certain of these options may not be available or only be available on unfavorable terms and could result in significant additional dilution to our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We may be limited by our ability to raise the funding we need to support our growth, including through acquisitions, or to maintain our existing business. Also, such funding may be available only by diluting existing stockholders.</w:t>
      </w:r>
    </w:p>
    <w:p>
      <w:pPr>
        <w:spacing w:after="0" w:line="1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The success of our business depends in part on our ability to invest significant resources in various aspects of our business including acquisitions and other strategic investments. Our success also depends on our ability to grow through acquisitions. To support our business growth, we will likely require additional funds to maintain and grow our business and to respond to business challenges. Accordingly, from time to time we may need to engage in equity or debt financings to secure additional funds. If we raise additional funds through issuances of equity or convertible debt securities, that would result in significant dilution to our existing stockholders, and any new equity securities we issue could have rights, preferences and privileges superior to those of holders of our common stock. Any debt we may incur may negatively impact our business, financial condition and operating results. We have in the past and may in the future incur debt that allows us to repay such debt using our common stock, which could result in significant dilution. Further, we may not be able to obtain additional financing on terms favorable to us, or at all, whether due to issues related to the Company or unrelated to the Company including but not limited to bank failures. If we are unable to obtain adequate financing or financing on terms satisfactory to us, when we require it, our ability to grow or to respond to business challenges would be significantly limited, and our business could fail or our operating results, financial condition, and cash flows could be adversely affected.</w:t>
      </w:r>
    </w:p>
    <w:p>
      <w:pPr>
        <w:spacing w:after="0" w:line="12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continue to acquire the financing needed in order to pursue future acquisitions or similar transactions or we may not be able to raise sufficient equity or equity-like capital without first seeking stockholder approval, which could limit our ability to complete such financing, or to complete any related transaction on a timely basis or at all.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280" w:top="129" w:right="31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Risks Relating to the Ownership of our Common Stock</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There is no guarantee of a continuing public market for you to resell our common stock.</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There is no guarantee that we will continue to meet all requirements for continued listing on the Nasdaq Capital Market. We must continue to satisfy Nasdaq’s continued listing requirements, including, among other things, a minimum closing bid price requirement of $1.00 per share</w:t>
      </w:r>
    </w:p>
    <w:p>
      <w:pPr>
        <w:spacing w:after="0" w:line="1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On April 24, 2023, we received a letter from the Listing Qualifications Staff of The Nasdaq Stock Market LLC (“Nasdaq”) indicating that, based upon the closing bid price of our common stock for the last 30 consecutive business days, the Company was not in compliance with the requirement to maintain a minimum bid price of $1.00 per share for continued listing on The Nasdaq Capital Market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 On April 8, 2024, Aterian, Inc. (the “Company”) received written notice (the “Compliance Notice”) from Nasdaq informing the Company that it has regained compliance with Nasdaq Listing Rule 5450(a)(1) which requires that companies listed on Nasdaq maintain a minimum bid price of $1.00 per share. Nasdaq notified the Company in the Compliance Notice that from March 22, 2024 to April 5, 2024 the closing bid price of the Company’s common stock had been $1.00 per share or greater and, accordingly, the Company had regained compliance with Nasdaq Listing Rule 5450(a)(1) and that the matter was now closed.</w:t>
      </w:r>
    </w:p>
    <w:p>
      <w:pPr>
        <w:spacing w:after="0" w:line="12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In the future, if our Common Stock falls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significant material adverse consequences, including:</w:t>
      </w:r>
    </w:p>
    <w:p>
      <w:pPr>
        <w:spacing w:after="0" w:line="111" w:lineRule="exact"/>
        <w:rPr>
          <w:sz w:val="20"/>
          <w:szCs w:val="20"/>
          <w:color w:val="auto"/>
        </w:rPr>
      </w:pPr>
    </w:p>
    <w:p>
      <w:pPr>
        <w:ind w:left="300" w:hanging="78"/>
        <w:spacing w:after="0"/>
        <w:tabs>
          <w:tab w:leader="none" w:pos="3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limited availability of market quotations for our Common Stock;</w:t>
      </w:r>
    </w:p>
    <w:p>
      <w:pPr>
        <w:spacing w:after="0" w:line="16" w:lineRule="exact"/>
        <w:rPr>
          <w:rFonts w:ascii="Times New Roman" w:cs="Times New Roman" w:eastAsia="Times New Roman" w:hAnsi="Times New Roman"/>
          <w:sz w:val="12"/>
          <w:szCs w:val="12"/>
          <w:color w:val="auto"/>
        </w:rPr>
      </w:pPr>
    </w:p>
    <w:p>
      <w:pPr>
        <w:ind w:left="300" w:hanging="78"/>
        <w:spacing w:after="0"/>
        <w:tabs>
          <w:tab w:leader="none" w:pos="3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amount of news and analyst coverage for us;</w:t>
      </w:r>
    </w:p>
    <w:p>
      <w:pPr>
        <w:spacing w:after="0" w:line="6" w:lineRule="exact"/>
        <w:rPr>
          <w:rFonts w:ascii="Times New Roman" w:cs="Times New Roman" w:eastAsia="Times New Roman" w:hAnsi="Times New Roman"/>
          <w:sz w:val="12"/>
          <w:szCs w:val="12"/>
          <w:color w:val="auto"/>
        </w:rPr>
      </w:pPr>
    </w:p>
    <w:p>
      <w:pPr>
        <w:ind w:left="300" w:hanging="78"/>
        <w:spacing w:after="0"/>
        <w:tabs>
          <w:tab w:leader="none" w:pos="3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decreased ability for us to issue additional securities or obtain additional financing in the future;</w:t>
      </w:r>
    </w:p>
    <w:p>
      <w:pPr>
        <w:spacing w:after="0" w:line="6" w:lineRule="exact"/>
        <w:rPr>
          <w:rFonts w:ascii="Times New Roman" w:cs="Times New Roman" w:eastAsia="Times New Roman" w:hAnsi="Times New Roman"/>
          <w:sz w:val="12"/>
          <w:szCs w:val="12"/>
          <w:color w:val="auto"/>
        </w:rPr>
      </w:pPr>
    </w:p>
    <w:p>
      <w:pPr>
        <w:ind w:left="300" w:hanging="78"/>
        <w:spacing w:after="0"/>
        <w:tabs>
          <w:tab w:leader="none" w:pos="3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limited liquidity for our stockholders due to thin trading; and</w:t>
      </w:r>
    </w:p>
    <w:p>
      <w:pPr>
        <w:spacing w:after="0" w:line="6" w:lineRule="exact"/>
        <w:rPr>
          <w:rFonts w:ascii="Times New Roman" w:cs="Times New Roman" w:eastAsia="Times New Roman" w:hAnsi="Times New Roman"/>
          <w:sz w:val="12"/>
          <w:szCs w:val="12"/>
          <w:color w:val="auto"/>
        </w:rPr>
      </w:pPr>
    </w:p>
    <w:p>
      <w:pPr>
        <w:ind w:left="300" w:hanging="78"/>
        <w:spacing w:after="0"/>
        <w:tabs>
          <w:tab w:leader="none" w:pos="3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loss of confidence by investors and employees.</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 applicable.</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p>
      <w:pPr>
        <w:ind w:left="20" w:right="60"/>
        <w:spacing w:after="0" w:line="259" w:lineRule="auto"/>
        <w:rPr>
          <w:sz w:val="20"/>
          <w:szCs w:val="20"/>
          <w:color w:val="auto"/>
        </w:rPr>
      </w:pPr>
      <w:r>
        <w:rPr>
          <w:rFonts w:ascii="Times New Roman" w:cs="Times New Roman" w:eastAsia="Times New Roman" w:hAnsi="Times New Roman"/>
          <w:sz w:val="12"/>
          <w:szCs w:val="12"/>
          <w:color w:val="auto"/>
        </w:rPr>
        <w:t>Rule 10b-5(1) Trading Plans. During the three months ended June 30, 2024, no director or officer of the Company adopted or terminated a “Rule 10b5-1 trading arrangement” or “non-Rule 10b5-1 trading arrangement,” as each term is defined in Item 408(a) of Regulation S-K.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280" w:top="129" w:right="319" w:bottom="1440" w:gutter="0" w:footer="0" w:header="0"/>
        </w:sectPr>
      </w:pPr>
    </w:p>
    <w:bookmarkStart w:id="44" w:name="page45"/>
    <w:bookmarkEnd w:id="44"/>
    <w:tbl>
      <w:tblPr>
        <w:tblLayout w:type="fixed"/>
        <w:tblInd w:w="8" w:type="dxa"/>
        <w:tblCellMar>
          <w:top w:w="0" w:type="dxa"/>
          <w:left w:w="0" w:type="dxa"/>
          <w:bottom w:w="0" w:type="dxa"/>
          <w:right w:w="0" w:type="dxa"/>
        </w:tblCellMar>
      </w:tblPr>
      <w:tr>
        <w:trPr>
          <w:trHeight w:val="138"/>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457"/>
        </w:trPr>
        <w:tc>
          <w:tcPr>
            <w:tcW w:w="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auto"/>
              </w:rPr>
              <w:t>6. Exhibits.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6"/>
        </w:trPr>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59"/>
        </w:trPr>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9"/>
              </w:rPr>
              <w:t>Employment Agreement dated March 30, 2022, by and between Aterian Group, Inc. and Joshua Feldman</w:t>
            </w:r>
          </w:p>
        </w:tc>
        <w:tc>
          <w:tcPr>
            <w:tcW w:w="1040" w:type="dxa"/>
            <w:vAlign w:val="bottom"/>
            <w:gridSpan w:val="4"/>
          </w:tcPr>
          <w:p>
            <w:pPr>
              <w:spacing w:after="0"/>
              <w:rPr>
                <w:sz w:val="21"/>
                <w:szCs w:val="21"/>
                <w:color w:val="auto"/>
              </w:rPr>
            </w:pPr>
          </w:p>
        </w:tc>
      </w:tr>
      <w:tr>
        <w:trPr>
          <w:trHeight w:val="268"/>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Amendment to Joshua Feldman Employment Agreement</w:t>
            </w:r>
          </w:p>
        </w:tc>
        <w:tc>
          <w:tcPr>
            <w:tcW w:w="3360" w:type="dxa"/>
            <w:vAlign w:val="bottom"/>
            <w:gridSpan w:val="9"/>
          </w:tcPr>
          <w:p>
            <w:pPr>
              <w:spacing w:after="0"/>
              <w:rPr>
                <w:sz w:val="23"/>
                <w:szCs w:val="23"/>
                <w:color w:val="auto"/>
              </w:rPr>
            </w:pPr>
          </w:p>
        </w:tc>
      </w:tr>
      <w:tr>
        <w:trPr>
          <w:trHeight w:val="268"/>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0000EE"/>
              </w:rPr>
              <w:t>Amendment to Arturo Rodriguez Employment Agreement</w:t>
            </w: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8"/>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9"/>
              </w:rPr>
              <w:t>Consulting Agreement dated June 26, 2024, by and between Aterian Group, Inc. and Joseph Risico</w:t>
            </w:r>
          </w:p>
        </w:tc>
        <w:tc>
          <w:tcPr>
            <w:tcW w:w="1340" w:type="dxa"/>
            <w:vAlign w:val="bottom"/>
            <w:gridSpan w:val="5"/>
          </w:tcPr>
          <w:p>
            <w:pPr>
              <w:spacing w:after="0"/>
              <w:rPr>
                <w:sz w:val="23"/>
                <w:szCs w:val="23"/>
                <w:color w:val="auto"/>
              </w:rPr>
            </w:pPr>
          </w:p>
        </w:tc>
      </w:tr>
      <w:tr>
        <w:trPr>
          <w:trHeight w:val="268"/>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16.1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00" w:type="dxa"/>
            <w:vAlign w:val="bottom"/>
            <w:gridSpan w:val="11"/>
          </w:tcPr>
          <w:p>
            <w:pPr>
              <w:spacing w:after="0"/>
              <w:rPr>
                <w:rFonts w:ascii="Times New Roman" w:cs="Times New Roman" w:eastAsia="Times New Roman" w:hAnsi="Times New Roman"/>
                <w:sz w:val="12"/>
                <w:szCs w:val="12"/>
                <w:color w:val="0000EE"/>
              </w:rPr>
            </w:pPr>
            <w:hyperlink r:id="rId61">
              <w:r>
                <w:rPr>
                  <w:rFonts w:ascii="Times New Roman" w:cs="Times New Roman" w:eastAsia="Times New Roman" w:hAnsi="Times New Roman"/>
                  <w:sz w:val="12"/>
                  <w:szCs w:val="12"/>
                  <w:color w:val="0000EE"/>
                </w:rPr>
                <w:t>Letter from Deloitte to the Securities and Exchange Commission dated June 27, 2024.</w:t>
              </w:r>
            </w:hyperlink>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8"/>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31.1*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9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9"/>
              </w:rPr>
              <w:t>Certifications of the Principal Executive Officer pursuant to Rule 13a-14(a) or 15d-14(a) of the Securities Exchange Act of</w:t>
            </w:r>
          </w:p>
        </w:tc>
        <w:tc>
          <w:tcPr>
            <w:tcW w:w="200" w:type="dxa"/>
            <w:vAlign w:val="bottom"/>
          </w:tcPr>
          <w:p>
            <w:pPr>
              <w:spacing w:after="0"/>
              <w:rPr>
                <w:sz w:val="23"/>
                <w:szCs w:val="23"/>
                <w:color w:val="auto"/>
              </w:rPr>
            </w:pPr>
          </w:p>
        </w:tc>
      </w:tr>
      <w:tr>
        <w:trPr>
          <w:trHeight w:val="124"/>
        </w:trPr>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0000EE"/>
                <w:w w:val="88"/>
              </w:rPr>
              <w:t>1934.</w:t>
            </w:r>
          </w:p>
        </w:tc>
        <w:tc>
          <w:tcPr>
            <w:tcW w:w="2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68"/>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31.2*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0000EE"/>
              </w:rPr>
              <w:t>Certifications of the Principal Financial Officer pursuant to Rule 13a-14(a) or 15d-14(a) of the Securities Exchange Act of</w:t>
            </w: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4"/>
        </w:trPr>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0000EE"/>
                <w:w w:val="88"/>
              </w:rPr>
              <w:t>1934.</w:t>
            </w:r>
          </w:p>
        </w:tc>
        <w:tc>
          <w:tcPr>
            <w:tcW w:w="2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268"/>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32.1**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0000EE"/>
              </w:rPr>
              <w:t>Certifications of the Principal Executive Officer and Principal Financial Officer pursuant to 18 U.S.C. Section 1350, as</w:t>
            </w:r>
          </w:p>
        </w:tc>
      </w:tr>
      <w:tr>
        <w:trPr>
          <w:trHeight w:val="124"/>
        </w:trPr>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80" w:type="dxa"/>
            <w:vAlign w:val="bottom"/>
            <w:tcBorders>
              <w:top w:val="single" w:sz="8" w:color="0000EE"/>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adopted pursuant to Section 906 of the Sarbanes-Oxley Act of 2002.</w:t>
            </w:r>
          </w:p>
        </w:tc>
        <w:tc>
          <w:tcPr>
            <w:tcW w:w="2420" w:type="dxa"/>
            <w:vAlign w:val="bottom"/>
            <w:tcBorders>
              <w:top w:val="single" w:sz="8" w:color="0000EE"/>
            </w:tcBorders>
            <w:gridSpan w:val="4"/>
          </w:tcPr>
          <w:p>
            <w:pPr>
              <w:spacing w:after="0"/>
              <w:rPr>
                <w:sz w:val="10"/>
                <w:szCs w:val="10"/>
                <w:color w:val="auto"/>
              </w:rPr>
            </w:pPr>
          </w:p>
        </w:tc>
        <w:tc>
          <w:tcPr>
            <w:tcW w:w="400" w:type="dxa"/>
            <w:vAlign w:val="bottom"/>
            <w:gridSpan w:val="3"/>
          </w:tcPr>
          <w:p>
            <w:pPr>
              <w:spacing w:after="0"/>
              <w:rPr>
                <w:sz w:val="10"/>
                <w:szCs w:val="10"/>
                <w:color w:val="auto"/>
              </w:rPr>
            </w:pPr>
          </w:p>
        </w:tc>
      </w:tr>
      <w:tr>
        <w:trPr>
          <w:trHeight w:val="295"/>
        </w:trPr>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9"/>
              </w:rPr>
              <w:t>101.INS</w:t>
            </w:r>
          </w:p>
        </w:tc>
        <w:tc>
          <w:tcPr>
            <w:tcW w:w="240" w:type="dxa"/>
            <w:vAlign w:val="bottom"/>
          </w:tcPr>
          <w:p>
            <w:pPr>
              <w:spacing w:after="0"/>
              <w:rPr>
                <w:sz w:val="24"/>
                <w:szCs w:val="24"/>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Instance Document</w:t>
            </w:r>
          </w:p>
        </w:tc>
      </w:tr>
      <w:tr>
        <w:trPr>
          <w:trHeight w:val="288"/>
        </w:trPr>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9"/>
              </w:rPr>
              <w:t>101.SCH</w:t>
            </w:r>
          </w:p>
        </w:tc>
        <w:tc>
          <w:tcPr>
            <w:tcW w:w="240" w:type="dxa"/>
            <w:vAlign w:val="bottom"/>
          </w:tcPr>
          <w:p>
            <w:pPr>
              <w:spacing w:after="0"/>
              <w:rPr>
                <w:sz w:val="24"/>
                <w:szCs w:val="24"/>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288"/>
        </w:trPr>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101.CAL</w:t>
            </w:r>
          </w:p>
        </w:tc>
        <w:tc>
          <w:tcPr>
            <w:tcW w:w="240" w:type="dxa"/>
            <w:vAlign w:val="bottom"/>
          </w:tcPr>
          <w:p>
            <w:pPr>
              <w:spacing w:after="0"/>
              <w:rPr>
                <w:sz w:val="24"/>
                <w:szCs w:val="24"/>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288"/>
        </w:trPr>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rPr>
              <w:t>101.DEF</w:t>
            </w:r>
          </w:p>
        </w:tc>
        <w:tc>
          <w:tcPr>
            <w:tcW w:w="240" w:type="dxa"/>
            <w:vAlign w:val="bottom"/>
          </w:tcPr>
          <w:p>
            <w:pPr>
              <w:spacing w:after="0"/>
              <w:rPr>
                <w:sz w:val="24"/>
                <w:szCs w:val="24"/>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288"/>
        </w:trPr>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101.LAB</w:t>
            </w:r>
          </w:p>
        </w:tc>
        <w:tc>
          <w:tcPr>
            <w:tcW w:w="240" w:type="dxa"/>
            <w:vAlign w:val="bottom"/>
          </w:tcPr>
          <w:p>
            <w:pPr>
              <w:spacing w:after="0"/>
              <w:rPr>
                <w:sz w:val="24"/>
                <w:szCs w:val="24"/>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288"/>
        </w:trPr>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7"/>
              </w:rPr>
              <w:t>101.PRE</w:t>
            </w:r>
          </w:p>
        </w:tc>
        <w:tc>
          <w:tcPr>
            <w:tcW w:w="240" w:type="dxa"/>
            <w:vAlign w:val="bottom"/>
          </w:tcPr>
          <w:p>
            <w:pPr>
              <w:spacing w:after="0"/>
              <w:rPr>
                <w:sz w:val="24"/>
                <w:szCs w:val="24"/>
                <w:color w:val="auto"/>
              </w:rPr>
            </w:pPr>
          </w:p>
        </w:tc>
        <w:tc>
          <w:tcPr>
            <w:tcW w:w="610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bl>
    <w:p>
      <w:pPr>
        <w:spacing w:after="0" w:line="133" w:lineRule="exact"/>
        <w:rPr>
          <w:sz w:val="20"/>
          <w:szCs w:val="20"/>
          <w:color w:val="auto"/>
        </w:rPr>
      </w:pPr>
    </w:p>
    <w:p>
      <w:pPr>
        <w:ind w:left="1148" w:hanging="768"/>
        <w:spacing w:after="0"/>
        <w:tabs>
          <w:tab w:leader="none" w:pos="114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Filed herewith.</w:t>
      </w:r>
    </w:p>
    <w:p>
      <w:pPr>
        <w:spacing w:after="0" w:line="16"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Indicates management contract or compensatory plan or arrangement.</w:t>
      </w:r>
    </w:p>
    <w:p>
      <w:pPr>
        <w:spacing w:after="0" w:line="139"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13335</wp:posOffset>
            </wp:positionV>
            <wp:extent cx="249745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497455" cy="5715"/>
                    </a:xfrm>
                    <a:prstGeom prst="rect">
                      <a:avLst/>
                    </a:prstGeom>
                    <a:noFill/>
                  </pic:spPr>
                </pic:pic>
              </a:graphicData>
            </a:graphic>
          </wp:anchor>
        </w:drawing>
      </w:r>
    </w:p>
    <w:p>
      <w:pPr>
        <w:spacing w:after="0" w:line="139" w:lineRule="exact"/>
        <w:rPr>
          <w:sz w:val="20"/>
          <w:szCs w:val="20"/>
          <w:color w:val="auto"/>
        </w:rPr>
      </w:pPr>
    </w:p>
    <w:p>
      <w:pPr>
        <w:spacing w:after="0"/>
        <w:tabs>
          <w:tab w:leader="none" w:pos="800" w:val="left"/>
          <w:tab w:leader="none" w:pos="1860" w:val="left"/>
          <w:tab w:leader="none" w:pos="2960" w:val="left"/>
        </w:tabs>
        <w:rPr>
          <w:sz w:val="20"/>
          <w:szCs w:val="20"/>
          <w:color w:val="auto"/>
        </w:rPr>
      </w:pPr>
      <w:r>
        <w:rPr>
          <w:rFonts w:ascii="Times New Roman" w:cs="Times New Roman" w:eastAsia="Times New Roman" w:hAnsi="Times New Roman"/>
          <w:sz w:val="12"/>
          <w:szCs w:val="12"/>
          <w:b w:val="1"/>
          <w:bCs w:val="1"/>
          <w:color w:val="auto"/>
        </w:rPr>
        <w:t>Form</w:t>
      </w:r>
      <w:r>
        <w:rPr>
          <w:sz w:val="20"/>
          <w:szCs w:val="20"/>
          <w:color w:val="auto"/>
        </w:rPr>
        <w:tab/>
      </w:r>
      <w:r>
        <w:rPr>
          <w:rFonts w:ascii="Times New Roman" w:cs="Times New Roman" w:eastAsia="Times New Roman" w:hAnsi="Times New Roman"/>
          <w:sz w:val="12"/>
          <w:szCs w:val="12"/>
          <w:b w:val="1"/>
          <w:bCs w:val="1"/>
          <w:color w:val="auto"/>
        </w:rPr>
        <w:t>File Number</w:t>
      </w:r>
      <w:r>
        <w:rPr>
          <w:sz w:val="20"/>
          <w:szCs w:val="20"/>
          <w:color w:val="auto"/>
        </w:rPr>
        <w:tab/>
      </w:r>
      <w:r>
        <w:rPr>
          <w:rFonts w:ascii="Times New Roman" w:cs="Times New Roman" w:eastAsia="Times New Roman" w:hAnsi="Times New Roman"/>
          <w:sz w:val="12"/>
          <w:szCs w:val="12"/>
          <w:b w:val="1"/>
          <w:bCs w:val="1"/>
          <w:color w:val="auto"/>
        </w:rPr>
        <w:t>Filing Date</w:t>
      </w:r>
      <w:r>
        <w:rPr>
          <w:sz w:val="20"/>
          <w:szCs w:val="20"/>
          <w:color w:val="auto"/>
        </w:rPr>
        <w:tab/>
      </w:r>
      <w:r>
        <w:rPr>
          <w:rFonts w:ascii="Times New Roman" w:cs="Times New Roman" w:eastAsia="Times New Roman" w:hAnsi="Times New Roman"/>
          <w:sz w:val="11"/>
          <w:szCs w:val="11"/>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13335</wp:posOffset>
            </wp:positionV>
            <wp:extent cx="249745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497455" cy="5715"/>
                    </a:xfrm>
                    <a:prstGeom prst="rect">
                      <a:avLst/>
                    </a:prstGeom>
                    <a:noFill/>
                  </pic:spPr>
                </pic:pic>
              </a:graphicData>
            </a:graphic>
          </wp:anchor>
        </w:drawing>
      </w:r>
    </w:p>
    <w:p>
      <w:pPr>
        <w:sectPr>
          <w:pgSz w:w="11900" w:h="16838" w:orient="portrait"/>
          <w:cols w:equalWidth="0" w:num="2">
            <w:col w:w="7248" w:space="440"/>
            <w:col w:w="3360"/>
          </w:cols>
          <w:pgMar w:left="292" w:top="119"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Quarterly Report on Form 10-Q to be signed on its behalf by the undersigned thereunto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8000" w:type="dxa"/>
            <w:vAlign w:val="bottom"/>
            <w:gridSpan w:val="2"/>
          </w:tcPr>
          <w:p>
            <w:pPr>
              <w:ind w:left="2800"/>
              <w:spacing w:after="0"/>
              <w:rPr>
                <w:sz w:val="20"/>
                <w:szCs w:val="20"/>
                <w:color w:val="auto"/>
              </w:rPr>
            </w:pPr>
            <w:r>
              <w:rPr>
                <w:rFonts w:ascii="Times New Roman" w:cs="Times New Roman" w:eastAsia="Times New Roman" w:hAnsi="Times New Roman"/>
                <w:sz w:val="12"/>
                <w:szCs w:val="12"/>
                <w:b w:val="1"/>
                <w:bCs w:val="1"/>
                <w:color w:val="auto"/>
              </w:rPr>
              <w:t>ATERIAN, INC.</w:t>
            </w:r>
          </w:p>
        </w:tc>
      </w:tr>
      <w:tr>
        <w:trPr>
          <w:trHeight w:val="288"/>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August 9, 2024</w:t>
            </w:r>
          </w:p>
        </w:tc>
        <w:tc>
          <w:tcPr>
            <w:tcW w:w="3260" w:type="dxa"/>
            <w:vAlign w:val="bottom"/>
          </w:tcPr>
          <w:p>
            <w:pPr>
              <w:ind w:left="2800"/>
              <w:spacing w:after="0"/>
              <w:rPr>
                <w:sz w:val="20"/>
                <w:szCs w:val="20"/>
                <w:color w:val="auto"/>
              </w:rPr>
            </w:pPr>
            <w:r>
              <w:rPr>
                <w:rFonts w:ascii="Times New Roman" w:cs="Times New Roman" w:eastAsia="Times New Roman" w:hAnsi="Times New Roman"/>
                <w:sz w:val="12"/>
                <w:szCs w:val="12"/>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Arturo Rodriguez</w:t>
            </w:r>
          </w:p>
        </w:tc>
      </w:tr>
      <w:tr>
        <w:trPr>
          <w:trHeight w:val="120"/>
        </w:trPr>
        <w:tc>
          <w:tcPr>
            <w:tcW w:w="33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7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Arturo Rodriguez</w:t>
            </w:r>
          </w:p>
        </w:tc>
      </w:tr>
      <w:tr>
        <w:trPr>
          <w:trHeight w:val="144"/>
        </w:trPr>
        <w:tc>
          <w:tcPr>
            <w:tcW w:w="3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w:t>
            </w:r>
            <w:r>
              <w:rPr>
                <w:rFonts w:ascii="Times New Roman" w:cs="Times New Roman" w:eastAsia="Times New Roman" w:hAnsi="Times New Roman"/>
                <w:sz w:val="12"/>
                <w:szCs w:val="12"/>
                <w:i w:val="1"/>
                <w:iCs w:val="1"/>
                <w:color w:val="auto"/>
              </w:rPr>
              <w:t>r</w:t>
            </w:r>
          </w:p>
        </w:tc>
      </w:tr>
      <w:tr>
        <w:trPr>
          <w:trHeight w:val="157"/>
        </w:trPr>
        <w:tc>
          <w:tcPr>
            <w:tcW w:w="33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288"/>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August 9, 2024</w:t>
            </w:r>
          </w:p>
        </w:tc>
        <w:tc>
          <w:tcPr>
            <w:tcW w:w="3260" w:type="dxa"/>
            <w:vAlign w:val="bottom"/>
          </w:tcPr>
          <w:p>
            <w:pPr>
              <w:ind w:left="2800"/>
              <w:spacing w:after="0"/>
              <w:rPr>
                <w:sz w:val="20"/>
                <w:szCs w:val="20"/>
                <w:color w:val="auto"/>
              </w:rPr>
            </w:pPr>
            <w:r>
              <w:rPr>
                <w:rFonts w:ascii="Times New Roman" w:cs="Times New Roman" w:eastAsia="Times New Roman" w:hAnsi="Times New Roman"/>
                <w:sz w:val="12"/>
                <w:szCs w:val="12"/>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Joshua Feldman</w:t>
            </w:r>
          </w:p>
        </w:tc>
      </w:tr>
      <w:tr>
        <w:trPr>
          <w:trHeight w:val="122"/>
        </w:trPr>
        <w:tc>
          <w:tcPr>
            <w:tcW w:w="33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7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Joshua Feldman</w:t>
            </w:r>
          </w:p>
        </w:tc>
      </w:tr>
      <w:tr>
        <w:trPr>
          <w:trHeight w:val="142"/>
        </w:trPr>
        <w:tc>
          <w:tcPr>
            <w:tcW w:w="3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7"/>
        </w:trPr>
        <w:tc>
          <w:tcPr>
            <w:tcW w:w="33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r>
        <w:trPr>
          <w:trHeight w:val="432"/>
        </w:trPr>
        <w:tc>
          <w:tcPr>
            <w:tcW w:w="3300" w:type="dxa"/>
            <w:vAlign w:val="bottom"/>
          </w:tcPr>
          <w:p>
            <w:pPr>
              <w:spacing w:after="0"/>
              <w:rPr>
                <w:sz w:val="24"/>
                <w:szCs w:val="24"/>
                <w:color w:val="auto"/>
              </w:rPr>
            </w:pPr>
          </w:p>
        </w:tc>
        <w:tc>
          <w:tcPr>
            <w:tcW w:w="326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rPr>
              <w:t>45</w:t>
            </w:r>
          </w:p>
        </w:tc>
        <w:tc>
          <w:tcPr>
            <w:tcW w:w="4740" w:type="dxa"/>
            <w:vAlign w:val="bottom"/>
          </w:tcPr>
          <w:p>
            <w:pPr>
              <w:spacing w:after="0"/>
              <w:rPr>
                <w:sz w:val="24"/>
                <w:szCs w:val="24"/>
                <w:color w:val="auto"/>
              </w:rPr>
            </w:pPr>
          </w:p>
        </w:tc>
      </w:tr>
    </w:tbl>
    <w:p>
      <w:pPr>
        <w:sectPr>
          <w:pgSz w:w="11900" w:h="16838" w:orient="portrait"/>
          <w:cols w:equalWidth="0" w:num="1">
            <w:col w:w="11300"/>
          </w:cols>
          <w:pgMar w:left="300" w:top="129" w:right="2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 13a-14(a)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Arturo Rodriguez, certify that:</w:t>
      </w:r>
    </w:p>
    <w:p>
      <w:pPr>
        <w:spacing w:after="0" w:line="150" w:lineRule="exact"/>
        <w:rPr>
          <w:sz w:val="20"/>
          <w:szCs w:val="20"/>
          <w:color w:val="auto"/>
        </w:rPr>
      </w:pPr>
    </w:p>
    <w:p>
      <w:pPr>
        <w:ind w:left="380" w:hanging="112"/>
        <w:spacing w:after="0"/>
        <w:tabs>
          <w:tab w:leader="none" w:pos="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Aterian, Inc.;</w:t>
      </w:r>
    </w:p>
    <w:p>
      <w:pPr>
        <w:spacing w:after="0" w:line="150" w:lineRule="exact"/>
        <w:rPr>
          <w:rFonts w:ascii="Times New Roman" w:cs="Times New Roman" w:eastAsia="Times New Roman" w:hAnsi="Times New Roman"/>
          <w:sz w:val="12"/>
          <w:szCs w:val="12"/>
          <w:color w:val="auto"/>
        </w:rPr>
      </w:pPr>
    </w:p>
    <w:p>
      <w:pPr>
        <w:ind w:left="260" w:right="20" w:firstLine="8"/>
        <w:spacing w:after="0" w:line="279" w:lineRule="auto"/>
        <w:tabs>
          <w:tab w:leader="none" w:pos="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260" w:right="120" w:firstLine="8"/>
        <w:spacing w:after="0" w:line="279" w:lineRule="auto"/>
        <w:tabs>
          <w:tab w:leader="none" w:pos="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260" w:right="140" w:firstLine="8"/>
        <w:spacing w:after="0" w:line="279" w:lineRule="auto"/>
        <w:tabs>
          <w:tab w:leader="none" w:pos="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left="560" w:right="420" w:hanging="4"/>
        <w:spacing w:after="0" w:line="279" w:lineRule="auto"/>
        <w:tabs>
          <w:tab w:leader="none" w:pos="673"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60" w:right="160" w:hanging="4"/>
        <w:spacing w:after="0" w:line="279" w:lineRule="auto"/>
        <w:tabs>
          <w:tab w:leader="none" w:pos="68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560" w:right="200" w:hanging="4"/>
        <w:spacing w:after="0" w:line="279" w:lineRule="auto"/>
        <w:tabs>
          <w:tab w:leader="none" w:pos="673"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560" w:right="240" w:hanging="4"/>
        <w:spacing w:after="0" w:line="279" w:lineRule="auto"/>
        <w:tabs>
          <w:tab w:leader="none" w:pos="68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260" w:right="400" w:firstLine="8"/>
        <w:spacing w:after="0" w:line="279" w:lineRule="auto"/>
        <w:tabs>
          <w:tab w:leader="none" w:pos="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560" w:right="560" w:hanging="4"/>
        <w:spacing w:after="0" w:line="279" w:lineRule="auto"/>
        <w:tabs>
          <w:tab w:leader="none" w:pos="673"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680" w:hanging="124"/>
        <w:spacing w:after="0"/>
        <w:tabs>
          <w:tab w:leader="none" w:pos="68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August 9, 2024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Arturo Rodriguez</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358902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11300"/>
          </w:cols>
          <w:pgMar w:left="300" w:top="125" w:right="2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RULE 13a-14(a)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Joshua Feldman, certify that:</w:t>
      </w:r>
    </w:p>
    <w:p>
      <w:pPr>
        <w:spacing w:after="0" w:line="150" w:lineRule="exact"/>
        <w:rPr>
          <w:sz w:val="20"/>
          <w:szCs w:val="20"/>
          <w:color w:val="auto"/>
        </w:rPr>
      </w:pPr>
    </w:p>
    <w:p>
      <w:pPr>
        <w:ind w:left="380" w:hanging="112"/>
        <w:spacing w:after="0"/>
        <w:tabs>
          <w:tab w:leader="none" w:pos="3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Aterian, Inc.;</w:t>
      </w:r>
    </w:p>
    <w:p>
      <w:pPr>
        <w:spacing w:after="0" w:line="150" w:lineRule="exact"/>
        <w:rPr>
          <w:rFonts w:ascii="Times New Roman" w:cs="Times New Roman" w:eastAsia="Times New Roman" w:hAnsi="Times New Roman"/>
          <w:sz w:val="12"/>
          <w:szCs w:val="12"/>
          <w:color w:val="auto"/>
        </w:rPr>
      </w:pPr>
    </w:p>
    <w:p>
      <w:pPr>
        <w:ind w:left="260" w:right="20" w:firstLine="8"/>
        <w:spacing w:after="0" w:line="279" w:lineRule="auto"/>
        <w:tabs>
          <w:tab w:leader="none" w:pos="3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260" w:right="120" w:firstLine="8"/>
        <w:spacing w:after="0" w:line="279" w:lineRule="auto"/>
        <w:tabs>
          <w:tab w:leader="none" w:pos="3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260" w:right="140" w:firstLine="8"/>
        <w:spacing w:after="0" w:line="279" w:lineRule="auto"/>
        <w:tabs>
          <w:tab w:leader="none" w:pos="3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left="560" w:right="420" w:hanging="4"/>
        <w:spacing w:after="0" w:line="279" w:lineRule="auto"/>
        <w:tabs>
          <w:tab w:leader="none" w:pos="673"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60" w:right="160" w:hanging="4"/>
        <w:spacing w:after="0" w:line="279" w:lineRule="auto"/>
        <w:tabs>
          <w:tab w:leader="none" w:pos="68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560" w:right="200" w:hanging="4"/>
        <w:spacing w:after="0" w:line="279" w:lineRule="auto"/>
        <w:tabs>
          <w:tab w:leader="none" w:pos="673"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560" w:right="240" w:hanging="4"/>
        <w:spacing w:after="0" w:line="279" w:lineRule="auto"/>
        <w:tabs>
          <w:tab w:leader="none" w:pos="68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260" w:right="400" w:firstLine="8"/>
        <w:spacing w:after="0" w:line="279" w:lineRule="auto"/>
        <w:tabs>
          <w:tab w:leader="none" w:pos="3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560" w:right="560" w:hanging="4"/>
        <w:spacing w:after="0" w:line="279" w:lineRule="auto"/>
        <w:tabs>
          <w:tab w:leader="none" w:pos="673"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680" w:hanging="124"/>
        <w:spacing w:after="0"/>
        <w:tabs>
          <w:tab w:leader="none" w:pos="68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August 9, 2024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Joshua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8902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Joshua Feldman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ectPr>
          <w:pgSz w:w="11900" w:h="16838" w:orient="portrait"/>
          <w:cols w:equalWidth="0" w:num="1">
            <w:col w:w="11300"/>
          </w:cols>
          <w:pgMar w:left="300" w:top="125" w:right="2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AND PRINCIPAL FINANCIAL OFFICER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600" w:firstLine="276"/>
        <w:spacing w:after="0" w:line="279" w:lineRule="auto"/>
        <w:rPr>
          <w:sz w:val="20"/>
          <w:szCs w:val="20"/>
          <w:color w:val="auto"/>
        </w:rPr>
      </w:pPr>
      <w:r>
        <w:rPr>
          <w:rFonts w:ascii="Times New Roman" w:cs="Times New Roman" w:eastAsia="Times New Roman" w:hAnsi="Times New Roman"/>
          <w:sz w:val="12"/>
          <w:szCs w:val="12"/>
          <w:color w:val="auto"/>
        </w:rPr>
        <w:t>In connection with the Quarterly Report on Form 10-Q of Aterian, Inc. (the “Company”) for the period ended June 30, 2024 as filed with the Securities and Exchange Commission on the date hereof (the “Report”), the undersigned hereby certify, pursuant to 18 U.S.C. Section 1350, as adopted pursuant to Section 906 of the Sarbanes-Oxley Act of 2002, to their knowledge that:</w:t>
      </w:r>
    </w:p>
    <w:p>
      <w:pPr>
        <w:spacing w:after="0" w:line="111" w:lineRule="exact"/>
        <w:rPr>
          <w:sz w:val="20"/>
          <w:szCs w:val="20"/>
          <w:color w:val="auto"/>
        </w:rPr>
      </w:pPr>
    </w:p>
    <w:p>
      <w:pPr>
        <w:ind w:left="440" w:hanging="172"/>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and</w:t>
      </w:r>
    </w:p>
    <w:p>
      <w:pPr>
        <w:spacing w:after="0" w:line="150" w:lineRule="exact"/>
        <w:rPr>
          <w:rFonts w:ascii="Times New Roman" w:cs="Times New Roman" w:eastAsia="Times New Roman" w:hAnsi="Times New Roman"/>
          <w:sz w:val="12"/>
          <w:szCs w:val="12"/>
          <w:color w:val="auto"/>
        </w:rPr>
      </w:pPr>
    </w:p>
    <w:p>
      <w:pPr>
        <w:ind w:left="440" w:hanging="172"/>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Arturo Rodriguez</w:t>
            </w:r>
          </w:p>
        </w:tc>
        <w:tc>
          <w:tcPr>
            <w:tcW w:w="460" w:type="dxa"/>
            <w:vAlign w:val="bottom"/>
          </w:tcPr>
          <w:p>
            <w:pPr>
              <w:spacing w:after="0"/>
              <w:rPr>
                <w:sz w:val="13"/>
                <w:szCs w:val="13"/>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 Joshua Feldman</w:t>
            </w:r>
          </w:p>
        </w:tc>
      </w:tr>
      <w:tr>
        <w:trPr>
          <w:trHeight w:val="120"/>
        </w:trPr>
        <w:tc>
          <w:tcPr>
            <w:tcW w:w="542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Arturo Rodriguez</w:t>
            </w:r>
          </w:p>
        </w:tc>
        <w:tc>
          <w:tcPr>
            <w:tcW w:w="460" w:type="dxa"/>
            <w:vAlign w:val="bottom"/>
          </w:tcPr>
          <w:p>
            <w:pPr>
              <w:spacing w:after="0"/>
              <w:rPr>
                <w:sz w:val="10"/>
                <w:szCs w:val="10"/>
                <w:color w:val="auto"/>
              </w:rPr>
            </w:pPr>
          </w:p>
        </w:tc>
        <w:tc>
          <w:tcPr>
            <w:tcW w:w="542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Joshua Feldman</w:t>
            </w: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460" w:type="dxa"/>
            <w:vAlign w:val="bottom"/>
          </w:tcPr>
          <w:p>
            <w:pPr>
              <w:spacing w:after="0"/>
              <w:rPr>
                <w:sz w:val="12"/>
                <w:szCs w:val="12"/>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46"/>
        </w:trPr>
        <w:tc>
          <w:tcPr>
            <w:tcW w:w="54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c>
          <w:tcPr>
            <w:tcW w:w="460" w:type="dxa"/>
            <w:vAlign w:val="bottom"/>
          </w:tcPr>
          <w:p>
            <w:pPr>
              <w:spacing w:after="0"/>
              <w:rPr>
                <w:sz w:val="12"/>
                <w:szCs w:val="12"/>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r>
        <w:trPr>
          <w:trHeight w:val="155"/>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August 9, 2024</w:t>
            </w:r>
          </w:p>
        </w:tc>
        <w:tc>
          <w:tcPr>
            <w:tcW w:w="460" w:type="dxa"/>
            <w:vAlign w:val="bottom"/>
          </w:tcPr>
          <w:p>
            <w:pPr>
              <w:spacing w:after="0"/>
              <w:rPr>
                <w:sz w:val="13"/>
                <w:szCs w:val="13"/>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August 9, 2024</w:t>
            </w:r>
          </w:p>
        </w:tc>
      </w:tr>
    </w:tbl>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jc w:val="both"/>
        <w:ind w:right="40" w:firstLine="276"/>
        <w:spacing w:after="0" w:line="265" w:lineRule="auto"/>
        <w:rPr>
          <w:sz w:val="20"/>
          <w:szCs w:val="20"/>
          <w:color w:val="auto"/>
        </w:rPr>
      </w:pPr>
      <w:r>
        <w:rPr>
          <w:rFonts w:ascii="Times New Roman" w:cs="Times New Roman" w:eastAsia="Times New Roman" w:hAnsi="Times New Roman"/>
          <w:sz w:val="12"/>
          <w:szCs w:val="12"/>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ectPr>
          <w:pgSz w:w="11900" w:h="16838" w:orient="portrait"/>
          <w:cols w:equalWidth="0" w:num="1">
            <w:col w:w="11300"/>
          </w:cols>
          <w:pgMar w:left="300" w:top="125" w:right="2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143000" cy="331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14300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June 26,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Joshua Feldman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(via email only to joshua.feldman@aterian.io)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 Amendments to your Employment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Josh,</w:t>
      </w:r>
    </w:p>
    <w:p>
      <w:pPr>
        <w:spacing w:after="0" w:line="150"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2"/>
          <w:szCs w:val="12"/>
          <w:color w:val="auto"/>
        </w:rPr>
        <w:t>This will amend your employment arrangements with Aterian, Inc. (the “Company”) as set forth in that letter agreement dated March 30, 2022 between you and the Company (, as amended from time to time, collectively, the “Employment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agree that, beginning June 26, 2024, your annual salary will be $310,000.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also agree to the following:</w:t>
      </w:r>
    </w:p>
    <w:p>
      <w:pPr>
        <w:spacing w:after="0" w:line="17" w:lineRule="exact"/>
        <w:rPr>
          <w:sz w:val="20"/>
          <w:szCs w:val="20"/>
          <w:color w:val="auto"/>
        </w:rPr>
      </w:pPr>
    </w:p>
    <w:p>
      <w:pPr>
        <w:ind w:right="840" w:firstLine="208"/>
        <w:spacing w:after="0" w:line="511" w:lineRule="auto"/>
        <w:tabs>
          <w:tab w:leader="none" w:pos="432"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will be granted 61,333 shares of restricted common stock of the Company, vesting one-third on the approximate one-year anniversary of the date of grant and thereafter in eight equal quarterly installments All other terms of the Employment Agreement, including bonus target shall remain unchanged and in full force and effect.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Sincerely,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Aterian, Inc.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/s/ Christopher Porcelli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-5715</wp:posOffset>
            </wp:positionV>
            <wp:extent cx="163957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63957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Christopher Porcelli, General Counsel and Head of People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Agreed and Accepted: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Joshua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7456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74561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Joshua Feldman</w:t>
      </w:r>
    </w:p>
    <w:p>
      <w:pPr>
        <w:sectPr>
          <w:pgSz w:w="11900" w:h="16838" w:orient="portrait"/>
          <w:cols w:equalWidth="0" w:num="1">
            <w:col w:w="11300"/>
          </w:cols>
          <w:pgMar w:left="300" w:top="269" w:right="2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143000" cy="331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14300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June 26,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Arturo Rodriguez</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(via email only to arturo@aterian.io)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 Amendments to your Employment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Arty,</w:t>
      </w:r>
    </w:p>
    <w:p>
      <w:pPr>
        <w:spacing w:after="0" w:line="150"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This will amend your employment arrangements with Aterian, Inc. (the “Company”) as set forth in that letter agreement dated September 18, 2017 between you and the Company (as amended from time to time, collectively, the “Employment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agree that, beginning June 26, 2024, your annual salary will be $360,000.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also agree to the following:</w:t>
      </w:r>
    </w:p>
    <w:p>
      <w:pPr>
        <w:spacing w:after="0" w:line="17" w:lineRule="exact"/>
        <w:rPr>
          <w:sz w:val="20"/>
          <w:szCs w:val="20"/>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will be granted 176,000 shares of restricted common stock of the Company, vesting one-third on the approximate one-year anniversary of the date of grant and thereafter in eight equal quarterly installments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eligible to receive an annual cash or stock performance bonus at a target rate of 75% of your base salary for fiscal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other terms of the Employment Agreement shall remain unchanged and in full force and effect.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Sincerely,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Aterian, Inc.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/s/ Christopher Porcelli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-5715</wp:posOffset>
            </wp:positionV>
            <wp:extent cx="16395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63957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Christopher Porcelli, General Counsel and Head of People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Agreed and Accepted: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75387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75387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Arturo Rodriguez</w:t>
      </w:r>
    </w:p>
    <w:p>
      <w:pPr>
        <w:sectPr>
          <w:pgSz w:w="11900" w:h="16838" w:orient="portrait"/>
          <w:cols w:equalWidth="0" w:num="1">
            <w:col w:w="11300"/>
          </w:cols>
          <w:pgMar w:left="300" w:top="125" w:right="2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13335</wp:posOffset>
            </wp:positionV>
            <wp:extent cx="1143000" cy="3314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14300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Aterian,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37 E. 18th St, 7th Fl New York, NY 10003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March 30,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Joshua,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Aterian,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is super excited to offer you employment with the Company. We’re always looking for 10x’ers and think you have what it takes to be an Aterianite.</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Position, Salary and Bonus Target. </w:t>
      </w:r>
      <w:r>
        <w:rPr>
          <w:rFonts w:ascii="Times New Roman" w:cs="Times New Roman" w:eastAsia="Times New Roman" w:hAnsi="Times New Roman"/>
          <w:sz w:val="12"/>
          <w:szCs w:val="12"/>
          <w:color w:val="auto"/>
        </w:rPr>
        <w:t>I am pleased to offer you the position listed below. You will receive an annual salary listed below, which will be paid semi-monthly and subject to periodic review. You are eligible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participate in the Company bonus program; your annual bonus target will be the below percentage. If at any point in your employment, your position / level changes, your annual bonus target may change. Bonuses under the Company bonus program are discretionary. The actual bonus amount could be larger or smaller than this amount, based on your performance and the performance of the Company. Whether a bonus will be awarded in a particular bonus period, and in what amount, is within Aterian’s sole discretion. Please note that both your salary and bonus eligibility are subject to periodic review and may be modified in Aterian’s discretion.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Title: SVP of Finance Salary: $270,000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Annual Bonus Target: 20%</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By signing this letter, you confirm with the Company that you are under no contractual or other legal obligations that would prohibit you from performing your duties with the Company. As a regular employee of the Company you will be eligible to participate in a number of Company-sponsored benefits, which are described in the employee benefit summary that I have enclosed with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226060</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60"/>
          </w:cols>
          <w:pgMar w:left="540" w:top="125" w:right="299" w:bottom="1440" w:gutter="0" w:footer="0" w:header="0"/>
        </w:sectPr>
      </w:pPr>
    </w:p>
    <w:bookmarkStart w:id="52" w:name="page53"/>
    <w:bookmarkEnd w:id="52"/>
    <w:p>
      <w:pPr>
        <w:jc w:val="both"/>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Equity Award. </w:t>
      </w:r>
      <w:r>
        <w:rPr>
          <w:rFonts w:ascii="Times New Roman" w:cs="Times New Roman" w:eastAsia="Times New Roman" w:hAnsi="Times New Roman"/>
          <w:sz w:val="12"/>
          <w:szCs w:val="12"/>
          <w:color w:val="auto"/>
        </w:rPr>
        <w:t>Subject to the approval of the Company’s Board of Directors, you will be granted</w:t>
      </w:r>
      <w:r>
        <w:rPr>
          <w:rFonts w:ascii="Times New Roman" w:cs="Times New Roman" w:eastAsia="Times New Roman" w:hAnsi="Times New Roman"/>
          <w:sz w:val="12"/>
          <w:szCs w:val="12"/>
          <w:b w:val="1"/>
          <w:bCs w:val="1"/>
          <w:color w:val="auto"/>
        </w:rPr>
        <w:t xml:space="preserve"> 100,000 </w:t>
      </w:r>
      <w:r>
        <w:rPr>
          <w:rFonts w:ascii="Times New Roman" w:cs="Times New Roman" w:eastAsia="Times New Roman" w:hAnsi="Times New Roman"/>
          <w:sz w:val="12"/>
          <w:szCs w:val="12"/>
          <w:color w:val="auto"/>
        </w:rPr>
        <w:t>shares of restricted common stock or restricted stock units of the Company (the “</w:t>
      </w:r>
      <w:r>
        <w:rPr>
          <w:rFonts w:ascii="Times New Roman" w:cs="Times New Roman" w:eastAsia="Times New Roman" w:hAnsi="Times New Roman"/>
          <w:sz w:val="12"/>
          <w:szCs w:val="12"/>
          <w:u w:val="single" w:color="auto"/>
          <w:color w:val="auto"/>
        </w:rPr>
        <w:t>Award</w:t>
      </w:r>
      <w:r>
        <w:rPr>
          <w:rFonts w:ascii="Times New Roman" w:cs="Times New Roman" w:eastAsia="Times New Roman" w:hAnsi="Times New Roman"/>
          <w:sz w:val="12"/>
          <w:szCs w:val="12"/>
          <w:color w:val="auto"/>
        </w:rPr>
        <w:t>”), at the sole and absolute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discretion of the Company’s Board of Directors. The Award will be subject to the terms and conditions applicable to awards granted under the Company’s Amended and Restated 2018 Equity Incentive Plan or an inducement equity plan adopted or to be adopted by the Company (either as may be amended or restated from time to time, the “</w:t>
      </w:r>
      <w:r>
        <w:rPr>
          <w:rFonts w:ascii="Times New Roman" w:cs="Times New Roman" w:eastAsia="Times New Roman" w:hAnsi="Times New Roman"/>
          <w:sz w:val="12"/>
          <w:szCs w:val="12"/>
          <w:u w:val="single" w:color="auto"/>
          <w:color w:val="auto"/>
        </w:rPr>
        <w:t>Plan</w:t>
      </w:r>
      <w:r>
        <w:rPr>
          <w:rFonts w:ascii="Times New Roman" w:cs="Times New Roman" w:eastAsia="Times New Roman" w:hAnsi="Times New Roman"/>
          <w:sz w:val="12"/>
          <w:szCs w:val="12"/>
          <w:color w:val="auto"/>
        </w:rPr>
        <w:t>”), as described in the Plan and an applicable restricted stock or restricted stock unit award agreement for use under the Plan, which you will be required to sign. You will vest in 33.3% of the shares on the 12-month anniversary of your vesting commencement date and 1/24th of the total shares will vest in monthly installments thereafter during continuous service, as described in the applicable restricted stock or restricted stock unit award agreement. You should consult with your own tax advisor concerning the tax risks associated with accepting the award described in this paragraph. By signing this offer letter, you acknowledge and agree that the offer of the award described in this paragraph is an inducement material to your entering into employment with the Company.</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the event of a Change of Control (as defined below), if: (1) you are terminated without Cause (as defined in the Plan) by the Company or the successor corporation or a parent or subsidiary of such successor corporation of the Company (the “Successor Corporation”) within the ninety (90) day period prior to the consummation of the Change of Control transaction or within twelve (12) months following consummation of the Change of Control transaction; or (2) you terminate your employment with the Company or the Successor Corporation, each as applicable, for good reason within the ninety (90) day period prior to the consummation of the Change of Control transaction or within twelve (12) months following consummation of the transaction, then the Award shall become fully accelerated and fully vested immediately prior to the effective date of termination. As used herein, “Change of Control” shall mean a sale of all or substantially all of the Company’s assets, or any stock sale, merger, or consolidation of the Company with or into another corporation or business entity other than a stock sale, merger, or consolidation in which the holders of more than fifty percent (50%) of the shares of capital stock of the Company outstanding immediately prior to such transaction continue to hold (either by the voting securities remaining outstanding or by their being converted into voting securities of the surviving entity) more than fifty percent (50%) of the total voting power represented by the voting securities of the Company, or such surviving entity, outstanding immediately after such transaction; provided, however, that a bona fide equity financing by the Company will not be deemed to be a Change of Control.</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Proprietary Information and Inventions Agreement. </w:t>
      </w:r>
      <w:r>
        <w:rPr>
          <w:rFonts w:ascii="Times New Roman" w:cs="Times New Roman" w:eastAsia="Times New Roman" w:hAnsi="Times New Roman"/>
          <w:sz w:val="12"/>
          <w:szCs w:val="12"/>
          <w:color w:val="auto"/>
        </w:rPr>
        <w:t>Like all Company employees, you will be required, as a condition of your employment with the Company, to sign the Company’s enclosed standard Proprietary Information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Inventions Agreement.</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Employment Relationship. </w:t>
      </w:r>
      <w:r>
        <w:rPr>
          <w:rFonts w:ascii="Times New Roman" w:cs="Times New Roman" w:eastAsia="Times New Roman" w:hAnsi="Times New Roman"/>
          <w:sz w:val="12"/>
          <w:szCs w:val="12"/>
          <w:color w:val="auto"/>
        </w:rPr>
        <w:t>Employment with the Company is for no specific period of time. Your employment with the Company will be “at will,” meaning that either you or the Company may terminate your employment at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and for any reason, with or without cause.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232410</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60"/>
          </w:cols>
          <w:pgMar w:left="540" w:top="575" w:right="29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Severance. </w:t>
      </w:r>
      <w:r>
        <w:rPr>
          <w:rFonts w:ascii="Times New Roman" w:cs="Times New Roman" w:eastAsia="Times New Roman" w:hAnsi="Times New Roman"/>
          <w:sz w:val="12"/>
          <w:szCs w:val="12"/>
          <w:color w:val="auto"/>
        </w:rPr>
        <w:t>If company terminates your employment pursuant to a termination without cause, outside a change of control you shall be entitled to receive severance pay in the amount of (3) three months of your base salary.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involuntarily terminated within one year after a change of control without cause, total severance amount will be (6) six months of base salary.</w:t>
      </w:r>
    </w:p>
    <w:p>
      <w:pPr>
        <w:spacing w:after="0" w:line="1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Outside Activities. </w:t>
      </w:r>
      <w:r>
        <w:rPr>
          <w:rFonts w:ascii="Times New Roman" w:cs="Times New Roman" w:eastAsia="Times New Roman" w:hAnsi="Times New Roman"/>
          <w:sz w:val="12"/>
          <w:szCs w:val="12"/>
          <w:color w:val="auto"/>
        </w:rPr>
        <w:t>While you render services to the Company, you agree that you will not engage in any other employment, consulting or other business activity, including selling on Amazon, eBay, or other ecommerce platforms,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No Conflicts. </w:t>
      </w:r>
      <w:r>
        <w:rPr>
          <w:rFonts w:ascii="Times New Roman" w:cs="Times New Roman" w:eastAsia="Times New Roman" w:hAnsi="Times New Roman"/>
          <w:sz w:val="12"/>
          <w:szCs w:val="12"/>
          <w:color w:val="auto"/>
        </w:rPr>
        <w:t>It is the policy of the Company that employees neither disclose nor use any confidential information from prior employment while employed by the Company. If you have entered into specific non-disclosure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agreements, non-compete agreements, non-solicitation agreements, or any other agreements with any previous employer that might affect your eligibility to be employed by us, restrict your freedom to lawfully recruit others to join our team, or otherwise limit the manner in which you may be employed, please provide us with a copy so that we can ensure that both you and the Company will be able to abide by the terms thereof if you are employed by the Company. It is the Company’s understanding that any such agreements will not prevent you from performing the duties of your position and you represent that such is the case. This offer is expressly contingent upon your providing us with these agreements prior to accepting this offer, or the Company waiving this contingency, in its sole discretion.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Withholding Taxes. </w:t>
      </w:r>
      <w:r>
        <w:rPr>
          <w:rFonts w:ascii="Times New Roman" w:cs="Times New Roman" w:eastAsia="Times New Roman" w:hAnsi="Times New Roman"/>
          <w:sz w:val="12"/>
          <w:szCs w:val="12"/>
          <w:color w:val="auto"/>
        </w:rPr>
        <w:t>All forms of compensation referred to in this letter are subject to applicable withholding and payroll taxes.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Entire Agreement. </w:t>
      </w:r>
      <w:r>
        <w:rPr>
          <w:rFonts w:ascii="Times New Roman" w:cs="Times New Roman" w:eastAsia="Times New Roman" w:hAnsi="Times New Roman"/>
          <w:sz w:val="12"/>
          <w:szCs w:val="12"/>
          <w:color w:val="auto"/>
        </w:rPr>
        <w:t>This letter supersedes and replaces any prior understandings or agreements, whether oral, written or implied, between you and the Company regarding the matters described in this letter.</w:t>
      </w:r>
    </w:p>
    <w:p>
      <w:pPr>
        <w:spacing w:after="0" w:line="15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252095</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60"/>
          </w:cols>
          <w:pgMar w:left="540" w:top="431" w:right="299" w:bottom="1440" w:gutter="0" w:footer="0" w:header="0"/>
        </w:sectPr>
      </w:pPr>
    </w:p>
    <w:bookmarkStart w:id="54" w:name="page55"/>
    <w:bookmarkEnd w:id="54"/>
    <w:p>
      <w:pPr>
        <w:ind w:left="240"/>
        <w:spacing w:after="0" w:line="279" w:lineRule="auto"/>
        <w:rPr>
          <w:sz w:val="20"/>
          <w:szCs w:val="20"/>
          <w:color w:val="auto"/>
        </w:rPr>
      </w:pPr>
      <w:r>
        <w:rPr>
          <w:rFonts w:ascii="Times New Roman" w:cs="Times New Roman" w:eastAsia="Times New Roman" w:hAnsi="Times New Roman"/>
          <w:sz w:val="12"/>
          <w:szCs w:val="12"/>
          <w:color w:val="auto"/>
        </w:rPr>
        <w:t>If you wish to accept this offer, please sign and date both the enclosed duplicate original of this letter and the enclosed Proprietary Information and Inventions Agreement and return them to me. As required, by law, your employment with the Company is also contingent upon your providing legal proof of your identity and authorization to work in the United States. We look forward to having you join the team!</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102235</wp:posOffset>
            </wp:positionV>
            <wp:extent cx="862965" cy="600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6296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Yaniv Sarig, CEO Aterian, Inc.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ACCEPTED AND AGREED </w:t>
      </w:r>
      <w:r>
        <w:rPr>
          <w:rFonts w:ascii="Times New Roman" w:cs="Times New Roman" w:eastAsia="Times New Roman" w:hAnsi="Times New Roman"/>
          <w:sz w:val="12"/>
          <w:szCs w:val="12"/>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Josh Feldman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3/30/2022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Anticipated Start Date: </w:t>
      </w:r>
      <w:r>
        <w:rPr>
          <w:rFonts w:ascii="Times New Roman" w:cs="Times New Roman" w:eastAsia="Times New Roman" w:hAnsi="Times New Roman"/>
          <w:sz w:val="12"/>
          <w:szCs w:val="12"/>
          <w:b w:val="1"/>
          <w:bCs w:val="1"/>
          <w:i w:val="1"/>
          <w:iCs w:val="1"/>
          <w:u w:val="single" w:color="auto"/>
          <w:color w:val="auto"/>
        </w:rPr>
        <w:t>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344805</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auto"/>
        </w:rPr>
        <w:t>Attachment A</w:t>
      </w:r>
      <w:r>
        <w:rPr>
          <w:rFonts w:ascii="Times New Roman" w:cs="Times New Roman" w:eastAsia="Times New Roman" w:hAnsi="Times New Roman"/>
          <w:sz w:val="12"/>
          <w:szCs w:val="12"/>
          <w:color w:val="auto"/>
        </w:rPr>
        <w:t>: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143000" cy="3314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14300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u w:val="single" w:color="auto"/>
          <w:color w:val="auto"/>
        </w:rPr>
        <w:t>ATTACHMENT A</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PROPRIETARY INFORMATION AND INVENTIONS AGREEMENT</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PROPRIETARY INFORMATION AND INVENTIONS AGREEMENT</w:t>
      </w:r>
    </w:p>
    <w:p>
      <w:pPr>
        <w:spacing w:after="0" w:line="150" w:lineRule="exact"/>
        <w:rPr>
          <w:sz w:val="20"/>
          <w:szCs w:val="20"/>
          <w:color w:val="auto"/>
        </w:rPr>
      </w:pPr>
    </w:p>
    <w:p>
      <w:pPr>
        <w:jc w:val="both"/>
        <w:ind w:left="240"/>
        <w:spacing w:after="0" w:line="286" w:lineRule="auto"/>
        <w:rPr>
          <w:sz w:val="20"/>
          <w:szCs w:val="20"/>
          <w:color w:val="auto"/>
        </w:rPr>
      </w:pPr>
      <w:r>
        <w:rPr>
          <w:rFonts w:ascii="Times New Roman" w:cs="Times New Roman" w:eastAsia="Times New Roman" w:hAnsi="Times New Roman"/>
          <w:sz w:val="12"/>
          <w:szCs w:val="12"/>
          <w:color w:val="auto"/>
        </w:rPr>
        <w:t xml:space="preserve">In consideration of my employment or consulting (including independent contracting) relationship with </w:t>
      </w:r>
      <w:r>
        <w:rPr>
          <w:rFonts w:ascii="Times New Roman" w:cs="Times New Roman" w:eastAsia="Times New Roman" w:hAnsi="Times New Roman"/>
          <w:sz w:val="12"/>
          <w:szCs w:val="12"/>
          <w:b w:val="1"/>
          <w:bCs w:val="1"/>
          <w:color w:val="auto"/>
        </w:rPr>
        <w:t>Aterian, Inc.</w:t>
      </w:r>
      <w:r>
        <w:rPr>
          <w:rFonts w:ascii="Times New Roman" w:cs="Times New Roman" w:eastAsia="Times New Roman" w:hAnsi="Times New Roman"/>
          <w:sz w:val="12"/>
          <w:szCs w:val="12"/>
          <w:color w:val="auto"/>
        </w:rPr>
        <w:t xml:space="preserve">,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the training, contacts and experience that I may receive in connection with such relationship, the compensation paid to me by the Company, and other good and valuable consideration, the receipt and sufficiency of which are hereby acknowledged, I agree as follows:</w:t>
      </w:r>
    </w:p>
    <w:p>
      <w:pPr>
        <w:spacing w:after="0" w:line="1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Section 1. Definitions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terms have the following specified meanings:</w:t>
      </w:r>
    </w:p>
    <w:p>
      <w:pPr>
        <w:spacing w:after="0" w:line="146" w:lineRule="exact"/>
        <w:rPr>
          <w:sz w:val="20"/>
          <w:szCs w:val="20"/>
          <w:color w:val="auto"/>
        </w:rPr>
      </w:pPr>
    </w:p>
    <w:p>
      <w:pPr>
        <w:jc w:val="both"/>
        <w:ind w:left="2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"Competing Business" </w:t>
      </w:r>
      <w:r>
        <w:rPr>
          <w:rFonts w:ascii="Times New Roman" w:cs="Times New Roman" w:eastAsia="Times New Roman" w:hAnsi="Times New Roman"/>
          <w:sz w:val="12"/>
          <w:szCs w:val="12"/>
          <w:color w:val="auto"/>
        </w:rPr>
        <w:t>means any business who offers products or services that are directly or indirectly competitive with the products or services of the Company. A Competing Business includes any business pursuing research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development and/or offering products or services in competition with products or services which are, during and at the end of the Term, either (a) produced, marketed, distributed, sourced or otherwise commercially exploited by the Company or (b) in actual or demonstrably anticipated research or development by the Company.</w:t>
      </w:r>
    </w:p>
    <w:p>
      <w:pPr>
        <w:spacing w:after="0" w:line="114" w:lineRule="exact"/>
        <w:rPr>
          <w:sz w:val="20"/>
          <w:szCs w:val="20"/>
          <w:color w:val="auto"/>
        </w:rPr>
      </w:pPr>
    </w:p>
    <w:p>
      <w:pPr>
        <w:jc w:val="both"/>
        <w:ind w:left="2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"Confidential Information" </w:t>
      </w:r>
      <w:r>
        <w:rPr>
          <w:rFonts w:ascii="Times New Roman" w:cs="Times New Roman" w:eastAsia="Times New Roman" w:hAnsi="Times New Roman"/>
          <w:sz w:val="12"/>
          <w:szCs w:val="12"/>
          <w:color w:val="auto"/>
        </w:rPr>
        <w:t>means any information related to the business or other affairs of the Company or its affiliates that is not generally available to the public, and that: (a) is conceived, compiled, developed, or discovered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me whether solely or jointly with others, during the Term or (b) is or has been received or otherwise becomes known to me in connection with my employment or consulting relationship. Without limiting the generality of the foregoing, Confidential Information includes information, both written and oral, relating to Inventions and Works, trade secrets and other proprietary information, technical data, products, services, finances, business plans, marketing plans, legal affairs, suppliers, clients, potential clients, prospects, opportunities, contracts or assets of the Company or its affiliates. Confidential Information also includes any information that has been made available to the Company by its clients or other third parties and which the Company is obligated to keep confidential.</w:t>
      </w:r>
    </w:p>
    <w:p>
      <w:pPr>
        <w:spacing w:after="0" w:line="119" w:lineRule="exact"/>
        <w:rPr>
          <w:sz w:val="20"/>
          <w:szCs w:val="20"/>
          <w:color w:val="auto"/>
        </w:rPr>
      </w:pPr>
    </w:p>
    <w:p>
      <w:pPr>
        <w:jc w:val="both"/>
        <w:ind w:left="2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"Inventions and Works" </w:t>
      </w:r>
      <w:r>
        <w:rPr>
          <w:rFonts w:ascii="Times New Roman" w:cs="Times New Roman" w:eastAsia="Times New Roman" w:hAnsi="Times New Roman"/>
          <w:sz w:val="12"/>
          <w:szCs w:val="12"/>
          <w:color w:val="auto"/>
        </w:rPr>
        <w:t>means any composition, work of authorship, computer program, product, device, technique, know-how, algorithm, method, design, process, procedure, improvement, discovery or invention, whether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patentable or copyrightable and whether or not reduced to practice, that is (a) within the scope of the Company's business, research or investigations, or results from or is suggested by any work performed by me for the Company, and (b) created, conceived, reduced to practice, developed, discovered, invented or made by me during the Term, whether solely or jointly with others, and whether or not while employed by, or in a consulting relationship with, the Company.</w:t>
      </w:r>
    </w:p>
    <w:p>
      <w:pPr>
        <w:spacing w:after="0" w:line="117" w:lineRule="exact"/>
        <w:rPr>
          <w:sz w:val="20"/>
          <w:szCs w:val="20"/>
          <w:color w:val="auto"/>
        </w:rPr>
      </w:pPr>
    </w:p>
    <w:p>
      <w:pPr>
        <w:jc w:val="both"/>
        <w:ind w:left="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"Materials" </w:t>
      </w:r>
      <w:r>
        <w:rPr>
          <w:rFonts w:ascii="Times New Roman" w:cs="Times New Roman" w:eastAsia="Times New Roman" w:hAnsi="Times New Roman"/>
          <w:sz w:val="12"/>
          <w:szCs w:val="12"/>
          <w:color w:val="auto"/>
        </w:rPr>
        <w:t>means any product, prototype, sample, model, document, diskette, tape, picture, drawing, design, recording, report, proposal, paper, note, writing or other tangible item which in whole or in part contains, embodies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manifests, whether in printed, handwritten, coded, magnetic or other form, any Confidential Information or Inventions and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color w:val="auto"/>
        </w:rPr>
        <w:t xml:space="preserve">"Person" </w:t>
      </w:r>
      <w:r>
        <w:rPr>
          <w:rFonts w:ascii="Times New Roman" w:cs="Times New Roman" w:eastAsia="Times New Roman" w:hAnsi="Times New Roman"/>
          <w:sz w:val="12"/>
          <w:szCs w:val="12"/>
          <w:color w:val="auto"/>
        </w:rPr>
        <w:t>means any corporation, limited liability company, partnership, trust, association, governmental authority, educational institution, individual or other entity.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"Proprietary Right" </w:t>
      </w:r>
      <w:r>
        <w:rPr>
          <w:rFonts w:ascii="Times New Roman" w:cs="Times New Roman" w:eastAsia="Times New Roman" w:hAnsi="Times New Roman"/>
          <w:sz w:val="12"/>
          <w:szCs w:val="12"/>
          <w:color w:val="auto"/>
        </w:rPr>
        <w:t>means any patent, copyright, trade secret, trademark, trade name, service mark or other protected intellectual property right in any Confidential Information, Inventions and Works, or Material.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"Restricted Period" </w:t>
      </w:r>
      <w:r>
        <w:rPr>
          <w:rFonts w:ascii="Times New Roman" w:cs="Times New Roman" w:eastAsia="Times New Roman" w:hAnsi="Times New Roman"/>
          <w:sz w:val="12"/>
          <w:szCs w:val="12"/>
          <w:color w:val="auto"/>
        </w:rPr>
        <w:t>means the period commencing at the beginning of the Term and ending one (1) year after expiration of the Term.</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"Term" </w:t>
      </w:r>
      <w:r>
        <w:rPr>
          <w:rFonts w:ascii="Times New Roman" w:cs="Times New Roman" w:eastAsia="Times New Roman" w:hAnsi="Times New Roman"/>
          <w:sz w:val="12"/>
          <w:szCs w:val="12"/>
          <w:color w:val="auto"/>
        </w:rPr>
        <w:t>means the period from the beginning of my employment or consulting relationship with the Company, whether on a full-time, part-time or consulting basis, through the last day of such employment or consulting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relationship.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Section 2. Confidential Information, Inventions and Works, and Materials</w:t>
      </w:r>
    </w:p>
    <w:p>
      <w:pPr>
        <w:spacing w:after="0" w:line="1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2.1 Ownership. </w:t>
      </w:r>
      <w:r>
        <w:rPr>
          <w:rFonts w:ascii="Times New Roman" w:cs="Times New Roman" w:eastAsia="Times New Roman" w:hAnsi="Times New Roman"/>
          <w:sz w:val="12"/>
          <w:szCs w:val="12"/>
          <w:color w:val="auto"/>
        </w:rPr>
        <w:t>As between the Company and me, the Company is and will be the sole owner of all Confidential Information, Inventions and Works, Materials and Proprietary Rights. To the extent eligible for such treatment,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Inventions and Works will constitute "works made for hire" under applicable copyright laws.</w:t>
      </w:r>
    </w:p>
    <w:p>
      <w:pPr>
        <w:spacing w:after="0" w:line="1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2.2 Assignment. </w:t>
      </w:r>
      <w:r>
        <w:rPr>
          <w:rFonts w:ascii="Times New Roman" w:cs="Times New Roman" w:eastAsia="Times New Roman" w:hAnsi="Times New Roman"/>
          <w:sz w:val="12"/>
          <w:szCs w:val="12"/>
          <w:color w:val="auto"/>
        </w:rPr>
        <w:t>I hereby irrevocably assign and transfer to the Company all right, title and interest that I may now or hereafter have in the Confidential Information, Inventions and Works, Materials and Proprietary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subject to the limitations set forth in the notice below. This assignment and transfer is independent of any obligation or commitment made to me by the Company. Further, I hereby waive any moral rights that I may have in or to any Confidential Information, Inventions and Works, Materials and Proprietary Rights. I will take such action (including, but not limited to, the execution, acknowledgment, delivery and assistance in preparation of documents or the giving of testimony) as may be requested by the Company to evidence, transfer, vest or confirm the Company's right, title and interest in the Confidential Information, Inventions and Works, Materials and Proprietary Rights, and the license rights described in Section 2.6 below. I agree to keep and maintain adequate and current written records of all Inventions and Proprietary Rights during the Term. The records will be in the form of notes, sketches, drawings, and any other format that may be specified by the Company. The records will be available to and remain the sole property of the Company at all times. I will not contest the validity of any Proprietary Rights or aid or encourage any third party to contest the validity of any Proprietary Right of the Company. If I have any question as to whether any information, an invention, a work, a material or a right qualifies, respectively, as Confidential Information, an Invention, a Work, a Material or a Proprietary Right, I will inform the Company of the nature of such information, invention, work, material or right for the Company's determination as to whether such information, invention, work, material or right is, respectively, Confidential Information, an Invention, a Work, a Material or a Proprietary Right.</w:t>
      </w:r>
    </w:p>
    <w:p>
      <w:pPr>
        <w:spacing w:after="0" w:line="1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u w:val="single" w:color="auto"/>
          <w:color w:val="auto"/>
        </w:rPr>
        <w:t>NOTICE</w:t>
      </w:r>
      <w:r>
        <w:rPr>
          <w:rFonts w:ascii="Times New Roman" w:cs="Times New Roman" w:eastAsia="Times New Roman" w:hAnsi="Times New Roman"/>
          <w:sz w:val="12"/>
          <w:szCs w:val="12"/>
          <w:b w:val="1"/>
          <w:bCs w:val="1"/>
          <w:color w:val="auto"/>
        </w:rPr>
        <w:t>: Notwithstanding any other provision of this Agreement to the contrary, this Agreement does not obligate me to assign or offer to assign to the Company any of my rights in an invention for which no equipment, supplies, facilities or trade secret information of the Company was used and which was developed entirely on my own time, unless (a) the invention relates (i) directly to the business of the Company or (ii) to the Company's actual or demonstrably anticipated research or development, or (b) the invention results from any work performed by me for the Company. This satisfies the written notice and other requirements of California Labor Code Section 2870 or any other similar state statute that may be applicable in my case.</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2.3 Company Authority. </w:t>
      </w:r>
      <w:r>
        <w:rPr>
          <w:rFonts w:ascii="Times New Roman" w:cs="Times New Roman" w:eastAsia="Times New Roman" w:hAnsi="Times New Roman"/>
          <w:sz w:val="12"/>
          <w:szCs w:val="12"/>
          <w:color w:val="auto"/>
        </w:rPr>
        <w:t>If the Company is unable for any reason to secure my signature to fulfill the intent of the foregoing paragraph or to apply for or to pursue any application for any United States or foreign patents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copyright registrations covering Inventions and Works assigned to the Company above, then I irrevocably appoint the Company and its authorized agents as my agent and attorney in fact, to transfer, vest or confirm the Company's rights and to execute and file any such applications and to do all other lawful acts to further the prosecution and issuance of letters patent or copyright registrations with the same legal force as if done by me.</w:t>
      </w:r>
    </w:p>
    <w:p>
      <w:pPr>
        <w:spacing w:after="0" w:line="11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2.4 Use Restrictions. </w:t>
      </w:r>
      <w:r>
        <w:rPr>
          <w:rFonts w:ascii="Times New Roman" w:cs="Times New Roman" w:eastAsia="Times New Roman" w:hAnsi="Times New Roman"/>
          <w:sz w:val="12"/>
          <w:szCs w:val="12"/>
          <w:color w:val="auto"/>
        </w:rPr>
        <w:t>Except as required for performance of my work for the Company or as authorized in writing by the Company, I will not (a) use, disclose, publish or distribute any Confidential Information, Inventions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Works or Materials or (b) remove any Materials from the Company's premises. I will hold all Materials in trust for the Company and I will deliver them to the Company upon request and in any event at the end of the Term. I will take all action necessary to protect the confidentiality of the Confidential Information, Inventions and Works or Materials including, without limitation, implementing and enforcing operating procedures to minimize the possibility of unauthorized use or copying thereof.</w:t>
      </w:r>
    </w:p>
    <w:p>
      <w:pPr>
        <w:spacing w:after="0" w:line="11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2.5 Disclosure Obligations. </w:t>
      </w:r>
      <w:r>
        <w:rPr>
          <w:rFonts w:ascii="Times New Roman" w:cs="Times New Roman" w:eastAsia="Times New Roman" w:hAnsi="Times New Roman"/>
          <w:sz w:val="12"/>
          <w:szCs w:val="12"/>
          <w:color w:val="auto"/>
        </w:rPr>
        <w:t>I will promptly disclose to the Company all Confidential Information, Inventions and Works, and Materials, as well as any business opportunity that comes to my attention during the Term and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relates to the business of the Company or which arises as a result of my employment or consulting relationship with the Company. I will not take advantage of or divert any such opportunity for the benefit of myself or anyone else either during or after the Term without the prior written consent of the Company. I agree that at the end of the Term I will deliver to the Company (and will not keep in my possession, recreate or deliver to anyone else) any and all Inventions and Works, Materials and other property belonging to the Company, its successors or assigns.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2.6 Prior Inventions. </w:t>
      </w:r>
      <w:r>
        <w:rPr>
          <w:rFonts w:ascii="Times New Roman" w:cs="Times New Roman" w:eastAsia="Times New Roman" w:hAnsi="Times New Roman"/>
          <w:sz w:val="12"/>
          <w:szCs w:val="12"/>
          <w:color w:val="auto"/>
        </w:rPr>
        <w:t>I have attached as</w:t>
      </w:r>
      <w:r>
        <w:rPr>
          <w:rFonts w:ascii="Times New Roman" w:cs="Times New Roman" w:eastAsia="Times New Roman" w:hAnsi="Times New Roman"/>
          <w:sz w:val="12"/>
          <w:szCs w:val="12"/>
          <w:b w:val="1"/>
          <w:bCs w:val="1"/>
          <w:color w:val="auto"/>
        </w:rPr>
        <w:t xml:space="preserve"> Exhibit A </w:t>
      </w:r>
      <w:r>
        <w:rPr>
          <w:rFonts w:ascii="Times New Roman" w:cs="Times New Roman" w:eastAsia="Times New Roman" w:hAnsi="Times New Roman"/>
          <w:sz w:val="12"/>
          <w:szCs w:val="12"/>
          <w:color w:val="auto"/>
        </w:rPr>
        <w:t>a list describing all inventions, original works of authorship, developments, improvements, and trade secrets which were made by me prior to the Term (collectively referred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as </w:t>
      </w:r>
      <w:r>
        <w:rPr>
          <w:rFonts w:ascii="Times New Roman" w:cs="Times New Roman" w:eastAsia="Times New Roman" w:hAnsi="Times New Roman"/>
          <w:sz w:val="12"/>
          <w:szCs w:val="12"/>
          <w:b w:val="1"/>
          <w:bCs w:val="1"/>
          <w:color w:val="auto"/>
        </w:rPr>
        <w:t>"Prior Inventions"</w:t>
      </w:r>
      <w:r>
        <w:rPr>
          <w:rFonts w:ascii="Times New Roman" w:cs="Times New Roman" w:eastAsia="Times New Roman" w:hAnsi="Times New Roman"/>
          <w:sz w:val="12"/>
          <w:szCs w:val="12"/>
          <w:color w:val="auto"/>
        </w:rPr>
        <w:t>), which belong to me or in which I have an interest, which relate to the Company's current or proposed business, products or research and development, and which are not assigned to the Company. I represent and warrant that this list is complete and accurate. If no such Prior Inventions exist, then I have written "none" on Exhibit A or left it blank. If Exhibit A is left blank or reads "none," then I represent that there are no Prior Inventions. Notwithstanding the notice in Section 2.2, if, during the Term, I use any Prior Inventions with or incorporate any Prior Invention in any Confidential Information, Inventions and Works or Materials into a Company product, process or machine, I hereby irrevocably grant to the Company, to the full extent of my rights in and to the same, a fully paid-up, perpetual, worldwide right and license to sublicense, disclose, offer, copy, distribute, import, make, have made, make derivative works of, use and otherwise exploit any trade secrets, copyrights, patents or other proprietary rights to the Prior Inventions belonging to me or a third party with such Confidential Information, Inventions and Works, or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235585</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60"/>
          </w:cols>
          <w:pgMar w:left="540" w:top="431"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color w:val="auto"/>
        </w:rPr>
        <w:t>Section 3. Nonsolicitation, Noncompetition, Etc.</w:t>
      </w:r>
    </w:p>
    <w:p>
      <w:pPr>
        <w:spacing w:after="0" w:line="1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3.1 No Solicitation. </w:t>
      </w:r>
      <w:r>
        <w:rPr>
          <w:rFonts w:ascii="Times New Roman" w:cs="Times New Roman" w:eastAsia="Times New Roman" w:hAnsi="Times New Roman"/>
          <w:sz w:val="12"/>
          <w:szCs w:val="12"/>
          <w:color w:val="auto"/>
        </w:rPr>
        <w:t>During the Restricted Period, I will not induce, or attempt to induce, any employee or consultant of the Company to leave such employment or relationship to engage in, be employed by, perform services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participate in or otherwise be connected with, either directly or indirectly, me or any enterprise with which I am in any way associated.</w:t>
      </w:r>
    </w:p>
    <w:p>
      <w:pPr>
        <w:spacing w:after="0" w:line="1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3.2 No Breaches. </w:t>
      </w:r>
      <w:r>
        <w:rPr>
          <w:rFonts w:ascii="Times New Roman" w:cs="Times New Roman" w:eastAsia="Times New Roman" w:hAnsi="Times New Roman"/>
          <w:sz w:val="12"/>
          <w:szCs w:val="12"/>
          <w:color w:val="auto"/>
        </w:rPr>
        <w:t>My execution, delivery and performance of this Agreement and the performance of my other obligations and duties to the Company will not cause any breach, default or violation of any other employment,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nondisclosure, confidentiality, consulting or other agreement to which I am a party or</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by which I may be bound. Attached as Exhibit B is a list of all prior agreements now in effect under which I have agreed to keep information confidential or not to compete or solicit employees of any Person. I will not use in performance of my work for the Company or disclose to the Company any trade secret, confidential or proprietary information of any prior employer or other person or entity if and to the extent that such use or disclosure may cause any breach, default or violation of any obligation or duty that I owe to such other person or entity (e.g., under any agreement or applicable law). My compliance with this Section 3.2 will not prohibit, restrict or impair the performance of my work, obligations and duties to the Company.</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3.3 Nondisparagement. </w:t>
      </w:r>
      <w:r>
        <w:rPr>
          <w:rFonts w:ascii="Times New Roman" w:cs="Times New Roman" w:eastAsia="Times New Roman" w:hAnsi="Times New Roman"/>
          <w:sz w:val="12"/>
          <w:szCs w:val="12"/>
          <w:color w:val="auto"/>
        </w:rPr>
        <w:t>During the Restricted Period, I will not (a) make any false, misleading or disparaging representations or statements with regard to the Company or the products or services of the Company to any third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party or (b) make any statement to any third party that may impair or otherwise adversely affect the goodwill or reputation of the Company.</w:t>
      </w:r>
    </w:p>
    <w:p>
      <w:pPr>
        <w:spacing w:after="0" w:line="1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3.4 Noncompetition. </w:t>
      </w:r>
      <w:r>
        <w:rPr>
          <w:rFonts w:ascii="Times New Roman" w:cs="Times New Roman" w:eastAsia="Times New Roman" w:hAnsi="Times New Roman"/>
          <w:sz w:val="12"/>
          <w:szCs w:val="12"/>
          <w:color w:val="auto"/>
        </w:rPr>
        <w:t>During the Restricted Period, I will not engage in, be employed by, perform services for, participate in the non-passive ownership, management, control or operation of, or otherwise be connected with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participate in any Competing Business or activity that is in any way competitive with the business or proposed business of the Company, including but not limited to businesses that engage in the development, design, manufacturing, and/or sale of functionally similar products and technologies to those of the Company. I agree that this restriction is reasonable for my employment with the Company, but further agree that should a court exercising jurisdiction with respect to this Agreement find any such restriction invalid or unenforceable due to unreasonableness, either in period of time, geographical area, or otherwise, then in that event, such restriction is to be interpreted and enforced to the maximum extent which such court deems reasonable. The Company, in its sole discretion, may determine to waive the noncompetition provisions of this Section 3.4. Any such waiver shall not constitute a waiver of any noncompetition or forfeiture provisions of any other agreement between the Company and me.</w:t>
      </w:r>
    </w:p>
    <w:p>
      <w:pPr>
        <w:spacing w:after="0" w:line="1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2"/>
          <w:szCs w:val="12"/>
          <w:b w:val="1"/>
          <w:bCs w:val="1"/>
          <w:color w:val="auto"/>
        </w:rPr>
        <w:t>3.5 Diversion of Company Business</w:t>
      </w:r>
      <w:r>
        <w:rPr>
          <w:rFonts w:ascii="Times New Roman" w:cs="Times New Roman" w:eastAsia="Times New Roman" w:hAnsi="Times New Roman"/>
          <w:sz w:val="12"/>
          <w:szCs w:val="12"/>
          <w:color w:val="auto"/>
        </w:rPr>
        <w:t>. During the Restricted Period, I will not divert or attempt to divert from the Company any business the Company enjoyed or solicited from its customers during the twelve (12) months prior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the end of the Term, nor will I solicit or attempt to induce any customer, supplier, partner or other person or entity with whom the Company has, or is attempting to establish, a commercial relationship to cease or refrain from doing business with the Company or to alter its relationship with the Company in any way adverse to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Section 4. Termination of Relationship</w:t>
      </w:r>
    </w:p>
    <w:p>
      <w:pPr>
        <w:spacing w:after="0" w:line="1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2"/>
          <w:szCs w:val="12"/>
          <w:b w:val="1"/>
          <w:bCs w:val="1"/>
          <w:color w:val="auto"/>
        </w:rPr>
        <w:t>4.1 Return of Company Property</w:t>
      </w:r>
      <w:r>
        <w:rPr>
          <w:rFonts w:ascii="Times New Roman" w:cs="Times New Roman" w:eastAsia="Times New Roman" w:hAnsi="Times New Roman"/>
          <w:sz w:val="12"/>
          <w:szCs w:val="12"/>
          <w:color w:val="auto"/>
        </w:rPr>
        <w:t>. I hereby authorize and specifically agree to allow the Company to deduct from my wages or other payments due me, the value of any property (including equipment, goods, or other items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provided to me by the Company during my employment or consulting relationship) which I fail to return when requested to do so by the Company, provided that such deduction (a) does not exceed the cost of the item, (b) does not reduce my wages below minimum wage or overtime compensation below time and a half, (c) is not made for normal wear and tear on or non willful loss or breakage of the provided item(s), and (d) is accompanied with a list of all items for which deductions are being made. I agree that at the end of the Term I will deliver to the Company (and will not keep in my possession, re-create or deliver to anyone else) any and all Materials and other property belonging to the Company, its successors or assigns. I agree to sign and deliver a certificate to the Company as to my compliance with this paragraph.</w:t>
      </w:r>
    </w:p>
    <w:p>
      <w:pPr>
        <w:spacing w:after="0" w:line="1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2"/>
          <w:szCs w:val="12"/>
          <w:b w:val="1"/>
          <w:bCs w:val="1"/>
          <w:color w:val="auto"/>
        </w:rPr>
        <w:t>4.2</w:t>
      </w:r>
      <w:r>
        <w:rPr>
          <w:sz w:val="20"/>
          <w:szCs w:val="20"/>
          <w:color w:val="auto"/>
        </w:rPr>
        <w:tab/>
      </w:r>
      <w:r>
        <w:rPr>
          <w:rFonts w:ascii="Times New Roman" w:cs="Times New Roman" w:eastAsia="Times New Roman" w:hAnsi="Times New Roman"/>
          <w:sz w:val="11"/>
          <w:szCs w:val="11"/>
          <w:b w:val="1"/>
          <w:bCs w:val="1"/>
          <w:color w:val="auto"/>
        </w:rPr>
        <w:t>New Employer Information</w:t>
      </w:r>
      <w:r>
        <w:rPr>
          <w:rFonts w:ascii="Times New Roman" w:cs="Times New Roman" w:eastAsia="Times New Roman" w:hAnsi="Times New Roman"/>
          <w:sz w:val="11"/>
          <w:szCs w:val="11"/>
          <w:color w:val="auto"/>
        </w:rPr>
        <w:t>. At the end of the Term or at any time within six (6) months thereafter, if requested by the Company, I agree to provide the name of my new employer, if any, and I</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consent to notification by the Company to my new employer about my rights and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250825</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60"/>
          </w:cols>
          <w:pgMar w:left="540" w:top="431" w:right="299" w:bottom="1440" w:gutter="0" w:footer="0" w:header="0"/>
        </w:sectPr>
      </w:pPr>
    </w:p>
    <w:bookmarkStart w:id="58" w:name="page59"/>
    <w:bookmarkEnd w:id="58"/>
    <w:p>
      <w:pPr>
        <w:ind w:left="240"/>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Section 5.</w:t>
      </w:r>
      <w:r>
        <w:rPr>
          <w:sz w:val="20"/>
          <w:szCs w:val="20"/>
          <w:color w:val="auto"/>
        </w:rPr>
        <w:tab/>
      </w:r>
      <w:r>
        <w:rPr>
          <w:rFonts w:ascii="Times New Roman" w:cs="Times New Roman" w:eastAsia="Times New Roman" w:hAnsi="Times New Roman"/>
          <w:sz w:val="12"/>
          <w:szCs w:val="12"/>
          <w:b w:val="1"/>
          <w:bCs w:val="1"/>
          <w:color w:val="auto"/>
        </w:rPr>
        <w:t>General Provisions</w:t>
      </w:r>
    </w:p>
    <w:p>
      <w:pPr>
        <w:spacing w:after="0" w:line="150" w:lineRule="exact"/>
        <w:rPr>
          <w:sz w:val="20"/>
          <w:szCs w:val="20"/>
          <w:color w:val="auto"/>
        </w:rPr>
      </w:pPr>
    </w:p>
    <w:p>
      <w:pPr>
        <w:ind w:left="240" w:right="2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5.1 At-Will Employment. </w:t>
      </w:r>
      <w:r>
        <w:rPr>
          <w:rFonts w:ascii="Times New Roman" w:cs="Times New Roman" w:eastAsia="Times New Roman" w:hAnsi="Times New Roman"/>
          <w:sz w:val="12"/>
          <w:szCs w:val="12"/>
          <w:color w:val="auto"/>
        </w:rPr>
        <w:t>This Agreement is not a contract of employment and no rights of employment are hereby created. Unless otherwise set forth in a written agreement signed by me and the Company, my employment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the Company (if I am an employee) is "at will" and may be terminated at any time, with or without cause, by me or the Company.</w:t>
      </w:r>
    </w:p>
    <w:p>
      <w:pPr>
        <w:spacing w:after="0" w:line="103" w:lineRule="exact"/>
        <w:rPr>
          <w:sz w:val="20"/>
          <w:szCs w:val="20"/>
          <w:color w:val="auto"/>
        </w:rPr>
      </w:pPr>
    </w:p>
    <w:p>
      <w:pPr>
        <w:ind w:left="240"/>
        <w:spacing w:after="0"/>
        <w:tabs>
          <w:tab w:leader="none" w:pos="500" w:val="left"/>
        </w:tabs>
        <w:rPr>
          <w:sz w:val="20"/>
          <w:szCs w:val="20"/>
          <w:color w:val="auto"/>
        </w:rPr>
      </w:pPr>
      <w:r>
        <w:rPr>
          <w:rFonts w:ascii="Times New Roman" w:cs="Times New Roman" w:eastAsia="Times New Roman" w:hAnsi="Times New Roman"/>
          <w:sz w:val="12"/>
          <w:szCs w:val="12"/>
          <w:b w:val="1"/>
          <w:bCs w:val="1"/>
          <w:color w:val="auto"/>
        </w:rPr>
        <w:t>5.2</w:t>
      </w:r>
      <w:r>
        <w:rPr>
          <w:sz w:val="20"/>
          <w:szCs w:val="20"/>
          <w:color w:val="auto"/>
        </w:rPr>
        <w:tab/>
      </w:r>
      <w:r>
        <w:rPr>
          <w:rFonts w:ascii="Times New Roman" w:cs="Times New Roman" w:eastAsia="Times New Roman" w:hAnsi="Times New Roman"/>
          <w:sz w:val="11"/>
          <w:szCs w:val="11"/>
          <w:b w:val="1"/>
          <w:bCs w:val="1"/>
          <w:color w:val="auto"/>
        </w:rPr>
        <w:t xml:space="preserve">Survival. </w:t>
      </w:r>
      <w:r>
        <w:rPr>
          <w:rFonts w:ascii="Times New Roman" w:cs="Times New Roman" w:eastAsia="Times New Roman" w:hAnsi="Times New Roman"/>
          <w:sz w:val="11"/>
          <w:szCs w:val="11"/>
          <w:color w:val="auto"/>
        </w:rPr>
        <w:t>The following provisions will survive the termination or expiration of this Agreement: Sections 1, 2, 3.1, 3.3, 3.4, 3.5 and 5.</w:t>
      </w:r>
    </w:p>
    <w:p>
      <w:pPr>
        <w:spacing w:after="0" w:line="150" w:lineRule="exact"/>
        <w:rPr>
          <w:sz w:val="20"/>
          <w:szCs w:val="20"/>
          <w:color w:val="auto"/>
        </w:rPr>
      </w:pPr>
    </w:p>
    <w:p>
      <w:pPr>
        <w:ind w:left="240" w:right="2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5.3 Specific Performance. </w:t>
      </w:r>
      <w:r>
        <w:rPr>
          <w:rFonts w:ascii="Times New Roman" w:cs="Times New Roman" w:eastAsia="Times New Roman" w:hAnsi="Times New Roman"/>
          <w:sz w:val="12"/>
          <w:szCs w:val="12"/>
          <w:color w:val="auto"/>
        </w:rPr>
        <w:t>In the event of any breach of or default under this Agreement by me, the Company may suffer irreparable harm and damages may not be an adequate remedy. In the event of any such breach or default,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any threat of such breach or default, the Company will be entitled to injunctive relief and specific performance. Further, in any legal action or other proceeding in connection with this Agreement (e.g., to recover damages or other relief), the prevailing party will be entitled to recover, in addition to any other relief to which it may be entitled, its reasonable attorneys' fees and other costs incurred in that action or proceeding. The rights and remedies of the Company under this Section 5.3 are in addition to, and not in lieu of, any other right or remedy afforded to the Company under any other provision of this Agreement, by law or otherwise.</w:t>
      </w:r>
    </w:p>
    <w:p>
      <w:pPr>
        <w:spacing w:after="0" w:line="117" w:lineRule="exact"/>
        <w:rPr>
          <w:sz w:val="20"/>
          <w:szCs w:val="20"/>
          <w:color w:val="auto"/>
        </w:rPr>
      </w:pPr>
    </w:p>
    <w:p>
      <w:pPr>
        <w:ind w:left="240" w:right="160"/>
        <w:spacing w:after="0" w:line="263" w:lineRule="auto"/>
        <w:rPr>
          <w:sz w:val="20"/>
          <w:szCs w:val="20"/>
          <w:color w:val="auto"/>
        </w:rPr>
      </w:pPr>
      <w:r>
        <w:rPr>
          <w:rFonts w:ascii="Times New Roman" w:cs="Times New Roman" w:eastAsia="Times New Roman" w:hAnsi="Times New Roman"/>
          <w:sz w:val="12"/>
          <w:szCs w:val="12"/>
          <w:b w:val="1"/>
          <w:bCs w:val="1"/>
          <w:color w:val="auto"/>
        </w:rPr>
        <w:t xml:space="preserve">5.4 Severability. </w:t>
      </w:r>
      <w:r>
        <w:rPr>
          <w:rFonts w:ascii="Times New Roman" w:cs="Times New Roman" w:eastAsia="Times New Roman" w:hAnsi="Times New Roman"/>
          <w:sz w:val="12"/>
          <w:szCs w:val="12"/>
          <w:color w:val="auto"/>
        </w:rPr>
        <w:t>This Agreement will be enforced to the fullest extent permitted by applicable law. If for any reason any provision of this Agreement is held to be invalid or unenforceable to any extent, then (a) such provision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will be interpreted, construed or reformed to the extent reasonably required to render the same valid, enforceable and consistent with the original intent underlying such provision and</w:t>
      </w:r>
    </w:p>
    <w:p>
      <w:pPr>
        <w:ind w:left="240" w:right="20" w:firstLine="4"/>
        <w:spacing w:after="0" w:line="260" w:lineRule="auto"/>
        <w:tabs>
          <w:tab w:leader="none" w:pos="412"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invalidity or unenforceability will not affect any other provision of this Agreement or any other agreement between the Company and me. If the invalidity or unenforceability is due to the unreasonableness of the scope or duration of the provision, the provision will remain effective for such scope and duration as may be determined to be reasonable.</w:t>
      </w:r>
    </w:p>
    <w:p>
      <w:pPr>
        <w:spacing w:after="0" w:line="118" w:lineRule="exact"/>
        <w:rPr>
          <w:sz w:val="20"/>
          <w:szCs w:val="20"/>
          <w:color w:val="auto"/>
        </w:rPr>
      </w:pPr>
    </w:p>
    <w:p>
      <w:pPr>
        <w:ind w:left="240" w:right="3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5.5 No Waiver. </w:t>
      </w:r>
      <w:r>
        <w:rPr>
          <w:rFonts w:ascii="Times New Roman" w:cs="Times New Roman" w:eastAsia="Times New Roman" w:hAnsi="Times New Roman"/>
          <w:sz w:val="12"/>
          <w:szCs w:val="12"/>
          <w:color w:val="auto"/>
        </w:rPr>
        <w:t>The failure of the Company to insist upon or enforce strict performance of any other provisions of this Agreement or to exercise any of its rights or remedies under this Agreement will not be construed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waiver or a relinquishment to any extent of the Company's rights to assert or rely on any such provision, right or remedy in that or any instance; rather, the same will be and remain in full force and effect.</w:t>
      </w:r>
    </w:p>
    <w:p>
      <w:pPr>
        <w:spacing w:after="0" w:line="103" w:lineRule="exact"/>
        <w:rPr>
          <w:sz w:val="20"/>
          <w:szCs w:val="20"/>
          <w:color w:val="auto"/>
        </w:rPr>
      </w:pPr>
    </w:p>
    <w:p>
      <w:pPr>
        <w:ind w:left="240" w:right="80"/>
        <w:spacing w:after="0" w:line="303" w:lineRule="auto"/>
        <w:rPr>
          <w:sz w:val="20"/>
          <w:szCs w:val="20"/>
          <w:color w:val="auto"/>
        </w:rPr>
      </w:pPr>
      <w:r>
        <w:rPr>
          <w:rFonts w:ascii="Times New Roman" w:cs="Times New Roman" w:eastAsia="Times New Roman" w:hAnsi="Times New Roman"/>
          <w:sz w:val="11"/>
          <w:szCs w:val="11"/>
          <w:b w:val="1"/>
          <w:bCs w:val="1"/>
          <w:color w:val="auto"/>
        </w:rPr>
        <w:t xml:space="preserve">5.6 Entire Agreement. </w:t>
      </w:r>
      <w:r>
        <w:rPr>
          <w:rFonts w:ascii="Times New Roman" w:cs="Times New Roman" w:eastAsia="Times New Roman" w:hAnsi="Times New Roman"/>
          <w:sz w:val="11"/>
          <w:szCs w:val="11"/>
          <w:color w:val="auto"/>
        </w:rPr>
        <w:t>This Agreement shall be effective as of the date I execute the Agreement and shall be binding upon me, my heirs, executors, assigns and administrators. This Agreement sets forth the entire Agreement,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and supersedes any and all prior agreements, between me and the Company with regard to the Confidential Information, Inventions and Works, Materials and Proprietary Rights of the Company. This Agreement is independent of any other written agreements between me and the Company regarding other aspects of my employment. This Agreement may not be amended, except in a writing signed by me and an authorized representative of the Company.</w:t>
      </w:r>
    </w:p>
    <w:p>
      <w:pPr>
        <w:spacing w:after="0" w:line="97" w:lineRule="exact"/>
        <w:rPr>
          <w:sz w:val="20"/>
          <w:szCs w:val="20"/>
          <w:color w:val="auto"/>
        </w:rPr>
      </w:pPr>
    </w:p>
    <w:p>
      <w:pPr>
        <w:ind w:left="240"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5.7 Governing Law and Venue. </w:t>
      </w:r>
      <w:r>
        <w:rPr>
          <w:rFonts w:ascii="Times New Roman" w:cs="Times New Roman" w:eastAsia="Times New Roman" w:hAnsi="Times New Roman"/>
          <w:sz w:val="12"/>
          <w:szCs w:val="12"/>
          <w:color w:val="auto"/>
        </w:rPr>
        <w:t>This Agreement will be governed by the laws of the State of New York without regard to its choice of law principles to the contrary. I irrevocably consent to the jurisdiction and venue of the state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federal courts located in New York County, New York, in connection with any action relating to this Agreement. Further, I will not bring any action relating to this Agreement in any other court.</w:t>
      </w:r>
    </w:p>
    <w:p>
      <w:pPr>
        <w:spacing w:after="0" w:line="1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 xml:space="preserve">5.8 Acknowledgement. </w:t>
      </w:r>
      <w:r>
        <w:rPr>
          <w:rFonts w:ascii="Times New Roman" w:cs="Times New Roman" w:eastAsia="Times New Roman" w:hAnsi="Times New Roman"/>
          <w:sz w:val="12"/>
          <w:szCs w:val="12"/>
          <w:color w:val="auto"/>
        </w:rPr>
        <w:t>I have carefully read all of the provisions of this Agreement and agree that</w:t>
      </w:r>
    </w:p>
    <w:p>
      <w:pPr>
        <w:spacing w:after="0" w:line="154" w:lineRule="exact"/>
        <w:rPr>
          <w:sz w:val="20"/>
          <w:szCs w:val="20"/>
          <w:color w:val="auto"/>
        </w:rPr>
      </w:pPr>
    </w:p>
    <w:p>
      <w:pPr>
        <w:ind w:left="240" w:firstLine="4"/>
        <w:spacing w:after="0" w:line="279" w:lineRule="auto"/>
        <w:tabs>
          <w:tab w:leader="none" w:pos="41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same are necessary for the reasonable and proper protection of the Company's business, (b) the Company has been induced to enter into and continue its relationship with me in reliance upon my compliance with the provisions of this Agreement, (c) every provision of this Agreement is reasonable with respect to its scope and duration and (d) I have received a copy of this Agreement.</w:t>
      </w:r>
    </w:p>
    <w:p>
      <w:pPr>
        <w:spacing w:after="0" w:line="3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This Agreement shall be effective as of DATE.</w:t>
      </w:r>
    </w:p>
    <w:p>
      <w:pPr>
        <w:spacing w:after="0" w:line="15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2"/>
          <w:szCs w:val="12"/>
          <w:b w:val="1"/>
          <w:bCs w:val="1"/>
          <w:u w:val="single" w:color="auto"/>
          <w:color w:val="auto"/>
        </w:rPr>
        <w:t>ACCEPTED</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2"/>
          <w:szCs w:val="12"/>
          <w:b w:val="1"/>
          <w:bCs w:val="1"/>
          <w:color w:val="auto"/>
        </w:rPr>
        <w:t>ATERIAN,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74370" cy="268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74370" cy="26860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95250</wp:posOffset>
            </wp:positionV>
            <wp:extent cx="862965" cy="600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62965" cy="60007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Signature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3/30/2022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2"/>
          <w:szCs w:val="12"/>
          <w:color w:val="auto"/>
        </w:rPr>
        <w:t>Yaniv Sarig, CEO Aterian,Inc.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59" w:name="page60"/>
    <w:bookmarkEnd w:id="59"/>
    <w:p>
      <w:pPr>
        <w:ind w:left="248"/>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1"/>
          <w:szCs w:val="11"/>
          <w:b w:val="1"/>
          <w:bCs w:val="1"/>
          <w:color w:val="auto"/>
        </w:rPr>
        <w:t>PRIOR INVENTIONS</w:t>
      </w:r>
    </w:p>
    <w:p>
      <w:pPr>
        <w:sectPr>
          <w:pgSz w:w="11900" w:h="16838" w:orient="portrait"/>
          <w:cols w:equalWidth="0" w:num="1">
            <w:col w:w="11348"/>
          </w:cols>
          <w:pgMar w:left="292" w:top="431" w:right="259" w:bottom="1440" w:gutter="0" w:footer="0" w:header="0"/>
        </w:sectPr>
      </w:pPr>
    </w:p>
    <w:p>
      <w:pPr>
        <w:spacing w:after="0" w:line="30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b w:val="1"/>
          <w:bCs w:val="1"/>
          <w:color w:val="auto"/>
        </w:rPr>
        <w:t>Title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Identifying Number or Brief Descrip</w:t>
      </w:r>
    </w:p>
    <w:p>
      <w:pPr>
        <w:spacing w:after="0" w:line="32" w:lineRule="exact"/>
        <w:rPr>
          <w:sz w:val="20"/>
          <w:szCs w:val="20"/>
          <w:color w:val="auto"/>
        </w:rPr>
      </w:pPr>
    </w:p>
    <w:p>
      <w:pPr>
        <w:sectPr>
          <w:pgSz w:w="11900" w:h="16838" w:orient="portrait"/>
          <w:cols w:equalWidth="0" w:num="3">
            <w:col w:w="3808" w:space="720"/>
            <w:col w:w="4220" w:space="720"/>
            <w:col w:w="1880"/>
          </w:cols>
          <w:pgMar w:left="292" w:top="431" w:right="259" w:bottom="1440" w:gutter="0" w:footer="0" w:header="0"/>
          <w:type w:val="continuous"/>
        </w:sectPr>
      </w:pPr>
    </w:p>
    <w:p>
      <w:pPr>
        <w:ind w:left="588"/>
        <w:spacing w:after="0"/>
        <w:rPr>
          <w:sz w:val="20"/>
          <w:szCs w:val="20"/>
          <w:color w:val="auto"/>
        </w:rPr>
      </w:pPr>
      <w:r>
        <w:rPr>
          <w:rFonts w:ascii="Times New Roman" w:cs="Times New Roman" w:eastAsia="Times New Roman" w:hAnsi="Times New Roman"/>
          <w:sz w:val="12"/>
          <w:szCs w:val="12"/>
          <w:color w:val="auto"/>
        </w:rPr>
        <w:t>NA</w:t>
      </w:r>
    </w:p>
    <w:p>
      <w:pPr>
        <w:sectPr>
          <w:pgSz w:w="11900" w:h="16838" w:orient="portrait"/>
          <w:cols w:equalWidth="0" w:num="1">
            <w:col w:w="11348"/>
          </w:cols>
          <w:pgMar w:left="292" w:top="431" w:right="25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188" w:right="9620" w:hanging="188"/>
        <w:spacing w:after="0" w:line="600" w:lineRule="auto"/>
        <w:tabs>
          <w:tab w:leader="none" w:pos="215" w:val="left"/>
        </w:tabs>
        <w:numPr>
          <w:ilvl w:val="0"/>
          <w:numId w:val="30"/>
        </w:numPr>
        <w:rPr>
          <w:rFonts w:ascii="Times New Roman" w:cs="Times New Roman" w:eastAsia="Times New Roman" w:hAnsi="Times New Roman"/>
          <w:sz w:val="11"/>
          <w:szCs w:val="11"/>
          <w:u w:val="single" w:color="auto"/>
          <w:color w:val="auto"/>
        </w:rPr>
      </w:pPr>
      <w:r>
        <w:rPr>
          <w:rFonts w:ascii="Times New Roman" w:cs="Times New Roman" w:eastAsia="Times New Roman" w:hAnsi="Times New Roman"/>
          <w:sz w:val="11"/>
          <w:szCs w:val="11"/>
          <w:color w:val="auto"/>
        </w:rPr>
        <w:t>No inventions or improvements 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62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xml:space="preserve">Signature of Employee: </w:t>
      </w:r>
      <w:r>
        <w:rPr>
          <w:sz w:val="1"/>
          <w:szCs w:val="1"/>
          <w:color w:val="auto"/>
        </w:rPr>
        <w:drawing>
          <wp:inline distT="0" distB="0" distL="0" distR="0">
            <wp:extent cx="674370" cy="2686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74370" cy="268605"/>
                    </a:xfrm>
                    <a:prstGeom prst="rect">
                      <a:avLst/>
                    </a:prstGeom>
                    <a:noFill/>
                    <a:ln>
                      <a:noFill/>
                    </a:ln>
                  </pic:spPr>
                </pic:pic>
              </a:graphicData>
            </a:graphic>
          </wp:inline>
        </w:drawing>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Print Name of Employee: Josh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-5715</wp:posOffset>
            </wp:positionV>
            <wp:extent cx="84010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840105" cy="5715"/>
                    </a:xfrm>
                    <a:prstGeom prst="rect">
                      <a:avLst/>
                    </a:prstGeom>
                    <a:noFill/>
                  </pic:spPr>
                </pic:pic>
              </a:graphicData>
            </a:graphic>
          </wp:anchor>
        </w:drawing>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-5715</wp:posOffset>
            </wp:positionV>
            <wp:extent cx="91821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918210" cy="5715"/>
                    </a:xfrm>
                    <a:prstGeom prst="rect">
                      <a:avLst/>
                    </a:prstGeom>
                    <a:noFill/>
                  </pic:spPr>
                </pic:pic>
              </a:graphicData>
            </a:graphic>
          </wp:anchor>
        </w:drawing>
      </w:r>
    </w:p>
    <w:p>
      <w:pPr>
        <w:sectPr>
          <w:pgSz w:w="11900" w:h="16838" w:orient="portrait"/>
          <w:cols w:equalWidth="0" w:num="1">
            <w:col w:w="11348"/>
          </w:cols>
          <w:pgMar w:left="292" w:top="431" w:right="259" w:bottom="1440" w:gutter="0" w:footer="0" w:header="0"/>
          <w:type w:val="continuous"/>
        </w:sectPr>
      </w:pPr>
    </w:p>
    <w:bookmarkStart w:id="60" w:name="page61"/>
    <w:bookmarkEnd w:id="60"/>
    <w:p>
      <w:pPr>
        <w:ind w:left="20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4" w:lineRule="exact"/>
        <w:rPr>
          <w:sz w:val="20"/>
          <w:szCs w:val="20"/>
          <w:color w:val="auto"/>
        </w:rPr>
      </w:pPr>
    </w:p>
    <w:p>
      <w:pPr>
        <w:ind w:left="80"/>
        <w:spacing w:after="0" w:line="279" w:lineRule="auto"/>
        <w:rPr>
          <w:sz w:val="20"/>
          <w:szCs w:val="20"/>
          <w:color w:val="auto"/>
        </w:rPr>
      </w:pPr>
      <w:r>
        <w:rPr>
          <w:rFonts w:ascii="Times New Roman" w:cs="Times New Roman" w:eastAsia="Times New Roman" w:hAnsi="Times New Roman"/>
          <w:sz w:val="12"/>
          <w:szCs w:val="12"/>
          <w:color w:val="auto"/>
        </w:rPr>
        <w:t>The following is a list of all prior agreements with former employers or others to which I am a party in which I agreed to maintain the confidentiality of the information of, or not to compete with or solicit the employees or customers of a third party.</w:t>
      </w:r>
    </w:p>
    <w:p>
      <w:pPr>
        <w:spacing w:after="0" w:line="111" w:lineRule="exact"/>
        <w:rPr>
          <w:sz w:val="20"/>
          <w:szCs w:val="20"/>
          <w:color w:val="auto"/>
        </w:rPr>
      </w:pPr>
    </w:p>
    <w:p>
      <w:pPr>
        <w:ind w:left="380" w:right="10100" w:hanging="292"/>
        <w:spacing w:after="0" w:line="500" w:lineRule="auto"/>
        <w:tabs>
          <w:tab w:leader="none" w:pos="377" w:val="left"/>
        </w:tabs>
        <w:numPr>
          <w:ilvl w:val="0"/>
          <w:numId w:val="31"/>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No Agreements See below</w:t>
      </w:r>
    </w:p>
    <w:p>
      <w:pPr>
        <w:spacing w:after="0" w:line="1" w:lineRule="exact"/>
        <w:rPr>
          <w:rFonts w:ascii="Times New Roman" w:cs="Times New Roman" w:eastAsia="Times New Roman" w:hAnsi="Times New Roman"/>
          <w:sz w:val="12"/>
          <w:szCs w:val="12"/>
          <w:u w:val="single" w:color="auto"/>
          <w:color w:val="auto"/>
        </w:rPr>
      </w:pPr>
    </w:p>
    <w:p>
      <w:pPr>
        <w:ind w:left="360"/>
        <w:spacing w:after="0"/>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-188595</wp:posOffset>
            </wp:positionV>
            <wp:extent cx="9525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95250" cy="571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-5715</wp:posOffset>
            </wp:positionV>
            <wp:extent cx="952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95250" cy="571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Signature of Employee: </w:t>
      </w:r>
      <w:r>
        <w:rPr>
          <w:sz w:val="1"/>
          <w:szCs w:val="1"/>
          <w:color w:val="auto"/>
        </w:rPr>
        <w:drawing>
          <wp:inline distT="0" distB="0" distL="0" distR="0">
            <wp:extent cx="674370" cy="2686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74370" cy="268605"/>
                    </a:xfrm>
                    <a:prstGeom prst="rect">
                      <a:avLst/>
                    </a:prstGeom>
                    <a:noFill/>
                    <a:ln>
                      <a:noFill/>
                    </a:ln>
                  </pic:spPr>
                </pic:pic>
              </a:graphicData>
            </a:graphic>
          </wp:inline>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Print Name of Employee: Josh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-5715</wp:posOffset>
            </wp:positionV>
            <wp:extent cx="8401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40105"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-5715</wp:posOffset>
            </wp:positionV>
            <wp:extent cx="91821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918210" cy="5715"/>
                    </a:xfrm>
                    <a:prstGeom prst="rect">
                      <a:avLst/>
                    </a:prstGeom>
                    <a:noFill/>
                  </pic:spPr>
                </pic:pic>
              </a:graphicData>
            </a:graphic>
          </wp:anchor>
        </w:drawing>
      </w:r>
    </w:p>
    <w:p>
      <w:pPr>
        <w:sectPr>
          <w:pgSz w:w="11900" w:h="16838" w:orient="portrait"/>
          <w:cols w:equalWidth="0" w:num="1">
            <w:col w:w="11240"/>
          </w:cols>
          <w:pgMar w:left="300" w:top="431" w:right="359" w:bottom="1440" w:gutter="0" w:footer="0" w:header="0"/>
        </w:sectPr>
      </w:pPr>
    </w:p>
    <w:bookmarkStart w:id="61" w:name="page62"/>
    <w:bookmarkEnd w:id="61"/>
    <w:p>
      <w:pPr>
        <w:ind w:left="10628"/>
        <w:spacing w:after="0"/>
        <w:rPr>
          <w:sz w:val="20"/>
          <w:szCs w:val="20"/>
          <w:color w:val="auto"/>
        </w:rPr>
      </w:pPr>
      <w:r>
        <w:rPr>
          <w:rFonts w:ascii="Times New Roman" w:cs="Times New Roman" w:eastAsia="Times New Roman" w:hAnsi="Times New Roman"/>
          <w:sz w:val="11"/>
          <w:szCs w:val="11"/>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20320</wp:posOffset>
            </wp:positionV>
            <wp:extent cx="1143000" cy="331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143000" cy="331470"/>
                    </a:xfrm>
                    <a:prstGeom prst="rect">
                      <a:avLst/>
                    </a:prstGeom>
                    <a:noFill/>
                  </pic:spPr>
                </pic:pic>
              </a:graphicData>
            </a:graphic>
          </wp:anchor>
        </w:drawing>
      </w:r>
    </w:p>
    <w:p>
      <w:pPr>
        <w:sectPr>
          <w:pgSz w:w="11900" w:h="16838" w:orient="portrait"/>
          <w:cols w:equalWidth="0" w:num="1">
            <w:col w:w="11248"/>
          </w:cols>
          <w:pgMar w:left="352"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June 26, 2024</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Joseph Risico Delivered by e-mail</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Joe:</w:t>
      </w:r>
    </w:p>
    <w:p>
      <w:pPr>
        <w:spacing w:after="0" w:line="150" w:lineRule="exact"/>
        <w:rPr>
          <w:sz w:val="20"/>
          <w:szCs w:val="20"/>
          <w:color w:val="auto"/>
        </w:rPr>
      </w:pPr>
    </w:p>
    <w:p>
      <w:pPr>
        <w:ind w:left="8" w:right="20" w:firstLine="432"/>
        <w:spacing w:after="0" w:line="259" w:lineRule="auto"/>
        <w:rPr>
          <w:sz w:val="20"/>
          <w:szCs w:val="20"/>
          <w:color w:val="auto"/>
        </w:rPr>
      </w:pPr>
      <w:r>
        <w:rPr>
          <w:rFonts w:ascii="Times New Roman" w:cs="Times New Roman" w:eastAsia="Times New Roman" w:hAnsi="Times New Roman"/>
          <w:sz w:val="12"/>
          <w:szCs w:val="12"/>
          <w:color w:val="auto"/>
        </w:rPr>
        <w:t>This letter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confirms the understanding that you and Aterian,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have reached concerning you transitioning from a full-time employee and officer of the Company to a part-time consultant with such consultancy to end no later than three</w:t>
      </w:r>
    </w:p>
    <w:p>
      <w:pPr>
        <w:spacing w:after="0" w:line="1" w:lineRule="exact"/>
        <w:rPr>
          <w:sz w:val="20"/>
          <w:szCs w:val="20"/>
          <w:color w:val="auto"/>
        </w:rPr>
      </w:pPr>
    </w:p>
    <w:p>
      <w:pPr>
        <w:ind w:left="168" w:hanging="168"/>
        <w:spacing w:after="0"/>
        <w:tabs>
          <w:tab w:leader="none" w:pos="16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months after the Employment Termination Date (as defined below).</w:t>
      </w:r>
    </w:p>
    <w:p>
      <w:pPr>
        <w:spacing w:after="0" w:line="135"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Cessation of Employment.</w:t>
      </w:r>
      <w:r>
        <w:rPr>
          <w:rFonts w:ascii="Times New Roman" w:cs="Times New Roman" w:eastAsia="Times New Roman" w:hAnsi="Times New Roman"/>
          <w:sz w:val="12"/>
          <w:szCs w:val="12"/>
          <w:color w:val="auto"/>
        </w:rPr>
        <w:t>You resigned from your employment with the Company on June 25, 2024 (“</w:t>
      </w:r>
      <w:r>
        <w:rPr>
          <w:rFonts w:ascii="Times New Roman" w:cs="Times New Roman" w:eastAsia="Times New Roman" w:hAnsi="Times New Roman"/>
          <w:sz w:val="12"/>
          <w:szCs w:val="12"/>
          <w:u w:val="single" w:color="auto"/>
          <w:color w:val="auto"/>
        </w:rPr>
        <w:t>Employment Termination Date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 w:right="40" w:firstLine="856"/>
        <w:spacing w:after="0" w:line="268" w:lineRule="auto"/>
        <w:tabs>
          <w:tab w:leader="none" w:pos="1125" w:val="left"/>
        </w:tabs>
        <w:numPr>
          <w:ilvl w:val="2"/>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Execution and Effectiveness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For this Agreement to become effective, you must deliver a signed copy of this Agreement to Arturo Rodriguez, the Company’s Chief Executive Officer and Chief Financial Officer (the “</w:t>
      </w:r>
      <w:r>
        <w:rPr>
          <w:rFonts w:ascii="Times New Roman" w:cs="Times New Roman" w:eastAsia="Times New Roman" w:hAnsi="Times New Roman"/>
          <w:sz w:val="12"/>
          <w:szCs w:val="12"/>
          <w:u w:val="single" w:color="auto"/>
          <w:color w:val="auto"/>
        </w:rPr>
        <w:t>CEO</w:t>
      </w:r>
      <w:r>
        <w:rPr>
          <w:rFonts w:ascii="Times New Roman" w:cs="Times New Roman" w:eastAsia="Times New Roman" w:hAnsi="Times New Roman"/>
          <w:sz w:val="12"/>
          <w:szCs w:val="12"/>
          <w:color w:val="auto"/>
        </w:rPr>
        <w:t>”), no later than 5:00 p.m. Eastern Time on June 26, 2024. You may deliver the signed copy to the CEO by overnight delivery or by e-mail. This Agreement shall become effective as of the date you deliver a signed copy to the CEO.</w:t>
      </w:r>
    </w:p>
    <w:p>
      <w:pPr>
        <w:spacing w:after="0" w:line="117" w:lineRule="exact"/>
        <w:rPr>
          <w:rFonts w:ascii="Times New Roman" w:cs="Times New Roman" w:eastAsia="Times New Roman" w:hAnsi="Times New Roman"/>
          <w:sz w:val="12"/>
          <w:szCs w:val="12"/>
          <w:color w:val="auto"/>
        </w:rPr>
      </w:pPr>
    </w:p>
    <w:p>
      <w:pPr>
        <w:jc w:val="both"/>
        <w:ind w:left="8" w:right="80" w:firstLine="856"/>
        <w:spacing w:after="0" w:line="260" w:lineRule="auto"/>
        <w:tabs>
          <w:tab w:leader="none" w:pos="1129" w:val="left"/>
        </w:tabs>
        <w:numPr>
          <w:ilvl w:val="2"/>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Termination as Employee, Officer, Member of the Board, and all Other </w:t>
      </w:r>
      <w:r>
        <w:rPr>
          <w:rFonts w:ascii="Times New Roman" w:cs="Times New Roman" w:eastAsia="Times New Roman" w:hAnsi="Times New Roman"/>
          <w:sz w:val="12"/>
          <w:szCs w:val="12"/>
          <w:u w:val="single" w:color="auto"/>
          <w:color w:val="auto"/>
        </w:rPr>
        <w:t>Positions of Directors</w:t>
      </w:r>
      <w:r>
        <w:rPr>
          <w:rFonts w:ascii="Times New Roman" w:cs="Times New Roman" w:eastAsia="Times New Roman" w:hAnsi="Times New Roman"/>
          <w:sz w:val="12"/>
          <w:szCs w:val="12"/>
          <w:color w:val="auto"/>
        </w:rPr>
        <w:t>. By signing this Agreement, you acknowledge and agree that you ceased to be, and resigned as, an officer, director, or any other position that you held with the Company and its affiliates as of the Employment Termination Date. You have informed the Company that your resignation from the Board and as an employee of the Company is not due to any disagreement with the Company on any matter relating to the Company’s operations, policies or practices. Notwithstanding the foregoing, you agree to promptly sign and deliver any documentation reasonably requested by the Company to evidence or effectuate such resignations.</w:t>
      </w:r>
    </w:p>
    <w:p>
      <w:pPr>
        <w:spacing w:after="0" w:line="122" w:lineRule="exact"/>
        <w:rPr>
          <w:rFonts w:ascii="Times New Roman" w:cs="Times New Roman" w:eastAsia="Times New Roman" w:hAnsi="Times New Roman"/>
          <w:sz w:val="12"/>
          <w:szCs w:val="12"/>
          <w:color w:val="auto"/>
        </w:rPr>
      </w:pPr>
    </w:p>
    <w:p>
      <w:pPr>
        <w:ind w:left="8" w:right="100" w:firstLine="856"/>
        <w:spacing w:after="0" w:line="300" w:lineRule="auto"/>
        <w:tabs>
          <w:tab w:leader="none" w:pos="1125" w:val="left"/>
        </w:tabs>
        <w:numPr>
          <w:ilvl w:val="2"/>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Employee Benefits. Your participation in all employee benefit plans, arrangements, perquisites or payments of the Company will cease as of the Employment Termination Date, after which you may be able to continue coverage under group health plans to the extent permitted under the federal Consolidated Omnibus Budget Reconciliation Act of 1985 and similar state laws, other than with respect to any equity awards that you hold, which will continue to vest during your consultancy pursuant to Section 2 below, and you agree that any other equity awards that remain unvested as of the Expiration Date (as defined below), will terminate without compensation therefor.</w:t>
      </w:r>
    </w:p>
    <w:p>
      <w:pPr>
        <w:spacing w:after="0" w:line="101" w:lineRule="exact"/>
        <w:rPr>
          <w:rFonts w:ascii="Times New Roman" w:cs="Times New Roman" w:eastAsia="Times New Roman" w:hAnsi="Times New Roman"/>
          <w:sz w:val="11"/>
          <w:szCs w:val="11"/>
          <w:color w:val="auto"/>
        </w:rPr>
      </w:pPr>
    </w:p>
    <w:p>
      <w:pPr>
        <w:ind w:left="8" w:right="180" w:firstLine="856"/>
        <w:spacing w:after="0" w:line="265" w:lineRule="auto"/>
        <w:tabs>
          <w:tab w:leader="none" w:pos="1132" w:val="left"/>
        </w:tabs>
        <w:numPr>
          <w:ilvl w:val="2"/>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Additional Claim for Compensation or Benefits. You acknowledge and agree that you have received all compensation, including but not limited to base salary, severance, salary continuation, change in control benefits, paid time off and incentive compensation, and employee benefits due to you for services rendered before and as of the Employment Termination Date. You represent that you have no unsubmitted business expenses and, nor for any employment benefits, with respect to the period of your employment with the Company or any of its affiliates on, before, or after the Employment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231140</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-1579880</wp:posOffset>
            </wp:positionV>
            <wp:extent cx="90995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909955" cy="571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-1397000</wp:posOffset>
            </wp:positionV>
            <wp:extent cx="94170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941705" cy="571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-1031240</wp:posOffset>
            </wp:positionV>
            <wp:extent cx="22415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241550" cy="571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-574040</wp:posOffset>
            </wp:positionV>
            <wp:extent cx="65786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57860" cy="571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-208280</wp:posOffset>
            </wp:positionV>
            <wp:extent cx="164147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641475" cy="5715"/>
                    </a:xfrm>
                    <a:prstGeom prst="rect">
                      <a:avLst/>
                    </a:prstGeom>
                    <a:noFill/>
                  </pic:spPr>
                </pic:pic>
              </a:graphicData>
            </a:graphic>
          </wp:anchor>
        </w:drawing>
      </w:r>
    </w:p>
    <w:p>
      <w:pPr>
        <w:sectPr>
          <w:pgSz w:w="11900" w:h="16838" w:orient="portrait"/>
          <w:cols w:equalWidth="0" w:num="1">
            <w:col w:w="11248"/>
          </w:cols>
          <w:pgMar w:left="352" w:top="125" w:right="299" w:bottom="1440" w:gutter="0" w:footer="0" w:header="0"/>
          <w:type w:val="continuous"/>
        </w:sectPr>
      </w:pPr>
    </w:p>
    <w:bookmarkStart w:id="62" w:name="page63"/>
    <w:bookmarkEnd w:id="62"/>
    <w:p>
      <w:pPr>
        <w:ind w:right="20" w:firstLine="424"/>
        <w:spacing w:after="0" w:line="286" w:lineRule="auto"/>
        <w:tabs>
          <w:tab w:leader="none" w:pos="642"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Post-Termination Consulting Services. </w:t>
      </w:r>
      <w:r>
        <w:rPr>
          <w:rFonts w:ascii="Times New Roman" w:cs="Times New Roman" w:eastAsia="Times New Roman" w:hAnsi="Times New Roman"/>
          <w:sz w:val="12"/>
          <w:szCs w:val="12"/>
          <w:color w:val="auto"/>
        </w:rPr>
        <w:t>In consideration for your execution of this Agreement, the Company is entering into the consulting arrangement described below effective as of the Employment Termination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you acknowledge and agree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-124460</wp:posOffset>
            </wp:positionV>
            <wp:extent cx="130492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304925" cy="5715"/>
                    </a:xfrm>
                    <a:prstGeom prst="rect">
                      <a:avLst/>
                    </a:prstGeom>
                    <a:noFill/>
                  </pic:spPr>
                </pic:pic>
              </a:graphicData>
            </a:graphic>
          </wp:anchor>
        </w:drawing>
      </w:r>
    </w:p>
    <w:p>
      <w:pPr>
        <w:spacing w:after="0" w:line="87" w:lineRule="exact"/>
        <w:rPr>
          <w:sz w:val="20"/>
          <w:szCs w:val="20"/>
          <w:color w:val="auto"/>
        </w:rPr>
      </w:pPr>
    </w:p>
    <w:p>
      <w:pPr>
        <w:ind w:right="140" w:firstLine="816"/>
        <w:spacing w:after="0" w:line="265" w:lineRule="auto"/>
        <w:rPr>
          <w:sz w:val="20"/>
          <w:szCs w:val="20"/>
          <w:color w:val="auto"/>
        </w:rPr>
      </w:pPr>
      <w:r>
        <w:rPr>
          <w:rFonts w:ascii="Times New Roman" w:cs="Times New Roman" w:eastAsia="Times New Roman" w:hAnsi="Times New Roman"/>
          <w:sz w:val="12"/>
          <w:szCs w:val="12"/>
          <w:color w:val="auto"/>
        </w:rPr>
        <w:t>(a) You will provide to the Company and its affiliates consulting services after your Employment Termination Date with respect to such projects as requested by the CEO, in his sole discretion (such services, the “</w:t>
      </w:r>
      <w:r>
        <w:rPr>
          <w:rFonts w:ascii="Times New Roman" w:cs="Times New Roman" w:eastAsia="Times New Roman" w:hAnsi="Times New Roman"/>
          <w:sz w:val="12"/>
          <w:szCs w:val="12"/>
          <w:u w:val="single" w:color="auto"/>
          <w:color w:val="auto"/>
        </w:rPr>
        <w:t>Consulting Services</w:t>
      </w:r>
      <w:r>
        <w:rPr>
          <w:rFonts w:ascii="Times New Roman" w:cs="Times New Roman" w:eastAsia="Times New Roman" w:hAnsi="Times New Roman"/>
          <w:sz w:val="12"/>
          <w:szCs w:val="12"/>
          <w:color w:val="auto"/>
        </w:rPr>
        <w:t>”), consistent with your prior role with the Company (but including, such services as may be necessary to transition your prior duties and responsibilities) and you shall not perform any services for the Company that were not approved by the CEO.</w:t>
      </w:r>
    </w:p>
    <w:p>
      <w:pPr>
        <w:spacing w:after="0" w:line="119" w:lineRule="exact"/>
        <w:rPr>
          <w:sz w:val="20"/>
          <w:szCs w:val="20"/>
          <w:color w:val="auto"/>
        </w:rPr>
      </w:pPr>
    </w:p>
    <w:p>
      <w:pPr>
        <w:ind w:right="120" w:firstLine="856"/>
        <w:spacing w:after="0" w:line="265" w:lineRule="auto"/>
        <w:tabs>
          <w:tab w:leader="none" w:pos="1122"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Consulting Services are being provided by you as an independent contractor and not as an employee of the Company or any of its affiliates; you are not and will not be an agent of the Company or its affiliates; and, as of the Employment Termination Date, you have no authority to make any representation, contract, or commitment on behalf of the Company or its affiliates or otherwise bind the Company or any of its affiliates and will not attempt to do so.</w:t>
      </w:r>
    </w:p>
    <w:p>
      <w:pPr>
        <w:spacing w:after="0" w:line="118" w:lineRule="exact"/>
        <w:rPr>
          <w:rFonts w:ascii="Times New Roman" w:cs="Times New Roman" w:eastAsia="Times New Roman" w:hAnsi="Times New Roman"/>
          <w:sz w:val="12"/>
          <w:szCs w:val="12"/>
          <w:color w:val="auto"/>
        </w:rPr>
      </w:pPr>
    </w:p>
    <w:p>
      <w:pPr>
        <w:ind w:right="140" w:firstLine="856"/>
        <w:spacing w:after="0" w:line="260" w:lineRule="auto"/>
        <w:tabs>
          <w:tab w:leader="none" w:pos="1113"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will have exclusive control over the means, manner, and methods by which the Consulting Services are performed, and you will provide all equipment, supplies, and materials at your own expense in performing the Consulting Services; provided, however, the Company shall reimburse you for reasonable third party documented out of pocket costs directly associated with your performance of the Consulting Services to the extent approved by the Chief Executive Officer in advance. Furthermore, you shall be permitted to retain your Company issued laptop computer, subject to you making the laptop available upon the termination of Consulting Services (or earlier if the Company so requests) for customary IT procedures (such as, for example, a remote clean-up).</w:t>
      </w:r>
    </w:p>
    <w:p>
      <w:pPr>
        <w:spacing w:after="0" w:line="122" w:lineRule="exact"/>
        <w:rPr>
          <w:rFonts w:ascii="Times New Roman" w:cs="Times New Roman" w:eastAsia="Times New Roman" w:hAnsi="Times New Roman"/>
          <w:sz w:val="12"/>
          <w:szCs w:val="12"/>
          <w:color w:val="auto"/>
        </w:rPr>
      </w:pPr>
    </w:p>
    <w:p>
      <w:pPr>
        <w:ind w:right="100" w:firstLine="856"/>
        <w:spacing w:after="0" w:line="265" w:lineRule="auto"/>
        <w:tabs>
          <w:tab w:leader="none" w:pos="1119"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agree that you will perform the Consulting Services to the best of your ability in a professional manner consistent with the highest industry standards and the undivided duty of loyalty you owe to the Company and its affiliates; in accordance with the highest standard of care with regard to such Consulting Services; and in accordance with all federal, state and local laws, rules and regulations which relate to or govern the activities contemplated by this Agreement.</w:t>
      </w:r>
    </w:p>
    <w:p>
      <w:pPr>
        <w:spacing w:after="0" w:line="118" w:lineRule="exact"/>
        <w:rPr>
          <w:rFonts w:ascii="Times New Roman" w:cs="Times New Roman" w:eastAsia="Times New Roman" w:hAnsi="Times New Roman"/>
          <w:sz w:val="12"/>
          <w:szCs w:val="12"/>
          <w:color w:val="auto"/>
        </w:rPr>
      </w:pPr>
    </w:p>
    <w:p>
      <w:pPr>
        <w:ind w:firstLine="856"/>
        <w:spacing w:after="0" w:line="255" w:lineRule="auto"/>
        <w:tabs>
          <w:tab w:leader="none" w:pos="1113"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exclusive compensation for the Consulting Services shall consist of the following: (i) a monthly fee of $43,333.33, payable on each of the first three monthly anniversaries of the Employment Termination Date (with such fee prorated for any partial months of service), (ii) if you validly elect to continue your medical benefits under applicable (COBRA) and provide written notice to the Company of such election within 5 business days of making the election, the Company will directly pay your COBRA payments for up to 6 months or, if earlier, the date you become eligible for medical benefits from a subsequent employer (you agree to notify the Company upon you becoming eligible for medical benefits from a subsequent employer), (iii) continued vesting of your outstanding equity compensation (Company restricted stock) for the period of your consultancy (34,636 shares assuming your consultancy continues through September 13, 2024, with 8,360 of those shares vesting on September 11, 2024 and 26,276 of those shares vesting on September 13, 2024), and (iv) subject to your continued performance of Consulting Services through September 24, 2024, your continued compliance with your obligations to the Company, and subject to your second re-execution of this Agreement as described in Section 3(e) below, effective no earlier than December 25, 2024 and no later than</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December 31, 2024, an additional 30,364 unvested shares of the Company’s common stock, representing 8,361 shares that would have vested on December 11, 2024, 6,569 shares that would have vested on December 13, 2024, 6,420 shares that would have vested on March 11, 2025, 8,510 shares that would have vested on March 13, 2025 and 504 shares that would have vested on June 11, 2025 had you continued to provide service to the Company through such dates (subject to adjustment for stock splits and other changes in capitalization as described in Section 9(a) of the Company’s Amended and Restated 2018 Equity Incentive Plan) that are subject to your outstanding restricted stock awards will vest.</w:t>
      </w:r>
    </w:p>
    <w:p>
      <w:pPr>
        <w:spacing w:after="0" w:line="122" w:lineRule="exact"/>
        <w:rPr>
          <w:sz w:val="20"/>
          <w:szCs w:val="20"/>
          <w:color w:val="auto"/>
        </w:rPr>
      </w:pPr>
    </w:p>
    <w:p>
      <w:pPr>
        <w:ind w:right="120" w:firstLine="856"/>
        <w:spacing w:after="0" w:line="260" w:lineRule="auto"/>
        <w:tabs>
          <w:tab w:leader="none" w:pos="109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understand and agree that, for the period you provide Consulting Services, the Company is not classifying you as its employee and, therefore, you will not be entitled to any of the benefits or rights that the Company or its affiliates provides to individuals they classify as employees, including such things as seniority, vacations, paid holidays, bonuses, retirement benefits, health benefits or equity-related benefits. The Company has not offered you any such benefits or rights as an employee with respect to your Consulting Services, and you agree that the consulting fee is based on the understanding that you will not receive any benefits from the Company or its affiliates and that you would be unjustly enriched, were you to receive any such benefits. You therefore agree not to assert any claim against the Company or any of its affiliates or entity for or with respect to such benefits.</w:t>
      </w:r>
    </w:p>
    <w:p>
      <w:pPr>
        <w:spacing w:after="0" w:line="122" w:lineRule="exact"/>
        <w:rPr>
          <w:rFonts w:ascii="Times New Roman" w:cs="Times New Roman" w:eastAsia="Times New Roman" w:hAnsi="Times New Roman"/>
          <w:sz w:val="12"/>
          <w:szCs w:val="12"/>
          <w:color w:val="auto"/>
        </w:rPr>
      </w:pPr>
    </w:p>
    <w:p>
      <w:pPr>
        <w:jc w:val="both"/>
        <w:ind w:right="80" w:firstLine="856"/>
        <w:spacing w:after="0" w:line="260" w:lineRule="auto"/>
        <w:tabs>
          <w:tab w:leader="none" w:pos="1122"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Consulting Services expire or are otherwise terminated is referred to as the “</w:t>
      </w:r>
      <w:r>
        <w:rPr>
          <w:rFonts w:ascii="Times New Roman" w:cs="Times New Roman" w:eastAsia="Times New Roman" w:hAnsi="Times New Roman"/>
          <w:sz w:val="12"/>
          <w:szCs w:val="12"/>
          <w:u w:val="single" w:color="auto"/>
          <w:color w:val="auto"/>
        </w:rPr>
        <w:t>Expiration Date</w:t>
      </w:r>
      <w:r>
        <w:rPr>
          <w:rFonts w:ascii="Times New Roman" w:cs="Times New Roman" w:eastAsia="Times New Roman" w:hAnsi="Times New Roman"/>
          <w:sz w:val="12"/>
          <w:szCs w:val="12"/>
          <w:color w:val="auto"/>
        </w:rPr>
        <w:t>.” This Consulting Services shall automatically terminate on September 24, 2024, unless you and the Company agree in writing prior to such date to extend the Consulting Services under the terms of this Agreement prior to such date in which case the new expiration date shall thereafter be referred to as the Expiration Date. Notwithstanding anything to the contrary contained in this Agreement, you may terminate the Consulting Services at any time upon written notice to the Company, and the Company may terminate the Consulting Services at any time but only for Cause (as defined in your May 14, 2018 offer letter, as amended on September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233045</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431" w:right="299" w:bottom="1440" w:gutter="0" w:footer="0" w:header="0"/>
        </w:sectPr>
      </w:pPr>
    </w:p>
    <w:bookmarkStart w:id="63" w:name="page64"/>
    <w:bookmarkEnd w:id="63"/>
    <w:p>
      <w:pPr>
        <w:ind w:left="648" w:hanging="222"/>
        <w:spacing w:after="0"/>
        <w:tabs>
          <w:tab w:leader="none" w:pos="64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Release of Claims</w:t>
      </w:r>
      <w:r>
        <w:rPr>
          <w:rFonts w:ascii="Times New Roman" w:cs="Times New Roman" w:eastAsia="Times New Roman" w:hAnsi="Times New Roman"/>
          <w:sz w:val="12"/>
          <w:szCs w:val="12"/>
          <w:b w:val="1"/>
          <w:bCs w:val="1"/>
          <w:color w:val="auto"/>
        </w:rPr>
        <w:t>.</w:t>
      </w:r>
    </w:p>
    <w:p>
      <w:pPr>
        <w:spacing w:after="0" w:line="154" w:lineRule="exact"/>
        <w:rPr>
          <w:rFonts w:ascii="Times New Roman" w:cs="Times New Roman" w:eastAsia="Times New Roman" w:hAnsi="Times New Roman"/>
          <w:sz w:val="12"/>
          <w:szCs w:val="12"/>
          <w:color w:val="auto"/>
        </w:rPr>
      </w:pPr>
    </w:p>
    <w:p>
      <w:pPr>
        <w:ind w:left="8" w:right="40" w:firstLine="424"/>
        <w:spacing w:after="0" w:line="255" w:lineRule="auto"/>
        <w:tabs>
          <w:tab w:leader="none" w:pos="691"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Waiver and Release. In consideration of the Company entering into this Agreement and agreeing to the terms of the consultancy described above, you, for yourself personally and your representatives, heirs, executors, administrators, successors and assigns, fully, irrevocably and unconditionally release all known and unknown claims, promises, causes of action, or similar rights of any type that you may have (“</w:t>
      </w:r>
      <w:r>
        <w:rPr>
          <w:rFonts w:ascii="Times New Roman" w:cs="Times New Roman" w:eastAsia="Times New Roman" w:hAnsi="Times New Roman"/>
          <w:sz w:val="12"/>
          <w:szCs w:val="12"/>
          <w:u w:val="single" w:color="auto"/>
          <w:color w:val="auto"/>
        </w:rPr>
        <w:t>Claims</w:t>
      </w:r>
      <w:r>
        <w:rPr>
          <w:rFonts w:ascii="Times New Roman" w:cs="Times New Roman" w:eastAsia="Times New Roman" w:hAnsi="Times New Roman"/>
          <w:sz w:val="12"/>
          <w:szCs w:val="12"/>
          <w:color w:val="auto"/>
        </w:rPr>
        <w:t>”) with respect to the Company, all current and former parents, subsidiaries, related companies, 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 (the “</w:t>
      </w:r>
      <w:r>
        <w:rPr>
          <w:rFonts w:ascii="Times New Roman" w:cs="Times New Roman" w:eastAsia="Times New Roman" w:hAnsi="Times New Roman"/>
          <w:sz w:val="12"/>
          <w:szCs w:val="12"/>
          <w:u w:val="single" w:color="auto"/>
          <w:color w:val="auto"/>
        </w:rPr>
        <w:t>Released Parties</w:t>
      </w:r>
      <w:r>
        <w:rPr>
          <w:rFonts w:ascii="Times New Roman" w:cs="Times New Roman" w:eastAsia="Times New Roman" w:hAnsi="Times New Roman"/>
          <w:sz w:val="12"/>
          <w:szCs w:val="12"/>
          <w:color w:val="auto"/>
        </w:rPr>
        <w:t>”). You understand that Claims released under this Release may arise under many different foreign, domestic, national, state, or local laws (including statutes, regulations, other administrative guidance, and common law doctrines). For example, you are releasing all common law contract, tort, or other claims that you might have, as well as all claims you might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-569595</wp:posOffset>
            </wp:positionV>
            <wp:extent cx="67754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77545" cy="5715"/>
                    </a:xfrm>
                    <a:prstGeom prst="rect">
                      <a:avLst/>
                    </a:prstGeom>
                    <a:noFill/>
                  </pic:spPr>
                </pic:pic>
              </a:graphicData>
            </a:graphic>
          </wp:anchor>
        </w:drawing>
      </w:r>
    </w:p>
    <w:p>
      <w:pPr>
        <w:spacing w:after="0" w:line="106"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have under the Worker Adjustment &amp; Retraining Notification Act (WARN Act), the Family and Medical Leave Act (FMLA), Title VII of the Civil Rights Act of 1964, Sections 1981 and 1983 of the Civil Rights Act of 1866, the Americans With Disabilities Act (ADA), the Employee Retirement Income Security Act of 1974 (ERISA), and any similar domestic or foreign laws, such as the New York State and City Human Rights Laws and the New York Labor Law. However, and notwithstanding the foregoing, you are not releasing claims (i) for unemployment or workers’ compensation benefits, (ii) for vested rights to benefits under ERISA-covered employee benefit plans as applicable on the Employment Termination Date that (other than already-denied benefits),</w:t>
      </w:r>
    </w:p>
    <w:p>
      <w:pPr>
        <w:spacing w:after="0" w:line="122" w:lineRule="exact"/>
        <w:rPr>
          <w:sz w:val="20"/>
          <w:szCs w:val="20"/>
          <w:color w:val="auto"/>
        </w:rPr>
      </w:pPr>
    </w:p>
    <w:p>
      <w:pPr>
        <w:ind w:left="8" w:right="20" w:hanging="8"/>
        <w:spacing w:after="0" w:line="279" w:lineRule="auto"/>
        <w:tabs>
          <w:tab w:leader="none" w:pos="222"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may arise after the Employment Termination Date, (iv) for any right you have to be indemnified by the Company or its affiliates, (v) pursuant to the Age Discrimination in Employment Act (ADEA), (vi) arising pursuant to this Agreement, or (vii) that you cannot release pursuant to applicable law.</w:t>
      </w:r>
    </w:p>
    <w:p>
      <w:pPr>
        <w:spacing w:after="0" w:line="111" w:lineRule="exact"/>
        <w:rPr>
          <w:rFonts w:ascii="Times New Roman" w:cs="Times New Roman" w:eastAsia="Times New Roman" w:hAnsi="Times New Roman"/>
          <w:sz w:val="12"/>
          <w:szCs w:val="12"/>
          <w:color w:val="auto"/>
        </w:rPr>
      </w:pPr>
    </w:p>
    <w:p>
      <w:pPr>
        <w:ind w:left="8" w:right="20" w:firstLine="856"/>
        <w:spacing w:after="0" w:line="265" w:lineRule="auto"/>
        <w:tabs>
          <w:tab w:leader="none" w:pos="1129" w:val="left"/>
        </w:tabs>
        <w:numPr>
          <w:ilvl w:val="2"/>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Waiver of Unknown Claims. You intend to fully waive and release all Claims against the Released Parties, and therefore, you expressly understand and hereby agree that the release is intended to cover, and does cover, not only all known injuries, losses or damages, but any injuries, losses or damages that you do not now know about or anticipate, but that might later develop or be discovered, including the effects and consequences of those injuries, losses or damages.</w:t>
      </w:r>
    </w:p>
    <w:p>
      <w:pPr>
        <w:spacing w:after="0" w:line="118" w:lineRule="exact"/>
        <w:rPr>
          <w:rFonts w:ascii="Times New Roman" w:cs="Times New Roman" w:eastAsia="Times New Roman" w:hAnsi="Times New Roman"/>
          <w:sz w:val="12"/>
          <w:szCs w:val="12"/>
          <w:color w:val="auto"/>
        </w:rPr>
      </w:pPr>
    </w:p>
    <w:p>
      <w:pPr>
        <w:ind w:left="1108" w:hanging="244"/>
        <w:spacing w:after="0"/>
        <w:tabs>
          <w:tab w:leader="none" w:pos="1108" w:val="left"/>
        </w:tabs>
        <w:numPr>
          <w:ilvl w:val="2"/>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Actions. You affirm and warrant that you have not filed, initiated or caused to be filed or initiated any charge, suit, complaint, grievance, action or cause of action against the Company or any of the other</w:t>
      </w:r>
    </w:p>
    <w:p>
      <w:pPr>
        <w:spacing w:after="0" w:line="1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Released Parties.</w:t>
      </w:r>
    </w:p>
    <w:p>
      <w:pPr>
        <w:spacing w:after="0" w:line="139" w:lineRule="exact"/>
        <w:rPr>
          <w:rFonts w:ascii="Times New Roman" w:cs="Times New Roman" w:eastAsia="Times New Roman" w:hAnsi="Times New Roman"/>
          <w:sz w:val="12"/>
          <w:szCs w:val="12"/>
          <w:color w:val="auto"/>
        </w:rPr>
      </w:pPr>
    </w:p>
    <w:p>
      <w:pPr>
        <w:ind w:left="1128" w:hanging="264"/>
        <w:spacing w:after="0"/>
        <w:tabs>
          <w:tab w:leader="none" w:pos="1128" w:val="left"/>
        </w:tabs>
        <w:numPr>
          <w:ilvl w:val="2"/>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Assignment of Claims. You affirm and warrant that you have made no assignment of any right or interest in any Claim that you may have against any of the Released Parties.</w:t>
      </w:r>
    </w:p>
    <w:p>
      <w:pPr>
        <w:spacing w:after="0" w:line="150" w:lineRule="exact"/>
        <w:rPr>
          <w:rFonts w:ascii="Times New Roman" w:cs="Times New Roman" w:eastAsia="Times New Roman" w:hAnsi="Times New Roman"/>
          <w:sz w:val="12"/>
          <w:szCs w:val="12"/>
          <w:color w:val="auto"/>
        </w:rPr>
      </w:pPr>
    </w:p>
    <w:p>
      <w:pPr>
        <w:ind w:left="8" w:right="320" w:firstLine="856"/>
        <w:spacing w:after="0" w:line="265" w:lineRule="auto"/>
        <w:tabs>
          <w:tab w:leader="none" w:pos="1125" w:val="left"/>
        </w:tabs>
        <w:numPr>
          <w:ilvl w:val="2"/>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Second Re-Execution Following Expiration Date. Provided that you render Consulting Services through September 24, 2024, you agree to execute this Agreement a second time after the termination of the Consulting Services but no earlier than December 25, 2024 and no later than December 31, 2024, pursuant to which Claims waived pursuant to Section 3(a) will also include any Claims through the date of re-execution and, notwithstanding clause (vi) of Section 3(a), any Claims with respect to compensation payable for the Consulting Services (other than the acceleration of vesting described in Section 2(e)(ii)).</w:t>
      </w:r>
    </w:p>
    <w:p>
      <w:pPr>
        <w:spacing w:after="0" w:line="114" w:lineRule="exact"/>
        <w:rPr>
          <w:rFonts w:ascii="Times New Roman" w:cs="Times New Roman" w:eastAsia="Times New Roman" w:hAnsi="Times New Roman"/>
          <w:sz w:val="12"/>
          <w:szCs w:val="12"/>
          <w:color w:val="auto"/>
        </w:rPr>
      </w:pPr>
    </w:p>
    <w:p>
      <w:pPr>
        <w:ind w:left="8" w:right="240" w:firstLine="424"/>
        <w:spacing w:after="0" w:line="262" w:lineRule="auto"/>
        <w:tabs>
          <w:tab w:leader="none" w:pos="64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Taxes. </w:t>
      </w:r>
      <w:r>
        <w:rPr>
          <w:rFonts w:ascii="Times New Roman" w:cs="Times New Roman" w:eastAsia="Times New Roman" w:hAnsi="Times New Roman"/>
          <w:sz w:val="12"/>
          <w:szCs w:val="12"/>
          <w:color w:val="auto"/>
        </w:rPr>
        <w:t>The compensation for the Consulting Service (i.e., the cash compensation paid, and the portion of any equity vesting properly attributable to you providing the Consulting Services) will not be subject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withholding by the Company for the payment of any taxes and the Company will report amounts paid to you for the Consulting Services on a Form 1099-NEC. You shall have full responsibility for applicable taxes for all compensation paid to you pursuant to this Agreement for the Consulting Services. To the extent any equity vesting is properly attributable to your prior employment, such amounts will be reported on your 2024 Form W-2 and you agree to make arrangements satisfactory to the Company to satisfy applicable withholding.</w:t>
      </w:r>
    </w:p>
    <w:p>
      <w:pPr>
        <w:spacing w:after="0" w:line="117"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Proprietary Information</w:t>
      </w:r>
      <w:r>
        <w:rPr>
          <w:rFonts w:ascii="Times New Roman" w:cs="Times New Roman" w:eastAsia="Times New Roman" w:hAnsi="Times New Roman"/>
          <w:sz w:val="12"/>
          <w:szCs w:val="12"/>
          <w:color w:val="auto"/>
        </w:rPr>
        <w:t>. You acknowledge and agree that you remain subject to your obligations under your existing Proprietary Information and Inventions Assignment Agreement, effective as of May 14, 2018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-1649095</wp:posOffset>
            </wp:positionV>
            <wp:extent cx="9296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929640" cy="571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-1283335</wp:posOffset>
            </wp:positionV>
            <wp:extent cx="4254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425450" cy="571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-1009015</wp:posOffset>
            </wp:positionV>
            <wp:extent cx="86931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69315" cy="571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-826135</wp:posOffset>
            </wp:positionV>
            <wp:extent cx="157416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574165" cy="571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-460375</wp:posOffset>
            </wp:positionV>
            <wp:extent cx="25844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58445" cy="571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-3175</wp:posOffset>
            </wp:positionV>
            <wp:extent cx="8763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76300" cy="5715"/>
                    </a:xfrm>
                    <a:prstGeom prst="rect">
                      <a:avLst/>
                    </a:prstGeom>
                    <a:noFill/>
                  </pic:spPr>
                </pic:pic>
              </a:graphicData>
            </a:graphic>
          </wp:anchor>
        </w:drawing>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Employee Confidentiality Agreement</w:t>
      </w:r>
      <w:r>
        <w:rPr>
          <w:rFonts w:ascii="Times New Roman" w:cs="Times New Roman" w:eastAsia="Times New Roman" w:hAnsi="Times New Roman"/>
          <w:sz w:val="12"/>
          <w:szCs w:val="12"/>
          <w:color w:val="auto"/>
        </w:rPr>
        <w:t>”) with</w:t>
      </w:r>
    </w:p>
    <w:p>
      <w:pPr>
        <w:spacing w:after="0" w:line="139"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respect to the Company’s confidential information and intellectual property, as well as the restrictive covenants set forth therein, and that the Term, as specified therein, includes the period during which you are providing the Consulting Services.</w:t>
      </w:r>
    </w:p>
    <w:p>
      <w:pPr>
        <w:spacing w:after="0" w:line="107" w:lineRule="exact"/>
        <w:rPr>
          <w:sz w:val="20"/>
          <w:szCs w:val="20"/>
          <w:color w:val="auto"/>
        </w:rPr>
      </w:pPr>
    </w:p>
    <w:p>
      <w:pPr>
        <w:jc w:val="both"/>
        <w:ind w:left="8" w:right="80" w:firstLine="424"/>
        <w:spacing w:after="0" w:line="262" w:lineRule="auto"/>
        <w:tabs>
          <w:tab w:leader="none" w:pos="65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Non-Disparagement</w:t>
      </w:r>
      <w:r>
        <w:rPr>
          <w:rFonts w:ascii="Times New Roman" w:cs="Times New Roman" w:eastAsia="Times New Roman" w:hAnsi="Times New Roman"/>
          <w:sz w:val="12"/>
          <w:szCs w:val="12"/>
          <w:color w:val="auto"/>
        </w:rPr>
        <w:t>. You, in addition to any other similar obligations to the Company that you have, shall not disparage or defame the Company, its affiliates and their respective affiliates, directors, officers, agents,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partners, shareholders, or employees, either publicly or privately. The Company shall not, in any authorized corporate communication, disparage or defame you. Notwithstanding anything in this Section to the contrary, in no event shall you or the Company be prohibited from providing truthful testimony in connection with a legal proceeding or governmental investigation. In addition, nothing in this Agreement shall prohibit you or the Company from reporting a suspected violation of law to the appropriate governmental agency or authority.</w:t>
      </w:r>
    </w:p>
    <w:p>
      <w:pPr>
        <w:spacing w:after="0" w:line="117" w:lineRule="exact"/>
        <w:rPr>
          <w:rFonts w:ascii="Times New Roman" w:cs="Times New Roman" w:eastAsia="Times New Roman" w:hAnsi="Times New Roman"/>
          <w:sz w:val="12"/>
          <w:szCs w:val="12"/>
          <w:color w:val="auto"/>
        </w:rPr>
      </w:pPr>
    </w:p>
    <w:p>
      <w:pPr>
        <w:ind w:left="8" w:right="160" w:firstLine="424"/>
        <w:spacing w:after="0" w:line="286" w:lineRule="auto"/>
        <w:tabs>
          <w:tab w:leader="none" w:pos="65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Non-Admission. </w:t>
      </w:r>
      <w:r>
        <w:rPr>
          <w:rFonts w:ascii="Times New Roman" w:cs="Times New Roman" w:eastAsia="Times New Roman" w:hAnsi="Times New Roman"/>
          <w:sz w:val="12"/>
          <w:szCs w:val="12"/>
          <w:color w:val="auto"/>
        </w:rPr>
        <w:t>You understand and agree that this Agreement, and the consideration for the Consulting Services set forth in Section 2, does not constitute an admission by the Company of any wrongdoing,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but not limited to, a violation of statute, law, or regulation, or breach of an express or implied contract.</w:t>
      </w:r>
    </w:p>
    <w:p>
      <w:pPr>
        <w:spacing w:after="0" w:line="103" w:lineRule="exact"/>
        <w:rPr>
          <w:rFonts w:ascii="Times New Roman" w:cs="Times New Roman" w:eastAsia="Times New Roman" w:hAnsi="Times New Roman"/>
          <w:sz w:val="12"/>
          <w:szCs w:val="12"/>
          <w:color w:val="auto"/>
        </w:rPr>
      </w:pPr>
    </w:p>
    <w:p>
      <w:pPr>
        <w:ind w:left="8" w:right="380" w:firstLine="424"/>
        <w:spacing w:after="0" w:line="286" w:lineRule="auto"/>
        <w:tabs>
          <w:tab w:leader="none" w:pos="65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Notices and Representations. </w:t>
      </w:r>
      <w:r>
        <w:rPr>
          <w:rFonts w:ascii="Times New Roman" w:cs="Times New Roman" w:eastAsia="Times New Roman" w:hAnsi="Times New Roman"/>
          <w:sz w:val="12"/>
          <w:szCs w:val="12"/>
          <w:color w:val="auto"/>
        </w:rPr>
        <w:t>You represent and agree that you have read this Agreement and you knowingly and voluntarily enter into this Agreement. Furthermore, you have been informed by the Company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understand and agree as follows:</w:t>
      </w:r>
    </w:p>
    <w:p>
      <w:pPr>
        <w:spacing w:after="0" w:line="107" w:lineRule="exact"/>
        <w:rPr>
          <w:rFonts w:ascii="Times New Roman" w:cs="Times New Roman" w:eastAsia="Times New Roman" w:hAnsi="Times New Roman"/>
          <w:sz w:val="12"/>
          <w:szCs w:val="12"/>
          <w:color w:val="auto"/>
        </w:rPr>
      </w:pPr>
    </w:p>
    <w:p>
      <w:pPr>
        <w:ind w:left="1068" w:hanging="252"/>
        <w:spacing w:after="0"/>
        <w:tabs>
          <w:tab w:leader="none" w:pos="1068"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understand the terms of this Agreement, you are signing voluntarily and with the full understanding of its consequences, and you have not been forced or coerced in any way.</w:t>
      </w:r>
    </w:p>
    <w:p>
      <w:pPr>
        <w:spacing w:after="0" w:line="150" w:lineRule="exact"/>
        <w:rPr>
          <w:rFonts w:ascii="Times New Roman" w:cs="Times New Roman" w:eastAsia="Times New Roman" w:hAnsi="Times New Roman"/>
          <w:sz w:val="12"/>
          <w:szCs w:val="12"/>
          <w:color w:val="auto"/>
        </w:rPr>
      </w:pPr>
    </w:p>
    <w:p>
      <w:pPr>
        <w:ind w:left="1128" w:hanging="264"/>
        <w:spacing w:after="0"/>
        <w:tabs>
          <w:tab w:leader="none" w:pos="1128" w:val="left"/>
        </w:tabs>
        <w:numPr>
          <w:ilvl w:val="2"/>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would not have agreed to pay you payments or benefits in connection with this Agreement but for the representations and covenants you made by signing it.</w:t>
      </w:r>
    </w:p>
    <w:p>
      <w:pPr>
        <w:spacing w:after="0" w:line="150" w:lineRule="exact"/>
        <w:rPr>
          <w:rFonts w:ascii="Times New Roman" w:cs="Times New Roman" w:eastAsia="Times New Roman" w:hAnsi="Times New Roman"/>
          <w:sz w:val="12"/>
          <w:szCs w:val="12"/>
          <w:color w:val="auto"/>
        </w:rPr>
      </w:pPr>
    </w:p>
    <w:p>
      <w:pPr>
        <w:ind w:left="8" w:right="120" w:firstLine="856"/>
        <w:spacing w:after="0" w:line="265" w:lineRule="auto"/>
        <w:tabs>
          <w:tab w:leader="none" w:pos="1121" w:val="left"/>
        </w:tabs>
        <w:numPr>
          <w:ilvl w:val="2"/>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have not suffered any job-related wrongs or injuries, such as any type of discrimination and you have no occupational diseases. You have been paid all compensation, benefits, and other amounts that the Company or any of its affiliates owed you. You have submitted a request for reimbursement for all amounts that you are entitled to receive reimbursement from the Company and its affiliates. You understand that the Company in the future may improve employee benefits or pay. You understand that your former job may be refilled.</w:t>
      </w:r>
    </w:p>
    <w:p>
      <w:pPr>
        <w:spacing w:after="0" w:line="118" w:lineRule="exact"/>
        <w:rPr>
          <w:rFonts w:ascii="Times New Roman" w:cs="Times New Roman" w:eastAsia="Times New Roman" w:hAnsi="Times New Roman"/>
          <w:sz w:val="12"/>
          <w:szCs w:val="12"/>
          <w:color w:val="auto"/>
        </w:rPr>
      </w:pPr>
    </w:p>
    <w:p>
      <w:pPr>
        <w:ind w:left="8" w:right="40" w:firstLine="856"/>
        <w:spacing w:after="0" w:line="279" w:lineRule="auto"/>
        <w:tabs>
          <w:tab w:leader="none" w:pos="1132" w:val="left"/>
        </w:tabs>
        <w:numPr>
          <w:ilvl w:val="2"/>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initially you did not think any representation made in this Agreement was true or if initially you felt uncomfortable in making it, you have resolved all your doubts and concerns before signing this Agreement. You have carefully read this Agreement, you fully understand what it means, you are entering into it knowingly and voluntarily, and all your representations in it are true.</w:t>
      </w:r>
    </w:p>
    <w:p>
      <w:pPr>
        <w:spacing w:after="0" w:line="111" w:lineRule="exact"/>
        <w:rPr>
          <w:rFonts w:ascii="Times New Roman" w:cs="Times New Roman" w:eastAsia="Times New Roman" w:hAnsi="Times New Roman"/>
          <w:sz w:val="12"/>
          <w:szCs w:val="12"/>
          <w:color w:val="auto"/>
        </w:rPr>
      </w:pPr>
    </w:p>
    <w:p>
      <w:pPr>
        <w:ind w:left="8" w:right="180" w:firstLine="856"/>
        <w:spacing w:after="0" w:line="265" w:lineRule="auto"/>
        <w:tabs>
          <w:tab w:leader="none" w:pos="1121" w:val="left"/>
        </w:tabs>
        <w:numPr>
          <w:ilvl w:val="2"/>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acknowledge that: (i) you have been advised to consult with an attorney regarding this Agreement, including, without limitation, the release of Claims in Section 3; (ii) you have carefully read and understand all of the provisions the Agreement; and (iii) you are knowingly and voluntarily waiving the Claims described in Section 3 in consideration of the right to receive the compensation for Consulting Services to be provided pursuant to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231140</wp:posOffset>
            </wp:positionV>
            <wp:extent cx="717804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-2219960</wp:posOffset>
            </wp:positionV>
            <wp:extent cx="73215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32155" cy="571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-1762760</wp:posOffset>
            </wp:positionV>
            <wp:extent cx="57975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79755" cy="571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-1488440</wp:posOffset>
            </wp:positionV>
            <wp:extent cx="99695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996950" cy="5715"/>
                    </a:xfrm>
                    <a:prstGeom prst="rect">
                      <a:avLst/>
                    </a:prstGeom>
                    <a:noFill/>
                  </pic:spPr>
                </pic:pic>
              </a:graphicData>
            </a:graphic>
          </wp:anchor>
        </w:drawing>
      </w:r>
    </w:p>
    <w:p>
      <w:pPr>
        <w:sectPr>
          <w:pgSz w:w="11900" w:h="16838" w:orient="portrait"/>
          <w:cols w:equalWidth="0" w:num="1">
            <w:col w:w="11248"/>
          </w:cols>
          <w:pgMar w:left="352" w:top="431" w:right="299" w:bottom="1440" w:gutter="0" w:footer="0" w:header="0"/>
        </w:sectPr>
      </w:pPr>
    </w:p>
    <w:bookmarkStart w:id="64" w:name="page65"/>
    <w:bookmarkEnd w:id="64"/>
    <w:p>
      <w:pPr>
        <w:ind w:right="140" w:firstLine="424"/>
        <w:spacing w:after="0" w:line="262" w:lineRule="auto"/>
        <w:tabs>
          <w:tab w:leader="none" w:pos="642"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Entire Agreement. </w:t>
      </w:r>
      <w:r>
        <w:rPr>
          <w:rFonts w:ascii="Times New Roman" w:cs="Times New Roman" w:eastAsia="Times New Roman" w:hAnsi="Times New Roman"/>
          <w:sz w:val="12"/>
          <w:szCs w:val="12"/>
          <w:color w:val="auto"/>
        </w:rPr>
        <w:t>This Agreement sets forth the entire agreement between you and the Company relating to the subject matter and supersedes any and all prior agreements, representations, or understandings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parties with respect to the subject matter hereof to the extent any such agreement, representation, or understanding would result in any liability or obligation of the Company or any of its affiliates, except that all of your obligations under the Employee Confidentiality Agreement shall also continue to apply. You acknowledge that you have not relied on any representations, promises or agreements of any kind in connection with your decision to accept this Agreement. This Agreement may only be modified in a writing signed by both you and the Company. No waiver of any provision of this Agreement shall be binding unless in writing and signed by the waiving party.</w:t>
      </w:r>
    </w:p>
    <w:p>
      <w:pPr>
        <w:spacing w:after="0" w:line="117" w:lineRule="exact"/>
        <w:rPr>
          <w:rFonts w:ascii="Times New Roman" w:cs="Times New Roman" w:eastAsia="Times New Roman" w:hAnsi="Times New Roman"/>
          <w:sz w:val="12"/>
          <w:szCs w:val="12"/>
          <w:color w:val="auto"/>
        </w:rPr>
      </w:pPr>
    </w:p>
    <w:p>
      <w:pPr>
        <w:ind w:right="20" w:firstLine="424"/>
        <w:spacing w:after="0" w:line="268" w:lineRule="auto"/>
        <w:tabs>
          <w:tab w:leader="none" w:pos="702"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Counterparts. </w:t>
      </w:r>
      <w:r>
        <w:rPr>
          <w:rFonts w:ascii="Times New Roman" w:cs="Times New Roman" w:eastAsia="Times New Roman" w:hAnsi="Times New Roman"/>
          <w:sz w:val="12"/>
          <w:szCs w:val="12"/>
          <w:color w:val="auto"/>
        </w:rPr>
        <w:t>This Agreement may be executed in multiple counterparts, each of which shall be deemed an original, and all of which shall constitute one and the same instrument. The exchange of copies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and signature pages by facsimile transmission, by electronic mail in portable document format (“pdf”),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w:t>
      </w:r>
    </w:p>
    <w:p>
      <w:pPr>
        <w:spacing w:after="0" w:line="113" w:lineRule="exact"/>
        <w:rPr>
          <w:rFonts w:ascii="Times New Roman" w:cs="Times New Roman" w:eastAsia="Times New Roman" w:hAnsi="Times New Roman"/>
          <w:sz w:val="12"/>
          <w:szCs w:val="12"/>
          <w:color w:val="auto"/>
        </w:rPr>
      </w:pPr>
    </w:p>
    <w:p>
      <w:pPr>
        <w:ind w:right="40" w:firstLine="424"/>
        <w:spacing w:after="0" w:line="268" w:lineRule="auto"/>
        <w:tabs>
          <w:tab w:leader="none" w:pos="697"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Severability. </w:t>
      </w:r>
      <w:r>
        <w:rPr>
          <w:rFonts w:ascii="Times New Roman" w:cs="Times New Roman" w:eastAsia="Times New Roman" w:hAnsi="Times New Roman"/>
          <w:sz w:val="12"/>
          <w:szCs w:val="12"/>
          <w:color w:val="auto"/>
        </w:rPr>
        <w:t>If any of the provisions, or portions thereof, of this Agreement are held to be unenforceable or invalid by any court of competent jurisdiction, the validity and enforceability of the remaining provisions,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portions thereof, shall not be affected.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13" w:lineRule="exact"/>
        <w:rPr>
          <w:rFonts w:ascii="Times New Roman" w:cs="Times New Roman" w:eastAsia="Times New Roman" w:hAnsi="Times New Roman"/>
          <w:sz w:val="12"/>
          <w:szCs w:val="12"/>
          <w:color w:val="auto"/>
        </w:rPr>
      </w:pPr>
    </w:p>
    <w:p>
      <w:pPr>
        <w:ind w:right="220" w:firstLine="424"/>
        <w:spacing w:after="0" w:line="268" w:lineRule="auto"/>
        <w:tabs>
          <w:tab w:leader="none" w:pos="702"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No Assignment; Successors. </w:t>
      </w:r>
      <w:r>
        <w:rPr>
          <w:rFonts w:ascii="Times New Roman" w:cs="Times New Roman" w:eastAsia="Times New Roman" w:hAnsi="Times New Roman"/>
          <w:sz w:val="12"/>
          <w:szCs w:val="12"/>
          <w:color w:val="auto"/>
        </w:rPr>
        <w:t>The Company may assign this Agreement to any successor to all or part of its assets or business without your consent. Except as specifically provided in this Agreement, no party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assign this Agreement without the prior written consent of the other party. Subject to the foregoing, this Agreement shall be binding upon and inure to the benefit of each party’s successors, permitted assignees, heirs, executors, administrators, and legal representatives.</w:t>
      </w:r>
    </w:p>
    <w:p>
      <w:pPr>
        <w:spacing w:after="0" w:line="113" w:lineRule="exact"/>
        <w:rPr>
          <w:rFonts w:ascii="Times New Roman" w:cs="Times New Roman" w:eastAsia="Times New Roman" w:hAnsi="Times New Roman"/>
          <w:sz w:val="12"/>
          <w:szCs w:val="12"/>
          <w:color w:val="auto"/>
        </w:rPr>
      </w:pPr>
    </w:p>
    <w:p>
      <w:pPr>
        <w:ind w:left="700" w:hanging="276"/>
        <w:spacing w:after="0"/>
        <w:tabs>
          <w:tab w:leader="none" w:pos="70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Further Assurances. </w:t>
      </w:r>
      <w:r>
        <w:rPr>
          <w:rFonts w:ascii="Times New Roman" w:cs="Times New Roman" w:eastAsia="Times New Roman" w:hAnsi="Times New Roman"/>
          <w:sz w:val="12"/>
          <w:szCs w:val="12"/>
          <w:color w:val="auto"/>
        </w:rPr>
        <w:t>The parties agree to execute such further documents and instruments and to take such further actions as may be reasonably necessary to carry out the purposes and intent of this Agreement.</w:t>
      </w:r>
    </w:p>
    <w:p>
      <w:pPr>
        <w:spacing w:after="0" w:line="150" w:lineRule="exact"/>
        <w:rPr>
          <w:rFonts w:ascii="Times New Roman" w:cs="Times New Roman" w:eastAsia="Times New Roman" w:hAnsi="Times New Roman"/>
          <w:sz w:val="12"/>
          <w:szCs w:val="12"/>
          <w:color w:val="auto"/>
        </w:rPr>
      </w:pPr>
    </w:p>
    <w:p>
      <w:pPr>
        <w:ind w:left="700" w:hanging="276"/>
        <w:spacing w:after="0"/>
        <w:tabs>
          <w:tab w:leader="none" w:pos="70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Headings. </w:t>
      </w:r>
      <w:r>
        <w:rPr>
          <w:rFonts w:ascii="Times New Roman" w:cs="Times New Roman" w:eastAsia="Times New Roman" w:hAnsi="Times New Roman"/>
          <w:sz w:val="12"/>
          <w:szCs w:val="12"/>
          <w:color w:val="auto"/>
        </w:rPr>
        <w:t>The headings in this Agreement are solely for the convenience of reference and shall not affect its meaning or interpretation.</w:t>
      </w:r>
    </w:p>
    <w:p>
      <w:pPr>
        <w:spacing w:after="0" w:line="150" w:lineRule="exact"/>
        <w:rPr>
          <w:rFonts w:ascii="Times New Roman" w:cs="Times New Roman" w:eastAsia="Times New Roman" w:hAnsi="Times New Roman"/>
          <w:sz w:val="12"/>
          <w:szCs w:val="12"/>
          <w:color w:val="auto"/>
        </w:rPr>
      </w:pPr>
    </w:p>
    <w:p>
      <w:pPr>
        <w:jc w:val="both"/>
        <w:ind w:firstLine="424"/>
        <w:spacing w:after="0" w:line="268" w:lineRule="auto"/>
        <w:tabs>
          <w:tab w:leader="none" w:pos="702"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Governing Law/Interpretation; Venue. </w:t>
      </w:r>
      <w:r>
        <w:rPr>
          <w:rFonts w:ascii="Times New Roman" w:cs="Times New Roman" w:eastAsia="Times New Roman" w:hAnsi="Times New Roman"/>
          <w:sz w:val="12"/>
          <w:szCs w:val="12"/>
          <w:color w:val="auto"/>
        </w:rPr>
        <w:t>This Agreement shall be deemed to have been made within the State of New York, and, to the extent federal law does not apply, shall be interpreted and construed and enforced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accordance with the internal laws (and not the conflicts of law rules) of such State and before the state or federal courts of competent jurisdiction in such State. The parties expressly consent to personal jurisdiction and venue in the state and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-2129155</wp:posOffset>
            </wp:positionV>
            <wp:extent cx="65913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5913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-1671955</wp:posOffset>
            </wp:positionV>
            <wp:extent cx="51625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16255" cy="571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-1306195</wp:posOffset>
            </wp:positionV>
            <wp:extent cx="46545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-940435</wp:posOffset>
            </wp:positionV>
            <wp:extent cx="96075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960755"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-574675</wp:posOffset>
            </wp:positionV>
            <wp:extent cx="72136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136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-391795</wp:posOffset>
            </wp:positionV>
            <wp:extent cx="3810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-208915</wp:posOffset>
            </wp:positionV>
            <wp:extent cx="131572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courts for New York County, New York, for any lawsuit filed there against one party against the other arising from or related to this Agreement.</w:t>
      </w:r>
    </w:p>
    <w:p>
      <w:pPr>
        <w:spacing w:after="0" w:line="146" w:lineRule="exact"/>
        <w:rPr>
          <w:sz w:val="20"/>
          <w:szCs w:val="20"/>
          <w:color w:val="auto"/>
        </w:rPr>
      </w:pPr>
    </w:p>
    <w:p>
      <w:pPr>
        <w:ind w:left="700" w:hanging="276"/>
        <w:spacing w:after="0"/>
        <w:tabs>
          <w:tab w:leader="none" w:pos="70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Survivability.</w:t>
      </w:r>
      <w:r>
        <w:rPr>
          <w:rFonts w:ascii="Times New Roman" w:cs="Times New Roman" w:eastAsia="Times New Roman" w:hAnsi="Times New Roman"/>
          <w:sz w:val="12"/>
          <w:szCs w:val="12"/>
          <w:color w:val="auto"/>
        </w:rPr>
        <w:t>The provisions of Sections 3 through 16 shall survive the 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253365</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-3175</wp:posOffset>
            </wp:positionV>
            <wp:extent cx="49911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499110" cy="5715"/>
                    </a:xfrm>
                    <a:prstGeom prst="rect">
                      <a:avLst/>
                    </a:prstGeom>
                    <a:noFill/>
                  </pic:spPr>
                </pic:pic>
              </a:graphicData>
            </a:graphic>
          </wp:anchor>
        </w:drawing>
      </w:r>
    </w:p>
    <w:p>
      <w:pPr>
        <w:sectPr>
          <w:pgSz w:w="11900" w:h="16838" w:orient="portrait"/>
          <w:cols w:equalWidth="0" w:num="1">
            <w:col w:w="11160"/>
          </w:cols>
          <w:pgMar w:left="360" w:top="431" w:right="379" w:bottom="1440" w:gutter="0" w:footer="0" w:header="0"/>
        </w:sectPr>
      </w:pPr>
    </w:p>
    <w:bookmarkStart w:id="65" w:name="page66"/>
    <w:bookmarkEnd w:id="65"/>
    <w:p>
      <w:pPr>
        <w:ind w:left="220"/>
        <w:spacing w:after="0"/>
        <w:rPr>
          <w:sz w:val="20"/>
          <w:szCs w:val="20"/>
          <w:color w:val="auto"/>
        </w:rPr>
      </w:pPr>
      <w:r>
        <w:rPr>
          <w:rFonts w:ascii="Times New Roman" w:cs="Times New Roman" w:eastAsia="Times New Roman" w:hAnsi="Times New Roman"/>
          <w:sz w:val="12"/>
          <w:szCs w:val="12"/>
          <w:color w:val="auto"/>
        </w:rPr>
        <w:t>Sincerely, Aterian,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102235</wp:posOffset>
            </wp:positionV>
            <wp:extent cx="61150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11505" cy="137160"/>
                    </a:xfrm>
                    <a:prstGeom prst="rect">
                      <a:avLst/>
                    </a:prstGeom>
                    <a:noFill/>
                  </pic:spPr>
                </pic:pic>
              </a:graphicData>
            </a:graphic>
          </wp:anchor>
        </w:drawing>
      </w: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Arturo Rodriguez</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Its: Chief Executive Officer and Chief Financial Officer</w:t>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Your signature below acknowledges that you knowingly and voluntarily agree to all of the terms and conditions contained in this Agreement.</w:t>
      </w: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FIRST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196215</wp:posOffset>
            </wp:positionV>
            <wp:extent cx="560070" cy="268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60070" cy="26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Joseph Risico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6/26/2024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-5715</wp:posOffset>
            </wp:positionV>
            <wp:extent cx="65151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51510" cy="571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9946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99465" cy="571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Joseph Risico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-5715</wp:posOffset>
            </wp:positionV>
            <wp:extent cx="6477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47700" cy="5715"/>
                    </a:xfrm>
                    <a:prstGeom prst="rect">
                      <a:avLst/>
                    </a:prstGeom>
                    <a:noFill/>
                  </pic:spPr>
                </pic:pic>
              </a:graphicData>
            </a:graphic>
          </wp:anchor>
        </w:drawing>
      </w:r>
    </w:p>
    <w:sectPr>
      <w:pgSz w:w="11900" w:h="16838" w:orient="portrait"/>
      <w:cols w:equalWidth="0" w:num="1">
        <w:col w:w="10099"/>
      </w:cols>
      <w:pgMar w:left="360" w:top="5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lvl w:ilvl="1">
      <w:lvlJc w:val="left"/>
      <w:lvlText w:val="•"/>
      <w:numFmt w:val="bullet"/>
      <w:start w:val="1"/>
    </w:lvl>
  </w:abstractNum>
  <w:abstractNum w:abstractNumId="7">
    <w:nsid w:val="75A2A8D4"/>
    <w:multiLevelType w:val="hybridMultilevel"/>
    <w:lvl w:ilvl="0">
      <w:lvlJc w:val="left"/>
      <w:lvlText w:val="%1."/>
      <w:numFmt w:val="decimal"/>
      <w:start w:val="2"/>
    </w:lvl>
  </w:abstractNum>
  <w:abstractNum w:abstractNumId="8">
    <w:nsid w:val="8EDBDAB"/>
    <w:multiLevelType w:val="hybridMultilevel"/>
    <w:lvl w:ilvl="0">
      <w:lvlJc w:val="left"/>
      <w:lvlText w:val="%1."/>
      <w:numFmt w:val="decimal"/>
      <w:start w:val="3"/>
    </w:lvl>
  </w:abstractNum>
  <w:abstractNum w:abstractNumId="9">
    <w:nsid w:val="79838CB2"/>
    <w:multiLevelType w:val="hybridMultilevel"/>
    <w:lvl w:ilvl="0">
      <w:lvlJc w:val="left"/>
      <w:lvlText w:val="%1."/>
      <w:numFmt w:val="decimal"/>
      <w:start w:val="7"/>
    </w:lvl>
  </w:abstractNum>
  <w:abstractNum w:abstractNumId="10">
    <w:nsid w:val="4353D0CD"/>
    <w:multiLevelType w:val="hybridMultilevel"/>
    <w:lvl w:ilvl="0">
      <w:lvlJc w:val="left"/>
      <w:lvlText w:val="%1."/>
      <w:numFmt w:val="decimal"/>
      <w:start w:val="8"/>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lvl w:ilvl="1">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lvl w:ilvl="1">
      <w:lvlJc w:val="left"/>
      <w:lvlText w:val="%2"/>
      <w:numFmt w:val="decimal"/>
      <w:start w:val="104"/>
    </w:lvl>
  </w:abstractNum>
  <w:abstractNum w:abstractNumId="21">
    <w:nsid w:val="7C3DBD3D"/>
    <w:multiLevelType w:val="hybridMultilevel"/>
    <w:lvl w:ilvl="0">
      <w:lvlJc w:val="left"/>
      <w:lvlText w:val="**"/>
      <w:numFmt w:val="bullet"/>
      <w:start w:val="1"/>
    </w:lvl>
    <w:lvl w:ilvl="1">
      <w:lvlJc w:val="left"/>
      <w:lvlText w:val="%2"/>
      <w:numFmt w:val="decimal"/>
      <w:start w:val="1"/>
    </w:lvl>
  </w:abstractNum>
  <w:abstractNum w:abstractNumId="22">
    <w:nsid w:val="737B8DDC"/>
    <w:multiLevelType w:val="hybridMultilevel"/>
    <w:lvl w:ilvl="0">
      <w:lvlJc w:val="left"/>
      <w:lvlText w:val="%1."/>
      <w:numFmt w:val="decimal"/>
      <w:start w:val="1"/>
    </w:lvl>
    <w:lvl w:ilvl="1">
      <w:lvlJc w:val="left"/>
      <w:lvlText w:val="%2."/>
      <w:numFmt w:val="lowerLetter"/>
      <w:start w:val="1"/>
    </w:lvl>
  </w:abstractNum>
  <w:abstractNum w:abstractNumId="23">
    <w:nsid w:val="6CEAF087"/>
    <w:multiLevelType w:val="hybridMultilevel"/>
    <w:lvl w:ilvl="0">
      <w:lvlJc w:val="left"/>
      <w:lvlText w:val="%1."/>
      <w:numFmt w:val="decimal"/>
      <w:start w:val="1"/>
    </w:lvl>
    <w:lvl w:ilvl="1">
      <w:lvlJc w:val="left"/>
      <w:lvlText w:val="%2."/>
      <w:numFmt w:val="lowerLetter"/>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X"/>
      <w:numFmt w:val="bullet"/>
      <w:start w:val="1"/>
    </w:lvl>
  </w:abstractNum>
  <w:abstractNum w:abstractNumId="30">
    <w:nsid w:val="440BADFC"/>
    <w:multiLevelType w:val="hybridMultilevel"/>
    <w:lvl w:ilvl="0">
      <w:lvlJc w:val="left"/>
      <w:lvlText w:val="X"/>
      <w:numFmt w:val="bullet"/>
      <w:start w:val="1"/>
    </w:lvl>
  </w:abstractNum>
  <w:abstractNum w:abstractNumId="31">
    <w:nsid w:val="5072367"/>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6"/>
    </w:lvl>
  </w:abstractNum>
  <w:abstractNum w:abstractNumId="35">
    <w:nsid w:val="5C482A97"/>
    <w:multiLevelType w:val="hybridMultilevel"/>
    <w:lvl w:ilvl="0">
      <w:lvlJc w:val="left"/>
      <w:lvlText w:val="%1."/>
      <w:numFmt w:val="decimal"/>
      <w:start w:val="3"/>
    </w:lvl>
    <w:lvl w:ilvl="1">
      <w:lvlJc w:val="left"/>
      <w:lvlText w:val="(%2)"/>
      <w:numFmt w:val="lowerLetter"/>
      <w:start w:val="1"/>
    </w:lvl>
  </w:abstractNum>
  <w:abstractNum w:abstractNumId="36">
    <w:nsid w:val="2463B9EA"/>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2"/>
    </w:lvl>
  </w:abstractNum>
  <w:abstractNum w:abstractNumId="37">
    <w:nsid w:val="5E884AD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abstractNum>
  <w:abstractNum w:abstractNumId="38">
    <w:nsid w:val="51EAD36B"/>
    <w:multiLevelType w:val="hybridMultilevel"/>
    <w:lvl w:ilvl="0">
      <w:lvlJc w:val="left"/>
      <w:lvlText w:val="%1."/>
      <w:numFmt w:val="decimal"/>
      <w:start w:val="9"/>
    </w:lvl>
  </w:abstractNum>
  <w:abstractNum w:abstractNumId="39">
    <w:nsid w:val="2D517796"/>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jpe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61" Type="http://schemas.openxmlformats.org/officeDocument/2006/relationships/hyperlink" Target="http://www.sec.gov/ix?doc=/Archives/edgar/data/1757715/000143774924021429/ater2024062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2024-08-09T16:24:36Z</dcterms:created>
  <dcterms:modified xsi:type="dcterms:W3CDTF">2024-08-09T16:24:36Z</dcterms:modified>
</cp:coreProperties>
</file>