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r>
        <w:rPr>
          <w:rFonts w:ascii="Times New Roman" w:cs="Times New Roman" w:eastAsia="Times New Roman" w:hAnsi="Times New Roman"/>
          <w:sz w:val="18"/>
          <w:szCs w:val="18"/>
          <w:color w:val="auto"/>
        </w:rPr>
        <w:t>​</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ATERIAN,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25"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32" w:right="1440"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On June 18, 2026, Aterian, Inc. (the “Company”) recorded the below communication for use by Laurel Hill Advisory Group, the Company’s proxy solicitor, in connection with the Company’s pending sale of substantially all of the assets of the Company to Trademark Global, LLC (the “Asset Sale”) and the issuance of shares of the Company’s common stock, par value $0.0001 per share (the “Common Stock”), to David Lazar upon conversion of the Company’s Series AA Convertible Non-Redeemable Preferred Stock and Series AAA Convertible Non-Redeemable Preferred Stock (the “Investment Transaction”). The following is a copy of the script of such communication.</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Hello, this is Arturo Rodriguez, Chief Executive Officer of Aterian, reaching out regarding our upcoming Special Meeting of Shareholders on July 10th.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asking our shareholders to vote on our proposed transformative strategic transactions as outlined in our June 9 proxy filed with the SEC.</w:t>
      </w:r>
    </w:p>
    <w:p>
      <w:pPr>
        <w:spacing w:after="0" w:line="225"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We believe these strategic transactions represent an important step forward for Aterian, allowing the company to unlock shareholder value and ultimately drive long-term growth. After careful review, our Board of Directors unanimously recommends that shareholders vote FOR all proposals outlined in the proxy materials.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vote is very important, regardless of the number of shares you own.</w:t>
      </w:r>
    </w:p>
    <w:p>
      <w:pPr>
        <w:spacing w:after="0" w:line="225"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If you have not yet received your proxy materials, need assistance locating them, or would like help casting your vote, please contact our proxy solicitor,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Laurel Hill Advisory Group, at </w:t>
      </w:r>
      <w:r>
        <w:rPr>
          <w:rFonts w:ascii="Times New Roman" w:cs="Times New Roman" w:eastAsia="Times New Roman" w:hAnsi="Times New Roman"/>
          <w:sz w:val="18"/>
          <w:szCs w:val="18"/>
          <w:b w:val="1"/>
          <w:bCs w:val="1"/>
          <w:color w:val="auto"/>
        </w:rPr>
        <w:t>888-742-1305</w:t>
      </w:r>
      <w:r>
        <w:rPr>
          <w:rFonts w:ascii="Times New Roman" w:cs="Times New Roman" w:eastAsia="Times New Roman" w:hAnsi="Times New Roman"/>
          <w:sz w:val="18"/>
          <w:szCs w:val="18"/>
          <w:color w:val="auto"/>
        </w:rPr>
        <w:t>, Monday through Friday, between 9:00 AM and 5:00 PM Eastern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time and for being a valued Aterian shareholder.</w:t>
      </w:r>
    </w:p>
    <w:p>
      <w:pPr>
        <w:spacing w:after="0" w:line="200" w:lineRule="exact"/>
        <w:rPr>
          <w:sz w:val="20"/>
          <w:szCs w:val="20"/>
          <w:color w:val="auto"/>
        </w:rPr>
      </w:pPr>
    </w:p>
    <w:p>
      <w:pPr>
        <w:spacing w:after="0" w:line="24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June 18, 2026 the Company issued a press release regarding the Company’s mailing of proxy materials in connection with the Asset Sale and the Investment Transaction. The following is a copy of the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251460</wp:posOffset>
            </wp:positionV>
            <wp:extent cx="171450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ATERIAN, INC. ANNOUNCES MAILING OF PROXY MATERIALS FOR SPECIAL MEETING OF STOCKHOLDERS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With Materials Officially Mailed, Board Urges Immediate Votes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Proposed</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$18 Million Sale of Marquee Brand Portfolio and $7 Million Strategic Investment</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SUMMIT, NEW JERSEY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18, 2026 </w:t>
      </w:r>
      <w:r>
        <w:rPr>
          <w:rFonts w:ascii="Times New Roman" w:cs="Times New Roman" w:eastAsia="Times New Roman" w:hAnsi="Times New Roman"/>
          <w:sz w:val="18"/>
          <w:szCs w:val="18"/>
          <w:color w:val="auto"/>
        </w:rPr>
        <w:t>– Aterian, Inc. (Nasdaq: ATER) (“Aterian” or the “Company”), a consumer products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mailed proxy materials previously filed with the U.S. Securities and Exchange Commission (“SEC”) associated with the Special Meeting of Stockholders of the Company (the “Special Meeting”) in connection with the previously announced sale of the Company’s marquee brands and an investment of $7.0 million in preferred stock of the Company. The Proxy Statement provides information regarding the board approved plan designed to deliver value to the Company’s stockholders while allowing its respected family of brands the opportunity to grow and thrive under an experienced and reputable e-commerce supplier and distributor.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Stockholders of record as of the close of business on May 29, 2026 will be entitled to vote at the Special Meeting, scheduled for July 10,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Strategic Reorganization: Unlocking and Distributing Value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a broad review of strategic alternatives initiated in late 2025, Aterian’s Board of Directors (the “Board”) has unanimously approved two major, concurrent transactions that together provide an actionable path to monetize the Company's portfolio, deliver value to stockholders, and protect the integrity of its brands:</w:t>
      </w:r>
    </w:p>
    <w:p>
      <w:pPr>
        <w:spacing w:after="0" w:line="172" w:lineRule="exact"/>
        <w:rPr>
          <w:sz w:val="20"/>
          <w:szCs w:val="20"/>
          <w:color w:val="auto"/>
        </w:rPr>
      </w:pPr>
    </w:p>
    <w:p>
      <w:pPr>
        <w:ind w:left="660" w:right="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$18 Million Brand Portfolio Asset Sale: </w:t>
      </w:r>
      <w:r>
        <w:rPr>
          <w:rFonts w:ascii="Times New Roman" w:cs="Times New Roman" w:eastAsia="Times New Roman" w:hAnsi="Times New Roman"/>
          <w:sz w:val="18"/>
          <w:szCs w:val="18"/>
          <w:color w:val="auto"/>
        </w:rPr>
        <w:t>Under the terms of the definitive Asset Purchase Agreement, dated April 27, 2026 (the “Asset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between the Company and Trademark Global, LLC (“Trademark Global”), Trademark Global will acquire substantially all assets of the Company associated with the Company’s marquee e-commerce brand portfolio—including </w:t>
      </w:r>
      <w:r>
        <w:rPr>
          <w:rFonts w:ascii="Times New Roman" w:cs="Times New Roman" w:eastAsia="Times New Roman" w:hAnsi="Times New Roman"/>
          <w:sz w:val="18"/>
          <w:szCs w:val="18"/>
          <w:i w:val="1"/>
          <w:iCs w:val="1"/>
          <w:color w:val="auto"/>
        </w:rPr>
        <w:t>Mueller Living, PurSteam, hOmeLabs, Squatty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Potty, Healing Solutions,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Photo Paper Direct</w:t>
      </w:r>
      <w:r>
        <w:rPr>
          <w:rFonts w:ascii="Times New Roman" w:cs="Times New Roman" w:eastAsia="Times New Roman" w:hAnsi="Times New Roman"/>
          <w:sz w:val="18"/>
          <w:szCs w:val="18"/>
          <w:color w:val="auto"/>
        </w:rPr>
        <w:t>—for base cash consideration of $18.0 million (subject to adjustment as set forth in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w:t>
      </w:r>
    </w:p>
    <w:p>
      <w:pPr>
        <w:spacing w:after="0" w:line="179" w:lineRule="exact"/>
        <w:rPr>
          <w:rFonts w:ascii="Times New Roman" w:cs="Times New Roman" w:eastAsia="Times New Roman" w:hAnsi="Times New Roman"/>
          <w:sz w:val="18"/>
          <w:szCs w:val="18"/>
          <w:color w:val="auto"/>
        </w:rPr>
      </w:pPr>
    </w:p>
    <w:p>
      <w:pPr>
        <w:ind w:left="660" w:right="14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Stockholder Cash Distributions &amp; CVRs: </w:t>
      </w:r>
      <w:r>
        <w:rPr>
          <w:rFonts w:ascii="Times New Roman" w:cs="Times New Roman" w:eastAsia="Times New Roman" w:hAnsi="Times New Roman"/>
          <w:sz w:val="18"/>
          <w:szCs w:val="18"/>
          <w:color w:val="auto"/>
        </w:rPr>
        <w:t>Net proceeds from the sale of assets under the Asset Purchase Agreement are estimated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approximately $10.6 million and $14.2 million (or roughly $0.85 to $1.14 per share). The Company anticipates that it will make the distributions (including in the form of a Contingent Value Right (“CVR”)) from the net proceeds of the Asset Sale to its stockholders in the third quarter of 2026.</w:t>
      </w:r>
    </w:p>
    <w:p>
      <w:pPr>
        <w:spacing w:after="0" w:line="176" w:lineRule="exact"/>
        <w:rPr>
          <w:rFonts w:ascii="Times New Roman" w:cs="Times New Roman" w:eastAsia="Times New Roman" w:hAnsi="Times New Roman"/>
          <w:sz w:val="18"/>
          <w:szCs w:val="18"/>
          <w:color w:val="auto"/>
        </w:rPr>
      </w:pPr>
    </w:p>
    <w:p>
      <w:pPr>
        <w:ind w:left="660" w:right="14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$7.0 Million Strategic Financing: </w:t>
      </w:r>
      <w:r>
        <w:rPr>
          <w:rFonts w:ascii="Times New Roman" w:cs="Times New Roman" w:eastAsia="Times New Roman" w:hAnsi="Times New Roman"/>
          <w:sz w:val="18"/>
          <w:szCs w:val="18"/>
          <w:color w:val="auto"/>
        </w:rPr>
        <w:t>Concurrently with the execution of the Asset Purchase Agreement, Aterian entered into a Securities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strategic investor David E. Lazar for a gross capital injection of $7.0 million via the issuance of shares of the Company’s Series AA Convertible Non-Redeemable Preferred Stock and Series AAA Convertible Non-Redeemable Preferred Stock. Mr. Lazar and his affiliates have waived all rights to the net proceeds of the sale of assets under the Asset Purchase Agreement and the CVR distributions, ensuring that the monetization upside belongs solely to Aterian’s stockholders as of the record date for such distribution, which record date has not yet been determined.</w:t>
      </w:r>
    </w:p>
    <w:p>
      <w:pPr>
        <w:spacing w:after="0" w:line="182"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Realignment: </w:t>
      </w:r>
      <w:r>
        <w:rPr>
          <w:rFonts w:ascii="Times New Roman" w:cs="Times New Roman" w:eastAsia="Times New Roman" w:hAnsi="Times New Roman"/>
          <w:sz w:val="18"/>
          <w:szCs w:val="18"/>
          <w:color w:val="auto"/>
        </w:rPr>
        <w:t>The $7.0 million strategic financing will allow the Company to pursue a strategic transaction involving either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in or acquisition of an operating business or enter businesses with superior market potential. This investment allows the Company to refocus its resources on high-growth industries that offer more scalable returns for its stockholders.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“When we began our strategic alternatives process, our primary objectives were to unlock the latent sum-of-the-parts value within our brand portfolio and squarely deliver that value back to our stockholders,” stated Arturo Rodriguez, Chief Executive Officer of Aterian. “The $18 million asset sale, along with the $7 million strategic financing, will accomplish exactly that, establishing a transparent cash distribution channel and a CVR framework for our existing investors. The Board strongly urges all stockholders to cast a 'FOR' vote on all proposals set forth in the proxy statement for the Company’s upcoming Special Meeting to allow us to finalize this transaction smoothly.”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What Aterian Stockholders Are Voting 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will be asked to consider and vote upon several vital corporate proposals at the Special Meeting, including:</w:t>
      </w:r>
    </w:p>
    <w:p>
      <w:pPr>
        <w:spacing w:after="0" w:line="221" w:lineRule="exact"/>
        <w:rPr>
          <w:sz w:val="20"/>
          <w:szCs w:val="20"/>
          <w:color w:val="auto"/>
        </w:rPr>
      </w:pPr>
    </w:p>
    <w:p>
      <w:pPr>
        <w:ind w:left="660" w:right="80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 The Asset Sale Proposal: </w:t>
      </w:r>
      <w:r>
        <w:rPr>
          <w:rFonts w:ascii="Times New Roman" w:cs="Times New Roman" w:eastAsia="Times New Roman" w:hAnsi="Times New Roman"/>
          <w:sz w:val="18"/>
          <w:szCs w:val="18"/>
          <w:color w:val="auto"/>
        </w:rPr>
        <w:t>To consider and vote upon a proposal to approve the Asset Sale pursuant to the Asset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4" w:lineRule="exact"/>
        <w:rPr>
          <w:rFonts w:ascii="Times New Roman" w:cs="Times New Roman" w:eastAsia="Times New Roman" w:hAnsi="Times New Roman"/>
          <w:sz w:val="18"/>
          <w:szCs w:val="18"/>
          <w:color w:val="auto"/>
        </w:rPr>
      </w:pPr>
    </w:p>
    <w:p>
      <w:pPr>
        <w:jc w:val="both"/>
        <w:ind w:left="660" w:right="160" w:hanging="328"/>
        <w:spacing w:after="0" w:line="317"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Director Election Proposal: </w:t>
      </w:r>
      <w:r>
        <w:rPr>
          <w:rFonts w:ascii="Times New Roman" w:cs="Times New Roman" w:eastAsia="Times New Roman" w:hAnsi="Times New Roman"/>
          <w:sz w:val="17"/>
          <w:szCs w:val="17"/>
          <w:color w:val="auto"/>
        </w:rPr>
        <w:t>To elect Avraham Ben-Tzi as a Class II director and David Natan as a Class III director to serve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the 2027 and 2028 annual meeting of stockholders, respectively, and until their respective successors have been duly elected and qualified.</w:t>
      </w:r>
    </w:p>
    <w:p>
      <w:pPr>
        <w:spacing w:after="0" w:line="131" w:lineRule="exact"/>
        <w:rPr>
          <w:rFonts w:ascii="Times New Roman" w:cs="Times New Roman" w:eastAsia="Times New Roman" w:hAnsi="Times New Roman"/>
          <w:sz w:val="17"/>
          <w:szCs w:val="17"/>
          <w:color w:val="auto"/>
        </w:rPr>
      </w:pPr>
    </w:p>
    <w:p>
      <w:pPr>
        <w:ind w:left="660" w:right="10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Change of Control Proposal: </w:t>
      </w:r>
      <w:r>
        <w:rPr>
          <w:rFonts w:ascii="Times New Roman" w:cs="Times New Roman" w:eastAsia="Times New Roman" w:hAnsi="Times New Roman"/>
          <w:sz w:val="18"/>
          <w:szCs w:val="18"/>
          <w:color w:val="auto"/>
        </w:rPr>
        <w:t>To approve, in accordance with Nasdaq Listing Rule 5635(b), the issuance of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par value $0.0001 per share (the “Common Stock”), upon conversion of the Company’s Series AA Convertible Non-Redeemable Preferred Stock and Series AAA Convertible Non-Redeemable Preferred Stock (the “Preferred Stock”</w:t>
      </w:r>
      <w:r>
        <w:rPr>
          <w:rFonts w:ascii="Times New Roman" w:cs="Times New Roman" w:eastAsia="Times New Roman" w:hAnsi="Times New Roman"/>
          <w:sz w:val="18"/>
          <w:szCs w:val="18"/>
          <w:b w:val="1"/>
          <w:bCs w:val="1"/>
          <w:color w:val="auto"/>
        </w:rPr>
        <w:t>).</w:t>
      </w:r>
    </w:p>
    <w:p>
      <w:pPr>
        <w:spacing w:after="0" w:line="170" w:lineRule="exact"/>
        <w:rPr>
          <w:rFonts w:ascii="Times New Roman" w:cs="Times New Roman" w:eastAsia="Times New Roman" w:hAnsi="Times New Roman"/>
          <w:sz w:val="18"/>
          <w:szCs w:val="18"/>
          <w:color w:val="auto"/>
        </w:rPr>
      </w:pPr>
    </w:p>
    <w:p>
      <w:pPr>
        <w:ind w:left="660" w:right="34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Related Party Proposal: </w:t>
      </w:r>
      <w:r>
        <w:rPr>
          <w:rFonts w:ascii="Times New Roman" w:cs="Times New Roman" w:eastAsia="Times New Roman" w:hAnsi="Times New Roman"/>
          <w:sz w:val="18"/>
          <w:szCs w:val="18"/>
          <w:color w:val="auto"/>
        </w:rPr>
        <w:t>To approve, in accordance with Nasdaq Listing Rule 5635(c), the issuance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upon the conversion of the Preferred Stock to a director of the Company.</w:t>
      </w:r>
    </w:p>
    <w:p>
      <w:pPr>
        <w:spacing w:after="0" w:line="154" w:lineRule="exact"/>
        <w:rPr>
          <w:rFonts w:ascii="Times New Roman" w:cs="Times New Roman" w:eastAsia="Times New Roman" w:hAnsi="Times New Roman"/>
          <w:sz w:val="18"/>
          <w:szCs w:val="18"/>
          <w:color w:val="auto"/>
        </w:rPr>
      </w:pPr>
    </w:p>
    <w:p>
      <w:pPr>
        <w:ind w:left="660" w:right="30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Issuance Proposal: </w:t>
      </w:r>
      <w:r>
        <w:rPr>
          <w:rFonts w:ascii="Times New Roman" w:cs="Times New Roman" w:eastAsia="Times New Roman" w:hAnsi="Times New Roman"/>
          <w:sz w:val="18"/>
          <w:szCs w:val="18"/>
          <w:color w:val="auto"/>
        </w:rPr>
        <w:t>To approve, in accordance with Nasdaq Listing Rule 5635(d), the issuance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conversion of the Preferred Stock.</w:t>
      </w:r>
    </w:p>
    <w:p>
      <w:pPr>
        <w:spacing w:after="0" w:line="154" w:lineRule="exact"/>
        <w:rPr>
          <w:rFonts w:ascii="Times New Roman" w:cs="Times New Roman" w:eastAsia="Times New Roman" w:hAnsi="Times New Roman"/>
          <w:sz w:val="18"/>
          <w:szCs w:val="18"/>
          <w:color w:val="auto"/>
        </w:rPr>
      </w:pPr>
    </w:p>
    <w:p>
      <w:pPr>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Reverse Stock Split Proposal: </w:t>
      </w:r>
      <w:r>
        <w:rPr>
          <w:rFonts w:ascii="Times New Roman" w:cs="Times New Roman" w:eastAsia="Times New Roman" w:hAnsi="Times New Roman"/>
          <w:sz w:val="18"/>
          <w:szCs w:val="18"/>
          <w:color w:val="auto"/>
        </w:rPr>
        <w:t>To approve an amendment to the Company’s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(the “Charter”), in the form set forth on Annex C attached to the Proxy Statement, to effect a reverse stock split (the “Reverse Stock Split”) with respect to the Company’s issued and outstanding shares of Common Stock having an aggregate ratio of 1-for-2 to 1-for-99 (the “Range”), with the ratio at which the Reverse Stock Split would be effected to be a ratio within the Range to be determined at the discretion of the Board and included in a public announcement by the Company before the effectiveness of a Reverse Stock Split.</w:t>
      </w:r>
    </w:p>
    <w:p>
      <w:pPr>
        <w:spacing w:after="0" w:line="179" w:lineRule="exact"/>
        <w:rPr>
          <w:rFonts w:ascii="Times New Roman" w:cs="Times New Roman" w:eastAsia="Times New Roman" w:hAnsi="Times New Roman"/>
          <w:sz w:val="18"/>
          <w:szCs w:val="18"/>
          <w:color w:val="auto"/>
        </w:rPr>
      </w:pPr>
    </w:p>
    <w:p>
      <w:pPr>
        <w:jc w:val="both"/>
        <w:ind w:left="660" w:right="80" w:hanging="328"/>
        <w:spacing w:after="0" w:line="317"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Authorized Stock Increase Proposal: </w:t>
      </w:r>
      <w:r>
        <w:rPr>
          <w:rFonts w:ascii="Times New Roman" w:cs="Times New Roman" w:eastAsia="Times New Roman" w:hAnsi="Times New Roman"/>
          <w:sz w:val="17"/>
          <w:szCs w:val="17"/>
          <w:color w:val="auto"/>
        </w:rPr>
        <w:t>To approve an amendment to the Charter, in the form set forth on Annex D attached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Proxy Statement, to increase the authorized shares of Common Stock from 500,000,000 to up to 1,000,000,000 at the discretion of the Board.</w:t>
      </w:r>
    </w:p>
    <w:p>
      <w:pPr>
        <w:spacing w:after="0" w:line="131" w:lineRule="exact"/>
        <w:rPr>
          <w:rFonts w:ascii="Times New Roman" w:cs="Times New Roman" w:eastAsia="Times New Roman" w:hAnsi="Times New Roman"/>
          <w:sz w:val="17"/>
          <w:szCs w:val="17"/>
          <w:color w:val="auto"/>
        </w:rPr>
      </w:pPr>
    </w:p>
    <w:p>
      <w:pPr>
        <w:ind w:left="660" w:right="2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Adjournment Proposal: </w:t>
      </w:r>
      <w:r>
        <w:rPr>
          <w:rFonts w:ascii="Times New Roman" w:cs="Times New Roman" w:eastAsia="Times New Roman" w:hAnsi="Times New Roman"/>
          <w:sz w:val="18"/>
          <w:szCs w:val="18"/>
          <w:color w:val="auto"/>
        </w:rPr>
        <w:t>To approve any adjournment of the Special Meeting from time to time, if necessary or appropriate,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 additional votes in the event that there are insufficient shares present virtually or represented by proxy voting in favor of the foregoing proposals.</w:t>
      </w:r>
    </w:p>
    <w:p>
      <w:pPr>
        <w:spacing w:after="0" w:line="171"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 xml:space="preserve">The Board unanimously recommends that stockholders secure their participation immediately and vote “FOR” </w:t>
      </w:r>
      <w:r>
        <w:rPr>
          <w:rFonts w:ascii="Times New Roman" w:cs="Times New Roman" w:eastAsia="Times New Roman" w:hAnsi="Times New Roman"/>
          <w:sz w:val="17"/>
          <w:szCs w:val="17"/>
          <w:b w:val="1"/>
          <w:bCs w:val="1"/>
          <w:color w:val="auto"/>
        </w:rPr>
        <w:t>the election of each of the director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nominees named in the Director Election Proposal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each of the following proposals: the Asset Sale Proposal, the Change of Control Proposal, the Related Party Proposal, the Issuance Proposal, the Reverse Stock Split Proposal, the Authorized Stock Increase Proposal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Stockholders can execute their vote seamlessly using any of the following standard methods:</w:t>
      </w: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Vote Online: </w:t>
      </w:r>
      <w:r>
        <w:rPr>
          <w:rFonts w:ascii="Times New Roman" w:cs="Times New Roman" w:eastAsia="Times New Roman" w:hAnsi="Times New Roman"/>
          <w:sz w:val="18"/>
          <w:szCs w:val="18"/>
          <w:color w:val="auto"/>
        </w:rPr>
        <w:t>Visit the secure proxy voting website printed on your proxy card or voting instruction form and enter your control number.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Vote by Phone: </w:t>
      </w:r>
      <w:r>
        <w:rPr>
          <w:rFonts w:ascii="Times New Roman" w:cs="Times New Roman" w:eastAsia="Times New Roman" w:hAnsi="Times New Roman"/>
          <w:sz w:val="18"/>
          <w:szCs w:val="18"/>
          <w:color w:val="auto"/>
        </w:rPr>
        <w:t>Call the toll-free number provided in your proxy notification materials.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Vote by Mail: </w:t>
      </w:r>
      <w:r>
        <w:rPr>
          <w:rFonts w:ascii="Times New Roman" w:cs="Times New Roman" w:eastAsia="Times New Roman" w:hAnsi="Times New Roman"/>
          <w:sz w:val="18"/>
          <w:szCs w:val="18"/>
          <w:color w:val="auto"/>
        </w:rPr>
        <w:t>Sign, date, and return your physical proxy card using the postage-paid return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Questions or Need Assistance Voting?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who require voting guidance, duplicate proxy cards, or have questions regarding the special meeting proposals are urged to reach out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designated proxy solicitation agent immediately: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J. DePinto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Toll-Free: </w:t>
      </w:r>
      <w:r>
        <w:rPr>
          <w:rFonts w:ascii="Times New Roman" w:cs="Times New Roman" w:eastAsia="Times New Roman" w:hAnsi="Times New Roman"/>
          <w:sz w:val="18"/>
          <w:szCs w:val="18"/>
          <w:b w:val="1"/>
          <w:bCs w:val="1"/>
          <w:color w:val="auto"/>
        </w:rPr>
        <w:t>888-742-1305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ATER@laurelhill.com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which was filed with the SEC on March 23, 2026. Information regarding subsequent changes to the holdings of Aterian’s securities by Aterian’s directors and executive officers can be found in filings on Forms 3, 4, and 5, which are available through the SEC’s website at www.sec.gov. Additional information regarding the identity of potential participants, and their direct or indirect interests, by security holdings or otherwise, are set forth in the definitive proxy statement relating to the Asset Sale and the Investment Transaction, which was filed on June 9, 2026, as such proxy statement may be supplemented from time to time. The proxy statement, as well as Aterian’s other public filings with the SEC, may be obtained without charge at the SEC’s website at www.sec.gov and on the investor relations section of our website at www.aterian.io.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Aterian,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Aterian, Inc. (Nasdaq: ATER) is a consumer products company that builds and acquires leading e-commerce brands across multiple categories, including home and kitchen appliances, health and wellness, and air quality devices. The Company sells across the world’s largest online marketplaces, including Amazon, Walmart, and Target as well as its own direct-to-consumer websites. Aterian’s brands include Mueller Living, PurSteam, hOmeLabs, Squatty Potty, Healing Solutions, and Photo Paper Direct. To learn more, visit www.aterian.io.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communication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CVRs.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at all;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shareholders and other business relationships and on its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CVR)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you may obtain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Devin Sullivan, 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Devin.Sullivan@theequitygroup.com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Conor Rodriguez, Associate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Conor.Rodriguez@theequitygroup.com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2026-06-18T07:40:33Z</dcterms:created>
  <dcterms:modified xsi:type="dcterms:W3CDTF">2026-06-18T07:40:33Z</dcterms:modified>
</cp:coreProperties>
</file>