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er20251231_10k.htm"/>
      <w:bookmarkStart w:id="1" w:name="ksater20251231_10k"/>
      <w:bookmarkEnd w:id="0"/>
      <w:bookmarkEnd w:id="1"/>
      <w:r>
        <w:rPr/>
        <w:t xml:space="preserve">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UNITED STATES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(Mark One)</w:t>
      </w:r>
    </w:p>
    <w:tbl>
      <w:tblPr>
        <w:tblW w:w="9190" w:type="dxa"/>
        <w:jc w:val="left"/>
        <w:tblInd w:w="0" w:type="dxa"/>
        <w:tblLayout w:type="fixed"/>
        <w:tblCellMar>
          <w:top w:w="0" w:type="dxa"/>
          <w:left w:w="0" w:type="dxa"/>
          <w:bottom w:w="0" w:type="dxa"/>
          <w:right w:w="0" w:type="dxa"/>
        </w:tblCellMar>
      </w:tblPr>
      <w:tblGrid>
        <w:gridCol w:w="230"/>
        <w:gridCol w:w="8960"/>
      </w:tblGrid>
      <w:tr>
        <w:trPr/>
        <w:tc>
          <w:tcPr>
            <w:tcW w:w="230" w:type="dxa"/>
            <w:tcBorders/>
            <w:vAlign w:val="center"/>
          </w:tcPr>
          <w:p>
            <w:pPr>
              <w:pStyle w:val="TableContents"/>
              <w:bidi w:val="0"/>
              <w:spacing w:before="0" w:after="0"/>
              <w:ind w:left="0" w:right="0" w:hanging="0"/>
              <w:jc w:val="left"/>
              <w:rPr/>
            </w:pPr>
            <w:r>
              <w:rPr/>
              <w:t>☒</w:t>
            </w:r>
          </w:p>
        </w:tc>
        <w:tc>
          <w:tcPr>
            <w:tcW w:w="896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ANNUAL REPORT PURSUANT TO SECTION 13 OR 15(d) OF THE SECURITIES EXCHANGE ACT OF 1934 </w:t>
            </w:r>
          </w:p>
        </w:tc>
      </w:tr>
    </w:tbl>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fiscal year-ended December 31, 2025</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OR</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TRANSITION REPORT PURSUANT TO SECTION 13 OR 15(d) OF THE SECURITIES EXCHANGE ACT OF 1934 FOR THE TRANSITION PERIOD FROM              TO              </w:t>
            </w:r>
          </w:p>
        </w:tc>
      </w:tr>
    </w:tbl>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 File Number 001-38937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 xml:space="preserve">Aterian, Inc.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(Exact name of Registrant as specified in its charter)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2360"/>
        <w:gridCol w:w="1820"/>
      </w:tblGrid>
      <w:tr>
        <w:trPr/>
        <w:tc>
          <w:tcPr>
            <w:tcW w:w="2360"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820"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83-1739858</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1820"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Number)</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350 Springfield Avenue, Suite 200</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Summit, NJ 07901</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(347) 676-1681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28" w:type="dxa"/>
          <w:right w:w="0" w:type="dxa"/>
        </w:tblCellMar>
      </w:tblPr>
      <w:tblGrid>
        <w:gridCol w:w="3170"/>
        <w:gridCol w:w="60"/>
        <w:gridCol w:w="1475"/>
        <w:gridCol w:w="60"/>
        <w:gridCol w:w="3365"/>
      </w:tblGrid>
      <w:tr>
        <w:trPr/>
        <w:tc>
          <w:tcPr>
            <w:tcW w:w="31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Trading Symbol(s)</w:t>
            </w:r>
          </w:p>
        </w:tc>
        <w:tc>
          <w:tcPr>
            <w:tcW w:w="60" w:type="dxa"/>
            <w:tcBorders/>
            <w:tcMar>
              <w:bottom w:w="0" w:type="dxa"/>
            </w:tcMar>
            <w:vAlign w:val="center"/>
          </w:tcPr>
          <w:p>
            <w:pPr>
              <w:pStyle w:val="TableContents"/>
              <w:bidi w:val="0"/>
              <w:spacing w:before="0" w:after="283"/>
              <w:jc w:val="left"/>
              <w:rPr/>
            </w:pPr>
            <w:r>
              <w:rPr/>
              <w:t> </w:t>
            </w:r>
          </w:p>
        </w:tc>
        <w:tc>
          <w:tcPr>
            <w:tcW w:w="33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Name of each exchange on which registered</w:t>
            </w:r>
          </w:p>
        </w:tc>
      </w:tr>
      <w:tr>
        <w:trPr/>
        <w:tc>
          <w:tcPr>
            <w:tcW w:w="317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ATER</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Securities registered pursuant to Section 12(g) of the Act: None.</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a well-known seasoned issuer, as defined in Rule 405 of the Securities Act. Yes ☐ No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not required to file reports pursuant to Section 13 or 15(d) of the Act. Yes ☐ No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955"/>
        <w:gridCol w:w="230"/>
        <w:gridCol w:w="194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aggregate market value of the voting and non-voting common equity held by non-affiliates of the Registrant, based on the closing price of the shares of common stock on the Nasdaq Capital Market on June 30, 2025 (the last trading day of the registrant’s second fiscal quarter of  2025), was approximately $13.4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number of shares of Registrant’s Common Stock outstanding as of March 12, 2026 was 10,823,802.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6"/>
        <w:gridCol w:w="8853"/>
        <w:gridCol w:w="456"/>
      </w:tblGrid>
      <w:tr>
        <w:trPr/>
        <w:tc>
          <w:tcPr>
            <w:tcW w:w="896" w:type="dxa"/>
            <w:tcBorders/>
            <w:vAlign w:val="center"/>
          </w:tcPr>
          <w:p>
            <w:pPr>
              <w:pStyle w:val="TableContents"/>
              <w:bidi w:val="0"/>
              <w:spacing w:before="0" w:after="283"/>
              <w:jc w:val="left"/>
              <w:rPr/>
            </w:pPr>
            <w:r>
              <w:rPr/>
              <w:t> </w:t>
            </w:r>
          </w:p>
        </w:tc>
        <w:tc>
          <w:tcPr>
            <w:tcW w:w="8853" w:type="dxa"/>
            <w:tcBorders/>
            <w:vAlign w:val="center"/>
          </w:tcPr>
          <w:p>
            <w:pPr>
              <w:pStyle w:val="TableContents"/>
              <w:bidi w:val="0"/>
              <w:spacing w:before="0" w:after="283"/>
              <w:jc w:val="left"/>
              <w:rPr/>
            </w:pPr>
            <w:r>
              <w:rPr/>
              <w:t> </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89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w:t>
            </w:r>
          </w:p>
        </w:tc>
        <w:tc>
          <w:tcPr>
            <w:tcW w:w="885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853"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Business</w:t>
              </w:r>
            </w:hyperlink>
          </w:p>
        </w:tc>
        <w:tc>
          <w:tcPr>
            <w:tcW w:w="456" w:type="dxa"/>
            <w:tcBorders/>
            <w:vAlign w:val="center"/>
          </w:tcPr>
          <w:p>
            <w:pPr>
              <w:pStyle w:val="TableContents"/>
              <w:bidi w:val="0"/>
              <w:spacing w:before="0" w:after="0"/>
              <w:ind w:left="0" w:right="0" w:hanging="180"/>
              <w:jc w:val="right"/>
              <w:rPr/>
            </w:pPr>
            <w:hyperlink w:anchor="partI">
              <w:r>
                <w:rPr>
                  <w:rStyle w:val="InternetLink"/>
                  <w:rFonts w:ascii="Times New Roman;Times;serif" w:hAnsi="Times New Roman;Times;serif"/>
                  <w:caps w:val="false"/>
                  <w:smallCaps w:val="false"/>
                  <w:sz w:val="20"/>
                </w:rPr>
                <w:t>2</w:t>
              </w:r>
            </w:hyperlink>
          </w:p>
        </w:tc>
      </w:tr>
      <w:tr>
        <w:trPr/>
        <w:tc>
          <w:tcPr>
            <w:tcW w:w="896" w:type="dxa"/>
            <w:tcBorders/>
            <w:vAlign w:val="center"/>
          </w:tcPr>
          <w:p>
            <w:pPr>
              <w:pStyle w:val="TableContents"/>
              <w:bidi w:val="0"/>
              <w:spacing w:before="0" w:after="283"/>
              <w:jc w:val="left"/>
              <w:rPr/>
            </w:pPr>
            <w:r>
              <w:rPr/>
              <w:t>   </w:t>
            </w:r>
            <w:r>
              <w:rPr>
                <w:rFonts w:ascii="Times New Roman;Times;serif" w:hAnsi="Times New Roman;Times;serif"/>
                <w:sz w:val="20"/>
              </w:rPr>
              <w:t>Item 1A.</w:t>
            </w:r>
          </w:p>
        </w:tc>
        <w:tc>
          <w:tcPr>
            <w:tcW w:w="8853" w:type="dxa"/>
            <w:tcBorders/>
            <w:vAlign w:val="center"/>
          </w:tcPr>
          <w:p>
            <w:pPr>
              <w:pStyle w:val="TableContents"/>
              <w:bidi w:val="0"/>
              <w:spacing w:before="0" w:after="283"/>
              <w:jc w:val="left"/>
              <w:rPr/>
            </w:pPr>
            <w:hyperlink w:anchor="riskfactors">
              <w:r>
                <w:rPr>
                  <w:rStyle w:val="InternetLink"/>
                  <w:rFonts w:ascii="Times New Roman;Times;serif" w:hAnsi="Times New Roman;Times;serif"/>
                  <w:sz w:val="20"/>
                </w:rPr>
                <w:t>Risk Factors</w:t>
              </w:r>
            </w:hyperlink>
          </w:p>
        </w:tc>
        <w:tc>
          <w:tcPr>
            <w:tcW w:w="456" w:type="dxa"/>
            <w:tcBorders/>
            <w:vAlign w:val="center"/>
          </w:tcPr>
          <w:p>
            <w:pPr>
              <w:pStyle w:val="TableContents"/>
              <w:bidi w:val="0"/>
              <w:spacing w:before="0" w:after="283"/>
              <w:ind w:left="0" w:right="0" w:hanging="180"/>
              <w:jc w:val="right"/>
              <w:rPr/>
            </w:pPr>
            <w:hyperlink w:anchor="riskfactors">
              <w:r>
                <w:rPr>
                  <w:rStyle w:val="InternetLink"/>
                  <w:rFonts w:ascii="Times New Roman;Times;serif" w:hAnsi="Times New Roman;Times;serif"/>
                  <w:sz w:val="20"/>
                </w:rPr>
                <w:t>4</w:t>
              </w:r>
            </w:hyperlink>
          </w:p>
        </w:tc>
      </w:tr>
      <w:tr>
        <w:trPr/>
        <w:tc>
          <w:tcPr>
            <w:tcW w:w="896" w:type="dxa"/>
            <w:tcBorders/>
            <w:vAlign w:val="center"/>
          </w:tcPr>
          <w:p>
            <w:pPr>
              <w:pStyle w:val="TableContents"/>
              <w:bidi w:val="0"/>
              <w:spacing w:before="0" w:after="283"/>
              <w:jc w:val="left"/>
              <w:rPr/>
            </w:pPr>
            <w:r>
              <w:rPr/>
              <w:t>   </w:t>
            </w:r>
            <w:r>
              <w:rPr>
                <w:rFonts w:ascii="Times New Roman;Times;serif" w:hAnsi="Times New Roman;Times;serif"/>
                <w:sz w:val="20"/>
              </w:rPr>
              <w:t>Item 1B.</w:t>
            </w:r>
          </w:p>
        </w:tc>
        <w:tc>
          <w:tcPr>
            <w:tcW w:w="8853" w:type="dxa"/>
            <w:tcBorders/>
            <w:vAlign w:val="center"/>
          </w:tcPr>
          <w:p>
            <w:pPr>
              <w:pStyle w:val="TableContents"/>
              <w:bidi w:val="0"/>
              <w:spacing w:before="0" w:after="283"/>
              <w:jc w:val="left"/>
              <w:rPr/>
            </w:pPr>
            <w:hyperlink w:anchor="unresolvedstaffcomments">
              <w:r>
                <w:rPr>
                  <w:rStyle w:val="InternetLink"/>
                  <w:rFonts w:ascii="Times New Roman;Times;serif" w:hAnsi="Times New Roman;Times;serif"/>
                  <w:sz w:val="20"/>
                </w:rPr>
                <w:t>Unresolved Staff Comments</w:t>
              </w:r>
            </w:hyperlink>
          </w:p>
        </w:tc>
        <w:tc>
          <w:tcPr>
            <w:tcW w:w="456" w:type="dxa"/>
            <w:tcBorders/>
            <w:vAlign w:val="center"/>
          </w:tcPr>
          <w:p>
            <w:pPr>
              <w:pStyle w:val="TableContents"/>
              <w:bidi w:val="0"/>
              <w:spacing w:before="0" w:after="283"/>
              <w:ind w:left="0" w:right="0" w:hanging="180"/>
              <w:jc w:val="right"/>
              <w:rPr/>
            </w:pPr>
            <w:hyperlink w:anchor="unresolvedstaffcomments">
              <w:r>
                <w:rPr>
                  <w:rStyle w:val="InternetLink"/>
                  <w:rFonts w:ascii="Times New Roman;Times;serif" w:hAnsi="Times New Roman;Times;serif"/>
                  <w:sz w:val="20"/>
                </w:rPr>
                <w:t>13</w:t>
              </w:r>
            </w:hyperlink>
          </w:p>
        </w:tc>
      </w:tr>
      <w:tr>
        <w:trPr/>
        <w:tc>
          <w:tcPr>
            <w:tcW w:w="896" w:type="dxa"/>
            <w:tcBorders/>
            <w:vAlign w:val="center"/>
          </w:tcPr>
          <w:p>
            <w:pPr>
              <w:pStyle w:val="TableContents"/>
              <w:bidi w:val="0"/>
              <w:spacing w:before="0" w:after="283"/>
              <w:jc w:val="left"/>
              <w:rPr/>
            </w:pPr>
            <w:r>
              <w:rPr/>
              <w:t>   </w:t>
            </w:r>
            <w:r>
              <w:rPr>
                <w:rFonts w:ascii="Times New Roman;Times;serif" w:hAnsi="Times New Roman;Times;serif"/>
                <w:sz w:val="20"/>
              </w:rPr>
              <w:t>Item 1C.</w:t>
            </w:r>
          </w:p>
        </w:tc>
        <w:tc>
          <w:tcPr>
            <w:tcW w:w="8853" w:type="dxa"/>
            <w:tcBorders/>
            <w:vAlign w:val="center"/>
          </w:tcPr>
          <w:p>
            <w:pPr>
              <w:pStyle w:val="TableContents"/>
              <w:bidi w:val="0"/>
              <w:spacing w:before="0" w:after="283"/>
              <w:jc w:val="left"/>
              <w:rPr/>
            </w:pPr>
            <w:hyperlink w:anchor="cybersecurity">
              <w:r>
                <w:rPr>
                  <w:rStyle w:val="InternetLink"/>
                  <w:rFonts w:ascii="Times New Roman;Times;serif" w:hAnsi="Times New Roman;Times;serif"/>
                  <w:sz w:val="20"/>
                </w:rPr>
                <w:t>Cybersecurity</w:t>
              </w:r>
            </w:hyperlink>
          </w:p>
        </w:tc>
        <w:tc>
          <w:tcPr>
            <w:tcW w:w="456" w:type="dxa"/>
            <w:tcBorders/>
            <w:vAlign w:val="center"/>
          </w:tcPr>
          <w:p>
            <w:pPr>
              <w:pStyle w:val="TableContents"/>
              <w:bidi w:val="0"/>
              <w:spacing w:before="0" w:after="283"/>
              <w:jc w:val="right"/>
              <w:rPr/>
            </w:pPr>
            <w:hyperlink w:anchor="cybersecurity">
              <w:r>
                <w:rPr>
                  <w:rStyle w:val="InternetLink"/>
                  <w:rFonts w:ascii="Times New Roman;Times;serif" w:hAnsi="Times New Roman;Times;serif"/>
                  <w:sz w:val="20"/>
                </w:rPr>
                <w:t>13</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853"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caps w:val="false"/>
                  <w:smallCaps w:val="false"/>
                  <w:sz w:val="20"/>
                </w:rPr>
                <w:t>Properties</w:t>
              </w:r>
            </w:hyperlink>
          </w:p>
        </w:tc>
        <w:tc>
          <w:tcPr>
            <w:tcW w:w="456"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13</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853"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caps w:val="false"/>
                  <w:smallCaps w:val="false"/>
                  <w:sz w:val="20"/>
                </w:rPr>
                <w:t>Legal Proceedings</w:t>
              </w:r>
            </w:hyperlink>
          </w:p>
        </w:tc>
        <w:tc>
          <w:tcPr>
            <w:tcW w:w="456"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caps w:val="false"/>
                  <w:smallCaps w:val="false"/>
                  <w:sz w:val="20"/>
                </w:rPr>
                <w:t>13</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853"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caps w:val="false"/>
                  <w:smallCaps w:val="false"/>
                  <w:sz w:val="20"/>
                </w:rPr>
                <w:t>Mine Safety Disclosures</w:t>
              </w:r>
            </w:hyperlink>
          </w:p>
        </w:tc>
        <w:tc>
          <w:tcPr>
            <w:tcW w:w="456"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caps w:val="false"/>
                  <w:smallCaps w:val="false"/>
                  <w:sz w:val="20"/>
                </w:rPr>
                <w:t>13</w:t>
              </w:r>
            </w:hyperlink>
          </w:p>
        </w:tc>
      </w:tr>
      <w:tr>
        <w:trPr/>
        <w:tc>
          <w:tcPr>
            <w:tcW w:w="896" w:type="dxa"/>
            <w:tcBorders/>
            <w:vAlign w:val="center"/>
          </w:tcPr>
          <w:p>
            <w:pPr>
              <w:pStyle w:val="TableContents"/>
              <w:bidi w:val="0"/>
              <w:spacing w:before="0" w:after="283"/>
              <w:jc w:val="left"/>
              <w:rPr/>
            </w:pPr>
            <w:r>
              <w:rPr/>
              <w:t> </w:t>
            </w:r>
          </w:p>
        </w:tc>
        <w:tc>
          <w:tcPr>
            <w:tcW w:w="885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II</w:t>
            </w:r>
          </w:p>
        </w:tc>
        <w:tc>
          <w:tcPr>
            <w:tcW w:w="885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853"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caps w:val="false"/>
                  <w:smallCaps w:val="false"/>
                  <w:sz w:val="20"/>
                </w:rPr>
                <w:t>Market for Registrant’s Common Equity, Related Stockholder Matters and Issuer Purchases of Equity Securities</w:t>
              </w:r>
            </w:hyperlink>
          </w:p>
        </w:tc>
        <w:tc>
          <w:tcPr>
            <w:tcW w:w="456"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caps w:val="false"/>
                  <w:smallCaps w:val="false"/>
                  <w:sz w:val="20"/>
                </w:rPr>
                <w:t>14</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853"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caps w:val="false"/>
                  <w:smallCaps w:val="false"/>
                  <w:sz w:val="20"/>
                </w:rPr>
                <w:t>Reserved</w:t>
              </w:r>
            </w:hyperlink>
          </w:p>
        </w:tc>
        <w:tc>
          <w:tcPr>
            <w:tcW w:w="456"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caps w:val="false"/>
                  <w:smallCaps w:val="false"/>
                  <w:sz w:val="20"/>
                </w:rPr>
                <w:t>14</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7.</w:t>
            </w:r>
          </w:p>
        </w:tc>
        <w:tc>
          <w:tcPr>
            <w:tcW w:w="8853" w:type="dxa"/>
            <w:tcBorders/>
            <w:vAlign w:val="center"/>
          </w:tcPr>
          <w:p>
            <w:pPr>
              <w:pStyle w:val="TableContents"/>
              <w:bidi w:val="0"/>
              <w:spacing w:before="0" w:after="0"/>
              <w:ind w:left="0" w:right="0" w:hanging="0"/>
              <w:jc w:val="left"/>
              <w:rPr/>
            </w:pPr>
            <w:hyperlink w:anchor="item7">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456" w:type="dxa"/>
            <w:tcBorders/>
            <w:vAlign w:val="center"/>
          </w:tcPr>
          <w:p>
            <w:pPr>
              <w:pStyle w:val="TableContents"/>
              <w:bidi w:val="0"/>
              <w:spacing w:before="0" w:after="0"/>
              <w:ind w:left="0" w:right="0" w:hanging="0"/>
              <w:jc w:val="right"/>
              <w:rPr/>
            </w:pPr>
            <w:hyperlink w:anchor="item7">
              <w:r>
                <w:rPr>
                  <w:rStyle w:val="InternetLink"/>
                  <w:rFonts w:ascii="Times New Roman;Times;serif" w:hAnsi="Times New Roman;Times;serif"/>
                  <w:caps w:val="false"/>
                  <w:smallCaps w:val="false"/>
                  <w:sz w:val="20"/>
                </w:rPr>
                <w:t>15</w:t>
              </w:r>
            </w:hyperlink>
          </w:p>
        </w:tc>
      </w:tr>
      <w:tr>
        <w:trPr/>
        <w:tc>
          <w:tcPr>
            <w:tcW w:w="896" w:type="dxa"/>
            <w:tcBorders/>
            <w:vAlign w:val="center"/>
          </w:tcPr>
          <w:p>
            <w:pPr>
              <w:pStyle w:val="TableContents"/>
              <w:bidi w:val="0"/>
              <w:spacing w:before="0" w:after="283"/>
              <w:jc w:val="left"/>
              <w:rPr/>
            </w:pPr>
            <w:r>
              <w:rPr/>
              <w:t>   </w:t>
            </w:r>
            <w:r>
              <w:rPr>
                <w:rFonts w:ascii="Times New Roman;Times;serif" w:hAnsi="Times New Roman;Times;serif"/>
                <w:sz w:val="20"/>
              </w:rPr>
              <w:t>Item 7A.</w:t>
            </w:r>
          </w:p>
        </w:tc>
        <w:tc>
          <w:tcPr>
            <w:tcW w:w="8853" w:type="dxa"/>
            <w:tcBorders/>
            <w:vAlign w:val="center"/>
          </w:tcPr>
          <w:p>
            <w:pPr>
              <w:pStyle w:val="TableContents"/>
              <w:bidi w:val="0"/>
              <w:spacing w:before="0" w:after="283"/>
              <w:jc w:val="left"/>
              <w:rPr/>
            </w:pPr>
            <w:hyperlink w:anchor="qaqmarketrisk">
              <w:r>
                <w:rPr>
                  <w:rStyle w:val="InternetLink"/>
                  <w:rFonts w:ascii="Times New Roman;Times;serif" w:hAnsi="Times New Roman;Times;serif"/>
                  <w:sz w:val="20"/>
                </w:rPr>
                <w:t>Quantitative and Qualitative Disclosures About Market Risk</w:t>
              </w:r>
            </w:hyperlink>
          </w:p>
        </w:tc>
        <w:tc>
          <w:tcPr>
            <w:tcW w:w="456" w:type="dxa"/>
            <w:tcBorders/>
            <w:vAlign w:val="center"/>
          </w:tcPr>
          <w:p>
            <w:pPr>
              <w:pStyle w:val="TableContents"/>
              <w:bidi w:val="0"/>
              <w:spacing w:before="0" w:after="283"/>
              <w:jc w:val="right"/>
              <w:rPr/>
            </w:pPr>
            <w:hyperlink w:anchor="qaqmarketrisk">
              <w:r>
                <w:rPr>
                  <w:rStyle w:val="InternetLink"/>
                  <w:rFonts w:ascii="Times New Roman;Times;serif" w:hAnsi="Times New Roman;Times;serif"/>
                  <w:sz w:val="20"/>
                </w:rPr>
                <w:t>25</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8.</w:t>
            </w:r>
          </w:p>
        </w:tc>
        <w:tc>
          <w:tcPr>
            <w:tcW w:w="8853" w:type="dxa"/>
            <w:tcBorders/>
            <w:vAlign w:val="center"/>
          </w:tcPr>
          <w:p>
            <w:pPr>
              <w:pStyle w:val="TableContents"/>
              <w:bidi w:val="0"/>
              <w:spacing w:before="0" w:after="0"/>
              <w:ind w:left="0" w:right="0" w:hanging="0"/>
              <w:jc w:val="left"/>
              <w:rPr/>
            </w:pPr>
            <w:hyperlink w:anchor="item8">
              <w:r>
                <w:rPr>
                  <w:rStyle w:val="InternetLink"/>
                  <w:rFonts w:ascii="Times New Roman;Times;serif" w:hAnsi="Times New Roman;Times;serif"/>
                  <w:caps w:val="false"/>
                  <w:smallCaps w:val="false"/>
                  <w:sz w:val="20"/>
                </w:rPr>
                <w:t>Financial Statements and Supplementary Data</w:t>
              </w:r>
            </w:hyperlink>
          </w:p>
        </w:tc>
        <w:tc>
          <w:tcPr>
            <w:tcW w:w="456" w:type="dxa"/>
            <w:tcBorders/>
            <w:vAlign w:val="center"/>
          </w:tcPr>
          <w:p>
            <w:pPr>
              <w:pStyle w:val="TableContents"/>
              <w:bidi w:val="0"/>
              <w:spacing w:before="0" w:after="0"/>
              <w:ind w:left="0" w:right="0" w:hanging="0"/>
              <w:jc w:val="right"/>
              <w:rPr/>
            </w:pPr>
            <w:hyperlink w:anchor="item8">
              <w:r>
                <w:rPr>
                  <w:rStyle w:val="InternetLink"/>
                  <w:rFonts w:ascii="Times New Roman;Times;serif" w:hAnsi="Times New Roman;Times;serif"/>
                  <w:caps w:val="false"/>
                  <w:smallCaps w:val="false"/>
                  <w:sz w:val="20"/>
                </w:rPr>
                <w:t>F-1</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w:t>
            </w:r>
          </w:p>
        </w:tc>
        <w:tc>
          <w:tcPr>
            <w:tcW w:w="8853" w:type="dxa"/>
            <w:tcBorders/>
            <w:vAlign w:val="center"/>
          </w:tcPr>
          <w:p>
            <w:pPr>
              <w:pStyle w:val="TableContents"/>
              <w:bidi w:val="0"/>
              <w:spacing w:before="0" w:after="0"/>
              <w:ind w:left="0" w:right="0" w:hanging="0"/>
              <w:jc w:val="left"/>
              <w:rPr/>
            </w:pPr>
            <w:hyperlink w:anchor="item9">
              <w:r>
                <w:rPr>
                  <w:rStyle w:val="InternetLink"/>
                  <w:rFonts w:ascii="Times New Roman;Times;serif" w:hAnsi="Times New Roman;Times;serif"/>
                  <w:caps w:val="false"/>
                  <w:smallCaps w:val="false"/>
                  <w:sz w:val="20"/>
                </w:rPr>
                <w:t>Changes in and Disagreements With Accountants on Accounting and Financial Disclosure</w:t>
              </w:r>
            </w:hyperlink>
          </w:p>
        </w:tc>
        <w:tc>
          <w:tcPr>
            <w:tcW w:w="456" w:type="dxa"/>
            <w:tcBorders/>
            <w:vAlign w:val="center"/>
          </w:tcPr>
          <w:p>
            <w:pPr>
              <w:pStyle w:val="TableContents"/>
              <w:bidi w:val="0"/>
              <w:spacing w:before="0" w:after="0"/>
              <w:ind w:left="0" w:right="0" w:hanging="0"/>
              <w:jc w:val="right"/>
              <w:rPr/>
            </w:pPr>
            <w:hyperlink w:anchor="item9">
              <w:r>
                <w:rPr>
                  <w:rStyle w:val="InternetLink"/>
                  <w:rFonts w:ascii="Times New Roman;Times;serif" w:hAnsi="Times New Roman;Times;serif"/>
                  <w:caps w:val="false"/>
                  <w:smallCaps w:val="false"/>
                  <w:sz w:val="20"/>
                </w:rPr>
                <w:t>F-27</w:t>
              </w:r>
            </w:hyperlink>
          </w:p>
        </w:tc>
      </w:tr>
      <w:tr>
        <w:trPr/>
        <w:tc>
          <w:tcPr>
            <w:tcW w:w="896" w:type="dxa"/>
            <w:tcBorders/>
            <w:vAlign w:val="center"/>
          </w:tcPr>
          <w:p>
            <w:pPr>
              <w:pStyle w:val="TableContents"/>
              <w:bidi w:val="0"/>
              <w:spacing w:before="0" w:after="283"/>
              <w:jc w:val="left"/>
              <w:rPr/>
            </w:pPr>
            <w:r>
              <w:rPr/>
              <w:t>   </w:t>
            </w:r>
            <w:r>
              <w:rPr>
                <w:rFonts w:ascii="Times New Roman;Times;serif" w:hAnsi="Times New Roman;Times;serif"/>
                <w:sz w:val="20"/>
              </w:rPr>
              <w:t>Item 9A.</w:t>
            </w:r>
          </w:p>
        </w:tc>
        <w:tc>
          <w:tcPr>
            <w:tcW w:w="8853" w:type="dxa"/>
            <w:tcBorders/>
            <w:vAlign w:val="center"/>
          </w:tcPr>
          <w:p>
            <w:pPr>
              <w:pStyle w:val="TableContents"/>
              <w:bidi w:val="0"/>
              <w:spacing w:before="0" w:after="283"/>
              <w:jc w:val="left"/>
              <w:rPr/>
            </w:pPr>
            <w:hyperlink w:anchor="controlsandprocedures">
              <w:r>
                <w:rPr>
                  <w:rStyle w:val="InternetLink"/>
                  <w:rFonts w:ascii="Times New Roman;Times;serif" w:hAnsi="Times New Roman;Times;serif"/>
                  <w:sz w:val="20"/>
                </w:rPr>
                <w:t>Controls and Procedures</w:t>
              </w:r>
            </w:hyperlink>
          </w:p>
        </w:tc>
        <w:tc>
          <w:tcPr>
            <w:tcW w:w="456" w:type="dxa"/>
            <w:tcBorders/>
            <w:vAlign w:val="center"/>
          </w:tcPr>
          <w:p>
            <w:pPr>
              <w:pStyle w:val="TableContents"/>
              <w:bidi w:val="0"/>
              <w:spacing w:before="0" w:after="283"/>
              <w:jc w:val="right"/>
              <w:rPr/>
            </w:pPr>
            <w:hyperlink w:anchor="controlsandprocedures">
              <w:r>
                <w:rPr>
                  <w:rStyle w:val="InternetLink"/>
                  <w:rFonts w:ascii="Times New Roman;Times;serif" w:hAnsi="Times New Roman;Times;serif"/>
                  <w:sz w:val="20"/>
                </w:rPr>
                <w:t>F-27</w:t>
              </w:r>
            </w:hyperlink>
          </w:p>
        </w:tc>
      </w:tr>
      <w:tr>
        <w:trPr/>
        <w:tc>
          <w:tcPr>
            <w:tcW w:w="896" w:type="dxa"/>
            <w:tcBorders/>
            <w:vAlign w:val="center"/>
          </w:tcPr>
          <w:p>
            <w:pPr>
              <w:pStyle w:val="TableContents"/>
              <w:bidi w:val="0"/>
              <w:spacing w:before="0" w:after="283"/>
              <w:jc w:val="left"/>
              <w:rPr/>
            </w:pPr>
            <w:r>
              <w:rPr/>
              <w:t>   </w:t>
            </w:r>
            <w:r>
              <w:rPr>
                <w:rFonts w:ascii="Times New Roman;Times;serif" w:hAnsi="Times New Roman;Times;serif"/>
                <w:sz w:val="20"/>
              </w:rPr>
              <w:t>Item 9B.</w:t>
            </w:r>
          </w:p>
        </w:tc>
        <w:tc>
          <w:tcPr>
            <w:tcW w:w="8853" w:type="dxa"/>
            <w:tcBorders/>
            <w:vAlign w:val="center"/>
          </w:tcPr>
          <w:p>
            <w:pPr>
              <w:pStyle w:val="TableContents"/>
              <w:bidi w:val="0"/>
              <w:spacing w:before="0" w:after="283"/>
              <w:jc w:val="left"/>
              <w:rPr/>
            </w:pPr>
            <w:hyperlink w:anchor="otherinfo">
              <w:r>
                <w:rPr>
                  <w:rStyle w:val="InternetLink"/>
                  <w:rFonts w:ascii="Times New Roman;Times;serif" w:hAnsi="Times New Roman;Times;serif"/>
                  <w:sz w:val="20"/>
                </w:rPr>
                <w:t>Other Information</w:t>
              </w:r>
            </w:hyperlink>
          </w:p>
        </w:tc>
        <w:tc>
          <w:tcPr>
            <w:tcW w:w="456" w:type="dxa"/>
            <w:tcBorders/>
            <w:vAlign w:val="center"/>
          </w:tcPr>
          <w:p>
            <w:pPr>
              <w:pStyle w:val="TableContents"/>
              <w:bidi w:val="0"/>
              <w:spacing w:before="0" w:after="283"/>
              <w:jc w:val="right"/>
              <w:rPr/>
            </w:pPr>
            <w:hyperlink w:anchor="otherinfo">
              <w:r>
                <w:rPr>
                  <w:rStyle w:val="InternetLink"/>
                  <w:rFonts w:ascii="Times New Roman;Times;serif" w:hAnsi="Times New Roman;Times;serif"/>
                  <w:sz w:val="20"/>
                </w:rPr>
                <w:t>F-28</w:t>
              </w:r>
            </w:hyperlink>
          </w:p>
        </w:tc>
      </w:tr>
      <w:tr>
        <w:trPr/>
        <w:tc>
          <w:tcPr>
            <w:tcW w:w="896" w:type="dxa"/>
            <w:tcBorders/>
            <w:vAlign w:val="center"/>
          </w:tcPr>
          <w:p>
            <w:pPr>
              <w:pStyle w:val="TableContents"/>
              <w:bidi w:val="0"/>
              <w:spacing w:before="0" w:after="283"/>
              <w:jc w:val="left"/>
              <w:rPr/>
            </w:pPr>
            <w:r>
              <w:rPr/>
              <w:t>   </w:t>
            </w:r>
            <w:r>
              <w:rPr>
                <w:rFonts w:ascii="Times New Roman;Times;serif" w:hAnsi="Times New Roman;Times;serif"/>
                <w:sz w:val="20"/>
              </w:rPr>
              <w:t>Item 9C.</w:t>
            </w:r>
          </w:p>
        </w:tc>
        <w:tc>
          <w:tcPr>
            <w:tcW w:w="8853" w:type="dxa"/>
            <w:tcBorders/>
            <w:vAlign w:val="center"/>
          </w:tcPr>
          <w:p>
            <w:pPr>
              <w:pStyle w:val="TableContents"/>
              <w:bidi w:val="0"/>
              <w:spacing w:before="0" w:after="283"/>
              <w:jc w:val="left"/>
              <w:rPr/>
            </w:pPr>
            <w:hyperlink w:anchor="foreignjurisdictions">
              <w:r>
                <w:rPr>
                  <w:rStyle w:val="InternetLink"/>
                  <w:rFonts w:ascii="Times New Roman;Times;serif" w:hAnsi="Times New Roman;Times;serif"/>
                  <w:sz w:val="20"/>
                </w:rPr>
                <w:t>Disclosure Regarding Foreign Jurisdictions that Prevent Inspections</w:t>
              </w:r>
            </w:hyperlink>
          </w:p>
        </w:tc>
        <w:tc>
          <w:tcPr>
            <w:tcW w:w="456" w:type="dxa"/>
            <w:tcBorders/>
            <w:vAlign w:val="center"/>
          </w:tcPr>
          <w:p>
            <w:pPr>
              <w:pStyle w:val="TableContents"/>
              <w:bidi w:val="0"/>
              <w:spacing w:before="0" w:after="283"/>
              <w:jc w:val="right"/>
              <w:rPr/>
            </w:pPr>
            <w:hyperlink w:anchor="foreignjurisdictions">
              <w:r>
                <w:rPr>
                  <w:rStyle w:val="InternetLink"/>
                  <w:rFonts w:ascii="Times New Roman;Times;serif" w:hAnsi="Times New Roman;Times;serif"/>
                  <w:sz w:val="20"/>
                </w:rPr>
                <w:t>F-28</w:t>
              </w:r>
            </w:hyperlink>
          </w:p>
        </w:tc>
      </w:tr>
      <w:tr>
        <w:trPr/>
        <w:tc>
          <w:tcPr>
            <w:tcW w:w="896" w:type="dxa"/>
            <w:tcBorders/>
            <w:vAlign w:val="center"/>
          </w:tcPr>
          <w:p>
            <w:pPr>
              <w:pStyle w:val="TableContents"/>
              <w:bidi w:val="0"/>
              <w:spacing w:before="0" w:after="283"/>
              <w:jc w:val="left"/>
              <w:rPr/>
            </w:pPr>
            <w:r>
              <w:rPr/>
              <w:t> </w:t>
            </w:r>
          </w:p>
        </w:tc>
        <w:tc>
          <w:tcPr>
            <w:tcW w:w="885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III</w:t>
            </w:r>
          </w:p>
        </w:tc>
        <w:tc>
          <w:tcPr>
            <w:tcW w:w="885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10.</w:t>
            </w:r>
          </w:p>
        </w:tc>
        <w:tc>
          <w:tcPr>
            <w:tcW w:w="8853" w:type="dxa"/>
            <w:tcBorders/>
            <w:vAlign w:val="center"/>
          </w:tcPr>
          <w:p>
            <w:pPr>
              <w:pStyle w:val="TableContents"/>
              <w:bidi w:val="0"/>
              <w:spacing w:before="0" w:after="0"/>
              <w:ind w:left="0" w:right="0" w:hanging="0"/>
              <w:jc w:val="left"/>
              <w:rPr/>
            </w:pPr>
            <w:hyperlink w:anchor="item10">
              <w:r>
                <w:rPr>
                  <w:rStyle w:val="InternetLink"/>
                  <w:rFonts w:ascii="Times New Roman;Times;serif" w:hAnsi="Times New Roman;Times;serif"/>
                  <w:caps w:val="false"/>
                  <w:smallCaps w:val="false"/>
                  <w:sz w:val="20"/>
                </w:rPr>
                <w:t>Directors, Executive Officers and Corporate Governance</w:t>
              </w:r>
            </w:hyperlink>
          </w:p>
        </w:tc>
        <w:tc>
          <w:tcPr>
            <w:tcW w:w="456" w:type="dxa"/>
            <w:tcBorders/>
            <w:vAlign w:val="center"/>
          </w:tcPr>
          <w:p>
            <w:pPr>
              <w:pStyle w:val="TableContents"/>
              <w:bidi w:val="0"/>
              <w:spacing w:before="0" w:after="0"/>
              <w:ind w:left="0" w:right="0" w:hanging="0"/>
              <w:jc w:val="right"/>
              <w:rPr/>
            </w:pPr>
            <w:hyperlink w:anchor="item10">
              <w:r>
                <w:rPr>
                  <w:rStyle w:val="InternetLink"/>
                  <w:rFonts w:ascii="Times New Roman;Times;serif" w:hAnsi="Times New Roman;Times;serif"/>
                  <w:caps w:val="false"/>
                  <w:smallCaps w:val="false"/>
                  <w:sz w:val="20"/>
                </w:rPr>
                <w:t>F-29</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11.</w:t>
            </w:r>
          </w:p>
        </w:tc>
        <w:tc>
          <w:tcPr>
            <w:tcW w:w="8853" w:type="dxa"/>
            <w:tcBorders/>
            <w:vAlign w:val="center"/>
          </w:tcPr>
          <w:p>
            <w:pPr>
              <w:pStyle w:val="TableContents"/>
              <w:bidi w:val="0"/>
              <w:spacing w:before="0" w:after="0"/>
              <w:ind w:left="0" w:right="0" w:hanging="0"/>
              <w:jc w:val="left"/>
              <w:rPr/>
            </w:pPr>
            <w:hyperlink w:anchor="item11">
              <w:r>
                <w:rPr>
                  <w:rStyle w:val="InternetLink"/>
                  <w:rFonts w:ascii="Times New Roman;Times;serif" w:hAnsi="Times New Roman;Times;serif"/>
                  <w:caps w:val="false"/>
                  <w:smallCaps w:val="false"/>
                  <w:sz w:val="20"/>
                </w:rPr>
                <w:t>Executive Compensation</w:t>
              </w:r>
            </w:hyperlink>
          </w:p>
        </w:tc>
        <w:tc>
          <w:tcPr>
            <w:tcW w:w="456" w:type="dxa"/>
            <w:tcBorders/>
            <w:vAlign w:val="center"/>
          </w:tcPr>
          <w:p>
            <w:pPr>
              <w:pStyle w:val="TableContents"/>
              <w:bidi w:val="0"/>
              <w:spacing w:before="0" w:after="0"/>
              <w:ind w:left="0" w:right="0" w:hanging="0"/>
              <w:jc w:val="right"/>
              <w:rPr/>
            </w:pPr>
            <w:hyperlink w:anchor="item11">
              <w:r>
                <w:rPr>
                  <w:rStyle w:val="InternetLink"/>
                  <w:rFonts w:ascii="Times New Roman;Times;serif" w:hAnsi="Times New Roman;Times;serif"/>
                  <w:caps w:val="false"/>
                  <w:smallCaps w:val="false"/>
                  <w:sz w:val="20"/>
                </w:rPr>
                <w:t>F-32</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12.</w:t>
            </w:r>
          </w:p>
        </w:tc>
        <w:tc>
          <w:tcPr>
            <w:tcW w:w="8853" w:type="dxa"/>
            <w:tcBorders/>
            <w:vAlign w:val="center"/>
          </w:tcPr>
          <w:p>
            <w:pPr>
              <w:pStyle w:val="TableContents"/>
              <w:bidi w:val="0"/>
              <w:spacing w:before="0" w:after="0"/>
              <w:ind w:left="0" w:right="0" w:hanging="0"/>
              <w:jc w:val="left"/>
              <w:rPr/>
            </w:pPr>
            <w:hyperlink w:anchor="item12">
              <w:r>
                <w:rPr>
                  <w:rStyle w:val="InternetLink"/>
                  <w:rFonts w:ascii="Times New Roman;Times;serif" w:hAnsi="Times New Roman;Times;serif"/>
                  <w:caps w:val="false"/>
                  <w:smallCaps w:val="false"/>
                  <w:sz w:val="20"/>
                </w:rPr>
                <w:t>Security Ownership of Certain Beneficial Owners and Management and Related Stockholder Matters</w:t>
              </w:r>
            </w:hyperlink>
          </w:p>
        </w:tc>
        <w:tc>
          <w:tcPr>
            <w:tcW w:w="456" w:type="dxa"/>
            <w:tcBorders/>
            <w:vAlign w:val="center"/>
          </w:tcPr>
          <w:p>
            <w:pPr>
              <w:pStyle w:val="TableContents"/>
              <w:bidi w:val="0"/>
              <w:spacing w:before="0" w:after="0"/>
              <w:ind w:left="0" w:right="0" w:hanging="0"/>
              <w:jc w:val="right"/>
              <w:rPr/>
            </w:pPr>
            <w:hyperlink w:anchor="item12">
              <w:r>
                <w:rPr>
                  <w:rStyle w:val="InternetLink"/>
                  <w:rFonts w:ascii="Times New Roman;Times;serif" w:hAnsi="Times New Roman;Times;serif"/>
                  <w:caps w:val="false"/>
                  <w:smallCaps w:val="false"/>
                  <w:sz w:val="20"/>
                </w:rPr>
                <w:t>F-35</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13.</w:t>
            </w:r>
          </w:p>
        </w:tc>
        <w:tc>
          <w:tcPr>
            <w:tcW w:w="8853" w:type="dxa"/>
            <w:tcBorders/>
            <w:vAlign w:val="center"/>
          </w:tcPr>
          <w:p>
            <w:pPr>
              <w:pStyle w:val="TableContents"/>
              <w:bidi w:val="0"/>
              <w:spacing w:before="0" w:after="0"/>
              <w:ind w:left="0" w:right="0" w:hanging="0"/>
              <w:jc w:val="left"/>
              <w:rPr/>
            </w:pPr>
            <w:hyperlink w:anchor="item13">
              <w:r>
                <w:rPr>
                  <w:rStyle w:val="InternetLink"/>
                  <w:rFonts w:ascii="Times New Roman;Times;serif" w:hAnsi="Times New Roman;Times;serif"/>
                  <w:caps w:val="false"/>
                  <w:smallCaps w:val="false"/>
                  <w:sz w:val="20"/>
                </w:rPr>
                <w:t>Certain Relationships and Related Transactions, and Director Independence</w:t>
              </w:r>
            </w:hyperlink>
          </w:p>
        </w:tc>
        <w:tc>
          <w:tcPr>
            <w:tcW w:w="456" w:type="dxa"/>
            <w:tcBorders/>
            <w:vAlign w:val="center"/>
          </w:tcPr>
          <w:p>
            <w:pPr>
              <w:pStyle w:val="TableContents"/>
              <w:bidi w:val="0"/>
              <w:spacing w:before="0" w:after="0"/>
              <w:ind w:left="0" w:right="0" w:hanging="0"/>
              <w:jc w:val="right"/>
              <w:rPr/>
            </w:pPr>
            <w:hyperlink w:anchor="item13">
              <w:r>
                <w:rPr>
                  <w:rStyle w:val="InternetLink"/>
                  <w:rFonts w:ascii="Times New Roman;Times;serif" w:hAnsi="Times New Roman;Times;serif"/>
                  <w:caps w:val="false"/>
                  <w:smallCaps w:val="false"/>
                  <w:sz w:val="20"/>
                </w:rPr>
                <w:t>F-37</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14.</w:t>
            </w:r>
          </w:p>
        </w:tc>
        <w:tc>
          <w:tcPr>
            <w:tcW w:w="8853" w:type="dxa"/>
            <w:tcBorders/>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caps w:val="false"/>
                  <w:smallCaps w:val="false"/>
                  <w:sz w:val="20"/>
                </w:rPr>
                <w:t>Principal Accounting Fees and Services</w:t>
              </w:r>
            </w:hyperlink>
          </w:p>
        </w:tc>
        <w:tc>
          <w:tcPr>
            <w:tcW w:w="456" w:type="dxa"/>
            <w:tcBorders/>
            <w:vAlign w:val="center"/>
          </w:tcPr>
          <w:p>
            <w:pPr>
              <w:pStyle w:val="TableContents"/>
              <w:bidi w:val="0"/>
              <w:spacing w:before="0" w:after="0"/>
              <w:ind w:left="0" w:right="0" w:hanging="0"/>
              <w:jc w:val="right"/>
              <w:rPr/>
            </w:pPr>
            <w:hyperlink w:anchor="item14">
              <w:r>
                <w:rPr>
                  <w:rStyle w:val="InternetLink"/>
                  <w:rFonts w:ascii="Times New Roman;Times;serif" w:hAnsi="Times New Roman;Times;serif"/>
                  <w:caps w:val="false"/>
                  <w:smallCaps w:val="false"/>
                  <w:sz w:val="20"/>
                </w:rPr>
                <w:t>F-38</w:t>
              </w:r>
            </w:hyperlink>
          </w:p>
        </w:tc>
      </w:tr>
      <w:tr>
        <w:trPr/>
        <w:tc>
          <w:tcPr>
            <w:tcW w:w="896" w:type="dxa"/>
            <w:tcBorders/>
            <w:vAlign w:val="center"/>
          </w:tcPr>
          <w:p>
            <w:pPr>
              <w:pStyle w:val="TableContents"/>
              <w:bidi w:val="0"/>
              <w:spacing w:before="0" w:after="283"/>
              <w:jc w:val="left"/>
              <w:rPr/>
            </w:pPr>
            <w:r>
              <w:rPr/>
              <w:t> </w:t>
            </w:r>
          </w:p>
        </w:tc>
        <w:tc>
          <w:tcPr>
            <w:tcW w:w="885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IV</w:t>
            </w:r>
          </w:p>
        </w:tc>
        <w:tc>
          <w:tcPr>
            <w:tcW w:w="885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15.</w:t>
            </w:r>
          </w:p>
        </w:tc>
        <w:tc>
          <w:tcPr>
            <w:tcW w:w="8853" w:type="dxa"/>
            <w:tcBorders/>
            <w:vAlign w:val="center"/>
          </w:tcPr>
          <w:p>
            <w:pPr>
              <w:pStyle w:val="TableContents"/>
              <w:bidi w:val="0"/>
              <w:spacing w:before="0" w:after="0"/>
              <w:ind w:left="0" w:right="0" w:hanging="0"/>
              <w:jc w:val="left"/>
              <w:rPr/>
            </w:pPr>
            <w:hyperlink w:anchor="item15">
              <w:r>
                <w:rPr>
                  <w:rStyle w:val="InternetLink"/>
                  <w:rFonts w:ascii="Times New Roman;Times;serif" w:hAnsi="Times New Roman;Times;serif"/>
                  <w:caps w:val="false"/>
                  <w:smallCaps w:val="false"/>
                  <w:sz w:val="20"/>
                </w:rPr>
                <w:t>Exhibits, Financial Statement Schedules</w:t>
              </w:r>
            </w:hyperlink>
          </w:p>
        </w:tc>
        <w:tc>
          <w:tcPr>
            <w:tcW w:w="456" w:type="dxa"/>
            <w:tcBorders/>
            <w:vAlign w:val="center"/>
          </w:tcPr>
          <w:p>
            <w:pPr>
              <w:pStyle w:val="TableContents"/>
              <w:bidi w:val="0"/>
              <w:spacing w:before="0" w:after="0"/>
              <w:ind w:left="0" w:right="0" w:hanging="0"/>
              <w:jc w:val="right"/>
              <w:rPr/>
            </w:pPr>
            <w:hyperlink w:anchor="item15">
              <w:r>
                <w:rPr>
                  <w:rStyle w:val="InternetLink"/>
                  <w:rFonts w:ascii="Times New Roman;Times;serif" w:hAnsi="Times New Roman;Times;serif"/>
                  <w:caps w:val="false"/>
                  <w:smallCaps w:val="false"/>
                  <w:sz w:val="20"/>
                </w:rPr>
                <w:t>26</w:t>
              </w:r>
            </w:hyperlink>
          </w:p>
        </w:tc>
      </w:tr>
      <w:tr>
        <w:trPr/>
        <w:tc>
          <w:tcPr>
            <w:tcW w:w="896" w:type="dxa"/>
            <w:tcBorders/>
            <w:vAlign w:val="center"/>
          </w:tcPr>
          <w:p>
            <w:pPr>
              <w:pStyle w:val="TableContents"/>
              <w:bidi w:val="0"/>
              <w:spacing w:before="0" w:after="0"/>
              <w:ind w:left="1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16</w:t>
            </w:r>
          </w:p>
        </w:tc>
        <w:tc>
          <w:tcPr>
            <w:tcW w:w="8853" w:type="dxa"/>
            <w:tcBorders/>
            <w:vAlign w:val="center"/>
          </w:tcPr>
          <w:p>
            <w:pPr>
              <w:pStyle w:val="TableContents"/>
              <w:bidi w:val="0"/>
              <w:spacing w:before="0" w:after="0"/>
              <w:ind w:left="0" w:right="0" w:hanging="0"/>
              <w:jc w:val="left"/>
              <w:rPr/>
            </w:pPr>
            <w:hyperlink w:anchor="item16">
              <w:r>
                <w:rPr>
                  <w:rStyle w:val="InternetLink"/>
                  <w:rFonts w:ascii="Times New Roman;Times;serif" w:hAnsi="Times New Roman;Times;serif"/>
                  <w:caps w:val="false"/>
                  <w:smallCaps w:val="false"/>
                  <w:sz w:val="20"/>
                </w:rPr>
                <w:t>Form 10-K Summary</w:t>
              </w:r>
            </w:hyperlink>
          </w:p>
        </w:tc>
        <w:tc>
          <w:tcPr>
            <w:tcW w:w="456" w:type="dxa"/>
            <w:tcBorders/>
            <w:vAlign w:val="center"/>
          </w:tcPr>
          <w:p>
            <w:pPr>
              <w:pStyle w:val="TableContents"/>
              <w:bidi w:val="0"/>
              <w:spacing w:before="0" w:after="0"/>
              <w:ind w:left="0" w:right="0" w:hanging="0"/>
              <w:jc w:val="right"/>
              <w:rPr/>
            </w:pPr>
            <w:hyperlink w:anchor="item16">
              <w:r>
                <w:rPr>
                  <w:rStyle w:val="InternetLink"/>
                  <w:rFonts w:ascii="Times New Roman;Times;serif" w:hAnsi="Times New Roman;Times;serif"/>
                  <w:caps w:val="false"/>
                  <w:smallCaps w:val="false"/>
                  <w:sz w:val="20"/>
                </w:rPr>
                <w:t>29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Annual Report on Form 10-K (this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xml:space="preserv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target,</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contemplates,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continue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the negative of these words or other similar terms or expressions that concern our expectations, strategy, plans, or intentions.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We have based the forward-looking statements contained in this Annual Report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of this Annual Report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and elsewhere in this Annual Report. Moreover, we operate in a highly competitive, dynamic and challenging environment.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new information or the occurrence of unanticipated events, except as required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1.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the sections contained within this Annual Report entitled “Management’s Discussion and Analysis of Financial Condition and Results of Operations” and “Risk Factors”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About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Headquartered in New Jersey, the Company also maintains offices in China, the Philippines, and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Strategic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8, 2025, we announced that our Board of Directors has authorized the initiation of a process to explore strategic alternatives to maximize shareholder value, which may include a sale of the company, a merger, or other strategic transactions. There can be no assurance that this process will result in any transaction or that any transaction, if pursued, will be on favorable terms. The Company has not established a timetable for completion of a transaction.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operate as one operating segment. Our revenues are derived from the sale of consumer goods. See Note 18, </w:t>
      </w:r>
      <w:r>
        <w:rPr>
          <w:rFonts w:ascii="Times New Roman" w:hAnsi="Times New Roman"/>
          <w:i/>
          <w:caps w:val="false"/>
          <w:smallCaps w:val="false"/>
          <w:sz w:val="20"/>
        </w:rPr>
        <w:t>Segment Information</w:t>
      </w:r>
      <w:r>
        <w:rPr>
          <w:rFonts w:ascii="Times New Roman" w:hAnsi="Times New Roman"/>
          <w:caps w:val="false"/>
          <w:smallCaps w:val="false"/>
          <w:sz w:val="20"/>
        </w:rPr>
        <w:t>, in the accompanying notes to our consolidated financial statements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sells a wide range of products across multiple categories, including home and kitchen appliances, kitchenware, air quality appliances, health and beauty products, and essential oils. These products are sold under the Company’s owned brands, which were either incubated or acquired.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Intellectual Property and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rely primarily on a combination of trademarks, employee and third-party nondisclosure agreements and licensing arrangements (including open-source software) to protect our intellectual property. We generally do not pursue patent applications as a means of protecting our intellectual property. We have applied to register or have registered certain of our trademarks in the U.S. and other jurisdictions, and we will pursue additional trademark registrations to the extent we believe they would be beneficial and cost-effective.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use of technology allows us to automate and ingest data to create efficiencies within our sales and marketing and our supply chain. This ability to leverage technology is important for our business considering that predominantly all our net revenue is generated via e-commerce marketplaces. Historically, we developed the majority of our technology internally. However, in February 2024, we announced that we have shifted our technology platform away from a fully internally developed model to an integrated third-party, best-of-breed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customers are mainly individual online consumers who purchase our products primarily on Amazon US, and to a lesser extent on our owned and operated websites and other marketplaces, such as Walmart. In 2025 and 2024, approximately 86% and 92% of our revenue was through the Amazon sales platform,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Seasonality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Sales and Marketing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sales and marketing strategy and approach is focused on online channels and e-commerce platforms. Currently our primary focus on advertising spend is online across Amazon as well as through marketing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Third-Party Manufacturing &amp; Logistics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2025, we purchased the substantial majority of our finished products from suppliers in China. We do not maintain long-term purchase contracts with suppliers and operate mainly on a purchase order basis. We negotiate purchases from our foreign suppliers in U.S. dollars. We purchased our inventory from approximately 33 suppliers, three of which represented 17%, 12%, and 11% of purchases during the year ended December 31, 2025. While we believe the loss of any one supplier would not have a long-term material adverse effect on our business due to the availability of other suppliers, the loss of a supplier could, in the short term, materially and adversely impact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raw materials used by our third-party suppliers to manufacture our products are plastic, glass, steel, copper, aluminum, oil, paper and packaging materials. We believe adequate quantities of raw materials are available from various suppliers.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a combination of Amazon warehouses, other third-party warehouses and logistics partners to fulfill direct-to-consumer orders, through agreements or terms of services. In addition to fulfillment by Amazon warehouses, we use geographically distributed third-party warehouses in the U.S. to deliver orders within one to two days through ground shipment to most customers.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consumer goods and e-commerce markets are highly competitive and dynamic. We compete primarily against numerous third-party brands and sellers on marketplaces for each of our products. Competition is based on price, product features and quality, strong ratings and reviews, effective marketing, visibility and location on the online shelf and supply chain excellence, which is mostly the ability to deliver products to customers in one to two days. In certain instances, we compete directly with our third-party suppliers who sell their own brands directly to customers, including with respect to certain of our material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Government Regulation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a variety of U.S. federal, state and local laws and international laws, including but not limited to those governing the processing of payments, consumer protection, the privacy of consumer information and other laws regarding unfair and deceptive trade practices. We are also subject to various environmental laws, rules and regulations, such as California’s Proposition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products sold by us are also subject to regulation by U.S. governmental agencies, including the U.S. Consumer Product Safety Commission, the Federal Trade Commission, United States Food and Drug Administration, the U.S. Environmental Protection Agency, the U.S. Department of Energy and similar state and international regulatory authorities, such as the California Energy Commission. We do not estimate any significant capital expenditures for environmental control matters either in the current fiscal year or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also subject to regulations relating to our supply chain. For example, the California Transparency in Supply Chains Act requires retail sellers that do business in California to disclose their efforts to eradicate slavery and human trafficking in their supply chains. As part of our vendor qualification process, we review suppliers’ operations for compliance with applicable labor and workplace standards and other applicable laws, including laws prohibiting child labor, forced labor and unsafe working conditions.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significant portion of our products are currently manufactured in China. The enactment of new legislation, executive actions, or changes in current laws related to international trade affecting trade agreements, changes in tariffs, trade barriers, price and exchange controls and other regulatory requirements or changes in sourcing patterns could adversely affect the Company’s operations and result in additional expenses. Additional information is discussed in Item 1A of Part I,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have not suffered any material restrictions from doing business in the past due to government regulations, significant impediments may arise in the future as we expand product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dispose of or donate obsolete inventory in compliance with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People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human capital objectives we focus on in managing our business include attracting, developing, and retaining key personnel. We believe our management team has the experience necessary to effectively implement our growth strategy and continue to drive stockholder value. We provide competitive compensation, which includes a focus on stock-based compensation, and benefits to attract and retain key personnel, while also providing a safe, inclusive and respectful workplace. As of December 31, 2025, we had 74 full-time employees and 22 independent contractors. As of December 31, 2025, our employees and contractors are based in offices, shared workspaces and remote work locations in the U.S., China, the U.K., the Philippines, Serbia, Pakistan, and Poland.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2026, the Company implemented a fixed cost reduction plan that included a workforce reduction affecting approximately 16 employees and independent contractors. The Company expects to substantially complete this reduction by the end of the first quarter of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our website as a distribution channel of material information about the Company including through press releases, investor presentations, and notices of upcoming events. We utilize the investor relations section of our website at https://ir.aterian.io as a channel of distribution to reach public investors and as a means of disclosing material non-public information for complying with disclosure obligations under Regulation FD. We also intend to use certain social media channels, including, but not limited to, X (formerly Twitter), Facebook, Instagram, TikTok and LinkedIn, as a means of communicating with the public, our customers and investors about our Company, our products, and other matters. While not all the information that the Company posts to its website and brand related social media channels may be deemed to be of a material nature, some information may be and we therefore encourage investors, the media, and others interested in our Company to review the information we make public in these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periodic and current reports, registration statements and other filings that we have filed or furnished to the Securities and Exchange Commission (“SEC”), including our annual reports on Form 10-K, quarterly reports on Form 10-Q, current reports on Form 8-K and amendments to those reports filed or furnished pursuant to Section 13(a) or 15(d) of the Exchange Act, are available free of charge from the SEC’s website (</w:t>
      </w:r>
      <w:r>
        <w:rPr>
          <w:rFonts w:ascii="Times New Roman" w:hAnsi="Times New Roman"/>
          <w:caps w:val="false"/>
          <w:smallCaps w:val="false"/>
          <w:sz w:val="20"/>
          <w:u w:val="single"/>
        </w:rPr>
        <w:t>www.sec.gov</w:t>
      </w:r>
      <w:r>
        <w:rPr>
          <w:rFonts w:ascii="Times New Roman" w:hAnsi="Times New Roman"/>
          <w:caps w:val="false"/>
          <w:smallCaps w:val="false"/>
          <w:sz w:val="20"/>
        </w:rPr>
        <w:t>) and on our website at </w:t>
      </w:r>
      <w:r>
        <w:rPr>
          <w:rFonts w:ascii="Times New Roman" w:hAnsi="Times New Roman"/>
          <w:caps w:val="false"/>
          <w:smallCaps w:val="false"/>
          <w:sz w:val="20"/>
          <w:u w:val="single"/>
        </w:rPr>
        <w:t>https://ir.aterian.io/</w:t>
      </w:r>
      <w:r>
        <w:rPr>
          <w:rFonts w:ascii="Times New Roman" w:hAnsi="Times New Roman"/>
          <w:caps w:val="false"/>
          <w:smallCaps w:val="false"/>
          <w:sz w:val="20"/>
        </w:rPr>
        <w:t>. Such documents are available as soon as reasonably practicable after electronic filing of the material with the SEC. Any reference to our website or social media channels does not constitute incorporation by reference of the information contained on or available through our website, and you should not consider such information to be a part of the periodic and current reports, registration statements or other filings that we file or furnish with the SEC from time to time.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4" w:name="riskfactors"/>
      <w:bookmarkEnd w:id="4"/>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Relating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historically operated at a loss and we may never achieve or sustain continuous profitability or positive cash flows. Further, we and our independent registered public accounting firm have expressed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experienced significant after-tax losses for the years ended December 31, 2025 and 2024. In addition, our costs have increased historically and may increase further in future periods, which could negatively affect our future operating results and ability to achieve and sustain long-term ongoing profitability. For example, we may need to continue to expend substantial financial and other resources on the ideation, sourcing and development of products, our technology infrastructure, sales and marketing, international expansion and general administration, including expenses related to being a public company. We have had to rely on a combination of cash flow from operations and new capital to sustain our business. Even though we have raised significant capital, there can be no assurance that we will ever achieve long-term continuous profitability. Even if we do, there can be no assurance that we will be able to maintain or increase profitability on a quarterly or annual basis. Failure to achieve or sustain profitability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growth strategy has resulted in operating losses and negative cash flows from operations that raise substantial doubt about our ability to continue as a going concern. Our independent registered public accounting firm included an explanatory paragraph in its report on our consolidated financial statements as of and for the year ended December 31, 2025,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reduce our sales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intense competition and if we are unable to compete effectively, our market share and revenue could be diminished which may delay or otherwise hinder our efforts to achieve or maintain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assure you that our products will continue to compete favorably or that we will be successful in the face of increasing competition and from new products and enhancements introduced by existing competitors or new companies entering the markets in which we operate. We sell our products primarily on marketplaces and primarily on Amazon in the U.S. Unlike traditional brick and mortar retailers, the customer who is shopping on marketplaces has a significant number of competing products to select from as there are limited barriers to entry. In addition, the Internet facilitates competitive entry and comparison shopping, which enhances the ability of new and existing businesses to compete against us. A number of our current and potential competitors have greater resources, longer histories, and/or greater brand recognition. As a result, they may be able to secure better terms from vendors and devote more resources to technology, infrastructure, fulfillment, and marketing than we may be able to. In addition, some of our competitors aggressively discount their products in order to gain market share, which has resulted in pricing pressures, reduced profit margins and lost market share. Further, social proof for products sold on marketplaces in the form of product ratings and reviews is highly important to our success. In this regard, the majority of our active brands were acquired in late 2020 and early 2021, and their brand reputations may be impacted by the original owners’ or founders’ new business ventures, personal reputations, or public conduct. Although we have no material ongoing business relationships with the original owners of our brands, their actions, if perceived negatively, could adversely impact our brands’ reputations, social proof, and/or net revenue. In certain instances, we have been unable to maintain such social proof, and we may be unable to maintain such social proof in the future, or competitors may be able to attain better social proof for their products which could result in reduced market share and have a material impact on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Amazon and other marketplaces frequently launch their own private-label products that compete directly with our highest-volume SKUs. These marketplaces have access to superior consumer data and can provide their own products with preferential search placement and advertising rates that we cannot match, which may permanently depress our margins on those products.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certain significant products in our portfolio such as certain of the dehumidifiers we sell, we compete directly with our contract manufacturer who sells its own competing private label products on the marketplaces we sell and who has a lower cost structure and significantly better R&amp;D capabilities. These manufacturers could take aggressive actions against us including limiting the availability of productive capacity or limiting our access to newer, more innovative models, which we have experienced from time to time.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competition, our product offerings, whether in new or existing markets, may not be successful, we may fail to gain or may lose business, and we may be required to increase our marketing spending or lower prices, any of which could materially impact our operating results.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financial projections are highly subjective in nature and our future financial results could vary significantly from our projections from quarter-to-quarter and annually.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provide financial projections to our shareholders, lenders, investment community, and other stakeholders. These projections are highly subjective. Our quarterly revenue and other operating results have varied in the past and are likely to continue to vary significantly from quarter-to-quarter in the future. It is difficult for us to accurately predict the demand for many of our products, or the amount and timing of our future revenue and operating results. Our projections are based on management’s best estimate of sales using historical sales data and other relevant information available at the time. These projections are highly subjective since product sales can fluctuate substantially. Additionally, changes in consumer demand, affected by competitors, transportation, supplier lead times, costs and availability, raw material costs and availability, and other factors could make our inventory management and sales forecasting more difficult. Further, we base our expense levels and investment plans on sales estimates. A significant portion of our expenses and investments are fixed, and we are not able to adjust our spending quickly if our sales are less than expected. Due to these and other factors described elsewhere in this section, our future operating results could vary materially from our projections and from quarter-to-quarter. Further, we believe that quarter-to-quarter comparisons of our operating results are not necessarily meaningful. Moreover, our operating results may not meet the expectations of our equity research analysts or investors. If this occurs, the trading price of our common stock could fall substantially, either suddenly or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business is sensitive to the strength of the United States consumer market to a meaningful extent, and changes in consumer spending and economic conditions could adversely affect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strength of the U.S. economy has a significant impact on our performance. We are dependent on discretionary spending, which is affected by, among other things, unemployment rates, economic and political conditions worldwide, consumer confidence, energy and gasoline prices, interest and mortgage rates, the level of consumer debt and taxation, and financial markets, which are all outside of our control. A continuing softening of demand, whether caused by changes in customer preferences or a weakening of the U.S. or global economies, may result in decreased revenue. We believe we have sustained a decline in the sales of our products in part due to the factors mentioned above, and any continued economic downturn or uncertainties in the U.S. or in other parts of the world could materially and adversely affect our business, operating results,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Demand for our products is highly seasonal and dependent on weather conditions, which could result in significant variations in our inventory levels, financial condition and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Weather and other conditions can materially impact the demand for our products. Demand for our air quality products primarily occurs during the summer months and demand for our essential oils, kitchen appliances and accessories primarily occurs during the fall and holiday season. Natural disasters (such as wildfires, hurricanes and ice storms), public health crises (such as pandemics and epidemics), or an unusually mild or short summer season may result in unanticipated material fluctuations in consumer demand. These factors could have a material adverse effect on our business, operating results, financial condition, and cash flows.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manage our inventory effectively, our operating results, financial condition, and cash flows could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past, we have not always accurately forecasted consumer demand for our products resulting in inventory shortages, excess inventory write-offs and lower gross margins. We are exposed to significant inventory risks that have or may adversely affect our operating results, financial condition, and cash flows as a result of seasonality, new product launches, rapid changes in product cycles and pricing, defective merchandise, shrinkage, changes in customer demand and consumer spending patterns, changes in consumer tastes with respect to our products, spoilage, adverse actions taken by marketplaces to remove our products, and other factors. Demand for products can change significantly between the time inventory is ordered and the date of sale. In addition, when we begin selling a new product, it may be difficult to establish vendor relationships, determine appropriate product or component selection, and accurately forecast demand. We carry a broad selection of products and at times we are unable to sell our products in sufficient quantities or to meet demand during the relevant selling seasons. Any of the inventory risk factors set forth above may adversely affect our operating results, financial condition, and cash flows.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Increased costs of raw materials, energy, labor, transportation and platform fees charged by marketplaces may adversely affect our business, operating results, financial condition, and cash flows.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increases in the cost and/or reductions in the availability of raw materials, energy, labor, transportation, and increases in tariffs and platform fees charged by marketplaces have negatively impacted our business, operating results, financial condition, and cash flows and may continue to negatively impact such items in the future. Our contract manufacturers purchase significant amounts of metals, plastics and other materials to manufacture our products. In addition, they also purchase significant amounts of electricity to supply the energy required in their production processes. Global political instabilities may result in higher metal, plastic, electric, transportation and product costs, or could impair our ability to obtain products at marketable rates or at all. We are heavily dependent on inbound sea, rail and truck freight. Disruptions in the global supply chain and freight networks, has, and may continue to limit inbound and outbound shipment capacity and increase our cost of goods sold and certain operating expenses. Further, the marketplaces on which we sell our products charge fees for selling, storage, advertising and fulfillment, all of which have historically increased, and we expect will continue to increase. The cost of raw materials, energy, labor, transportation, and the platform fees charged by marketplaces in the aggregate, represents a significant portion of our cost of goods sold and certain other operating expenses, which are not within our control and we have had limited success passing these on to customers. Our business, operating results, financial condition, and cash flows could be adversely affected by future increases in any of these costs. Additionally, the loss or disruption of essential manufacturing and supply elements such as raw materials or other finished product components, restricted transportation or increased freight costs, reduced workforce, or other manufacturing and distribution disruption could adversely impact our ability to meet our customers’ needs. Furthermore, it is not practical for us to mitigate our exposure to, nor are we able to accurately project the possible effect of foreign currency exchange rate fluctuations on our operating results due to our constantly changing exposure to various foreign currencies and the difficulty in predicting fluctuations in foreign currency exchange rates relative to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28, 2026, the United States and Israel initiated major combat operations in Iran, which has led to immediate retaliatory strikes against U.S. military installations and commercial interests in the Persian Gulf. This conflict has resulted in heightened volatility in global energy markets and may lead to significant disruptions in shipping routes, particularly through the Strait of Hormuz. Sustained conflict in the region could result in spiked freight insurance premiums, fuel surcharges, and delays in inbound shipments from our Asian suppliers. If we are unable to mitigate these costs, our operating results and financial condition would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We depend on third-party suppliers for all of our products, most of which are located in Asia, and any inability or delay in obtaining products from such suppliers could have a material adverse effect on our business, operating results, financial condition, and cash flow.</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dependent on third-party suppliers such as contract manufacturers and third-party logistics providers and carriers for the manufacturing and distribution of our products and any disruption to our supply chain, even for a relatively short period of time, could cause a loss of revenue, which could adversely affect our business, operating results, financial condition, and cash flows. Our ability to select reliable suppliers that provide timely deliveries of quality products will impact our success in meeting customer demand. Further, for a number of our significant products, we only have a single-source of supply (such as for certain dehumidifiers) and in general we do not have contracts with our contract manufacturers covering costs and production that we believe we can enforce without undue effort or cost. Any supplier’s inability or unwillingness to timely deliver products that meet desired specifications or any unanticipated changes in suppliers could be disruptive and costly and it is unlikely that we will be able to effect alternative arrangements on a timely basis, or in the case of manufacturing certain of our significant products, at all. Any significant failure by us to obtain quality products, in sufficient quantities, on a timely basis, and at an affordable cost or any significant delays or interruptions of supply would have a material adverse effect on our business, operating results,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most of our product suppliers are based in China, our business is subject to additional risks including, among others: currency fluctuations; labor unrest; potential political, economic and social instability; restrictions on transfers of funds; import duties and quotas; changes in domestic and international customs and tariffs, including embargoes and customs restrictions; uncertainties involving the costs to transport and warehouse products due to the dynamic nature of the global supply chain; unexpected changes in regulatory environments; regulatory issues involved in dealing with foreign suppliers and in exporting and importing products. The foregoing factors could have a material adverse effect on our business, operating results, financial condition, and cash flows.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significant majority of our revenue results from sales of products on Amazon’s U.S. marketplace, and any change, limitation, or restriction on our ability to operate on Amazon’s platform could have a material adverse impact on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substantial percentage of our revenue is from sales of products on Amazon’s U.S. marketplace and we are subject to Amazon’s terms of service (“ToS”) and various other Amazon seller policies.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or our product listings are required to be changed, for noncompliance or any other reason, including UPC brand mismatches, our reinstatement efforts may take significant time and attention or could fail, which could have a material adverse effect on our business, operating results, financial condition, and cash flows. In addition, Amazon has made, and we expect will continue to make, changes to its platform that could require us to change the manner in which we operate, limit our ability to successfully market existing products and to launch new products or increase our costs to operate. Such changes and the efforts required to maintain compliance therewith could have an adverse effect on our business, operating results, financial condition, and cash flows. Examples of past changes from Amazon have included platform fee increases (i.e., storage, advertising, fulfillment and selling commissions), inventory warehouse limitations, restrictions on certain marketing activities and changes to listing requirements that limit the variations of products that can be included in a single listing. Any change, limitation or restriction on our ability to sell on Amazon’s platform, even if temporary, could have a material impact on our business, operating results, financial condition, and cash flows. 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 material impact on our business, results of operations, financial condition, and cash flows. We have historically experienced, and may be subject in the future to, Amazon’s removal of the Prime badge guarantee from certain of our seller accounts and in those cases we have had limited success having the Prime badge guarantee reinstated in a timely manner or at all.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Credit Facility contains various restrictions and covenants that could limit our operating flexibility, and we may be unable to refinance or repay our Credit Facility. We also rely on credit export insurance for our vendors in China, the unavailability of which could have a material adverse impact on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22, 2021, we obtained a revolving credit facility from Midcap Funding IV Trust (the “Credit Facility”). Our Credit Facility contains covenants and other restrictions that, among other things, requires us to satisfy certain liquidity and borrowing availability tests, restricts our ability to execute M&amp;A transactions and to incur additional indebtedness. These restrictions and covenants, and those in other future financing arrangements, may limit our ability to respond to market conditions, to provide for capital investment needs or to take advantage of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the Credit Facility to extend the term to December 2026 and provide us with access to $17 million in current commitments which can be increased, subject to certain conditions, to $30.0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Company amended the Credit Facility to add repurchases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29, 2025, the Company amended the Credit Facility to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no guarantee that we will be available to repay or refinance our Credit Facility. Further, at any time, if we violate the terms of the Credit Facility, we may not be able to obtain a waiver from our lender under satisfactory terms, or at all, which would limit our operating flexibility and/or liquidity and which could have a material adverse effect on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rely on the availability of export credit insurance from the China Export &amp; Credit Insurance Corporation (“Sinosure”), a Chinese state-owned enterprise, that provides export credit insurance to our contract manufacturers. From time to time, our contract manufacturers have experienced reductions in the availability of such credit from Sinosure as a result of our failure to timely pay them. While we currently believe our contract manufacturers have insurance at levels that we believe are sufficient to fund our operations, there can be no assurance that such insurance will be available at levels we require for our business, or at all, whether or not we make timely payments to our vendors, which would have a material adverse effect on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Company has cash deposits at financial institutions in excess of the insured amount of $0.3 million by the Federal Deposit Insurance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efforts to grow our business through new products, marketplace and geographic expansion may not be successful and may place a significant strain on our management and operational, financial and other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long-term success depends on our ability to develop and commercialize a continuing stream of new products, to expand both to new marketplaces and geographies and to leverage new technologies we may incorporate into our business. We have entered and expect to continue to enter new product categories and both new marketplaces and geographies for which we have limited or no experience. In part we rely on Amazon’s global reviews program for success in our international expansion. If that program were to be limited, reduced or discontinued, our international expansion would be negatively affected. We also in part rely on our ability to include new products as variations to existing listings on Amazon. If that strategy were no longer possible for whatever reason, our ability to launch new products could be materially affected. That strategy could also have unanticipated or unexpected negative consequences. Our efforts to grow our business place significant strain on our management, personnel, operations, systems, financial resources, and internal financial control and reporting functions, among other things. We have limited personnel and resources and have reduced headcount significantly in recent years. In order to accomplish our growth goals, our team is required to focus on such growth ventures and reallocate their time and other resources, creating risk in all aspects of our business. We face the risk that we will be unable to disrupt incumbents and that our competitors will introduce new and better products that compete with us. There are numerous uncertainties inherent in successfully developing and commercializing new products on a continuing basis and new product launches may not deliver expected growth in sales or operating results. Any new product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it may have an adverse effect on our business, operating results, financial condition, and cash flows. Our failure to successfully execute on our growth initiatives can negatively impact our financial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unsuccessful in making investments, unable to make or unsuccessful in integrating acquisitions or in maintaining or growing the financial performance of any investees or acquired businesses which may adversely affect our business and operating results and could impact the price of our common stock and result in dilution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acquired a number of companies, and we may in the future acquire or invest in or enter into joint ventures with additional companies. Such acquisitions have in the past required, and in the future may require, the attention of management in integrating those businesses including increased attention to managing the supply chain of certain acquisitions. In addition, we have been required to in the past, and may be required to in the future, make significant impairment charges relating to the goodwill and intangible assets of such acquired businesses. The market for acquisitions has historically been highly competitive. Our growth strategy may be adversely affected if we face increased competition for or fail to identify suitable targets. In addition, pursuing or completing any such acquisitions or investments could divert management’s attention, and otherwise disrupt our operations and adversely affect our operating results, financial condition, and cash flows. Any acquisition or investment, if not favorably received by consumers, shareholders, analysts, and others in the investment community, could have a material adverse effect on the price of our common stock. In addition, any acquisition involves numerous risks, including: failing to identify problems during due diligence, liabilities or other shortcomings or challenges that could cause a target to under-perform post-closing; difficulties in the assimilation of the operations, technologies, products, and personnel associated with the acquisition and unanticipated expenses related to such integration; challenges in integrating distribution channels; diversion of management's attention from other business concerns; difficulties in transitioning and preserving customer, contractor, supplier, and other important third-party relationships; challenges realizing anticipated cost savings, synergies and other benefits; the potential impairment of tangible and intangible assets and goodwill; risks of entering markets in which we have no or limited experience; risks associated with subsequent losses including potential unknown liabilities associated with a company we acquire; and problems retaining key personnel. We provide no assurances that we will be able to complete any acquisitions or that any acquired businesses will experience the same or better level of financial performance as prior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complete any future acquisitions, we may need to use our cash on hand, raise additional equity or incur or assume debt, any of which could harm our business. Given the Company’s current market capitalization, certain of these options may not be available or only be available on unfavorable terms and could result in significant additional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ability to use our net operating losses to offset future taxable income may be subject to certain limitations.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$269.3 million net operating loss carryforwards as of December 31, 2025,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 assets available to us. For these reasons, we may not be able to realize a tax benefit from the use of our NOLs, even if we attain profitability. We have not performed a detailed analysis to determine whether an ownership change under Section 382 of the Code has occurred. The effect of a Section 382 ownership change would be the imposition of an annual limitation on the use of net operating loss carryforwards attributable to periods before the change. Any limitation may result in expiration of all, or a portion of the NOLs or other tax attributes, before utilization.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IRS is currently conducting an examination of our U.S. federal income tax return for the 2023 fiscal year. While we believe our tax positions and the resulting net operating losses reported for that period are supportable, the final outcome of this examination is uncertain. Any adverse adjustments resulting from this audit could significantly reduce our available net operating loss carryforwards or other tax attributes, which would limit our ability to offset future taxable income and could have a material adverse effect on our financial condition.</w:t>
      </w:r>
    </w:p>
    <w:p>
      <w:pPr>
        <w:pStyle w:val="TextBody"/>
        <w:bidi w:val="0"/>
        <w:spacing w:before="0" w:after="0"/>
        <w:ind w:left="0" w:right="0" w:hanging="0"/>
        <w:jc w:val="righ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b/>
          <w:i/>
          <w:caps w:val="false"/>
          <w:smallCaps w:val="false"/>
          <w:sz w:val="20"/>
        </w:rPr>
        <w:t>We have recently undergone a management change and reevaluated various aspects of our business including but not limited to a reduction in the number of products we sell, a change in our technology infrastructure and a cost and a fixed cost reduction plan including a reduction in workforce;</w:t>
      </w:r>
      <w:r>
        <w:rPr>
          <w:rFonts w:ascii="Times New Roman" w:hAnsi="Times New Roman"/>
          <w:i/>
          <w:caps w:val="false"/>
          <w:smallCaps w:val="false"/>
          <w:sz w:val="20"/>
        </w:rPr>
        <w:t> </w:t>
      </w:r>
      <w:r>
        <w:rPr>
          <w:rFonts w:ascii="Times New Roman" w:hAnsi="Times New Roman"/>
          <w:b/>
          <w:i/>
          <w:caps w:val="false"/>
          <w:smallCaps w:val="false"/>
          <w:sz w:val="20"/>
        </w:rPr>
        <w:t>each of which, individually or in the aggregate, could have a material impact on our results of operations, financial condition,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has undergone significant leadership transitions and a fundamental shift in our operating model that may adversely affect our results of operations and financial condition. Since July 2023, we have experienced several changes in our executive leadership, including the resignation of our founding CEO , a period of Co-CEO leadership , and the eventual appointment of Arturo Rodriguez as our sole CEO in June 2024. More recently, our Chief Technology Officer resigned effective November 3, 2025. In connection with these transitions, we have rationalized our product offering to focus on the more profitable categories and completed the move from a proprietary technology infrastructure to a model that relies entirely on third-party tools and marketplace data.  We have also significantly reduced our workforce to align with our current scale. Managing these leadership vacancies while navigating a smaller organizational structure entails numerous risks, including potential operational disruptions, a decline in profitability, and negative impacts on employee morale. These changes may also divert management’s attention from other business concerns, which could have a material adverse effect on our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our products experience any recalls, product liability claims, or government, customer or consumer concerns about product safety, our reputation and operating results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products are subject to regulation by the U.S. Consumer Product Safety Commission (the “CPSC”) and similar state and international regulatory authorities, and these products sold on our platform could be subject to involuntary recalls and other actions by these authorities. Concerns about product safety including concerns about the safety of products manufactured in developing countries, could lead us to recall selected products. Recalls and government, customer or consumer concerns about product safety could harm our reputation and reduce sales, either of which could have a material adverse effect on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 Furthermore, these developments could damage the reputation of the PurSteam brand, leading to a loss of consumer trust and a permanent decline in revenue for this product 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subject to product liability claims if people or property are harmed by the products we sell. Some of the products we sell may expose us to product liability claims and litigation (including class actions) or regulatory action relating to safety, personal injury, and death or environmental or property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maintain liability insurance, we cannot be certain that our coverage will be adequate for liabilities actually incurred or that insurance will continue to be available to us on economically reasonable terms, or at all. In general, our agreements with members of our supply chain do not indemnify us from product liability for a particular product, and some members of our supply chain may not have sufficient resources or insurance to satisfy their indemnity and defense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Any failure by us or our vendors to comply with product safety, consumer protection or other laws, or our standard vendor terms and conditions, or to provide safe factory conditions for our or their workers may damage our reputation and brand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products we sell to our clients are subject to regulation by the CPSC, the Federal Trade Commission (“FTC”) and similar state and international regulatory authorities. As a result, such products could be in the future subject to recalls and other remedial actions, including the manner in which we market our products. Product safety or labeling concerns may require us to voluntarily remove selected merchandise from our inventory. Such recalls or voluntary removal of merchandise can result in, among other things, suspension of our seller accounts on Amazon and other online marketplaces, lost sales, diverted resources, potential harm to our reputation and increased client service costs and legal expenses, which could have a material adverse effect on our operating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of the products we sell may expose us to product liability claims and litigation or regulatory action relating to personal injury or environmental or property damage. Although we maintain liability insurance and have implemented a quality assurance program that includes obtaining necessary certifications, we cannot be certain that our coverage will be adequate for liabilities actually incurred or that insurance will continue to be available to us on economically reasonable terms or at all. In addition, our agreements with our vendors in general do not indemnify us from product liability for a particular vendor’s products or our vendors may not have sufficient resources or insurance to satisfy their indemnity and defense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process of evaluating strategic alternatives may be disruptive to our business and may not result in a transaction or other strategic outcome.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December 8, 2025, our Board of Directors announced a formal process to evaluate a range of strategic alternatives aimed at maximizing shareholder value, which may include a potential sale of assets, a merger, a business combination, or other strategic transactions. There can be no assurance that this evaluation process will result in any definitive offer or transaction, or that any transaction, if pursued, will be consummated on favorable terms or at all. The process of exploring these alternatives is time-consuming and involves significant costs, including legal, accounting, and advisory fees, which we will incur regardless of the eventual outcome. This process may also divert the attention of our senior management and key personnel from our day-to-day operations and the execution of our long-term business strategy, including our omni-channel expansion and product development goals. Furthermore, the uncertainty regarding our future ownership or corporate structure may impair our ability to attract, retain, and motivate qualified employees, or may cause our customers, vendors, and strategic partners to delay or defer decisions to do business with us. Such uncertainty could also lead to increased volatility in the market price of our common stock as a result of market speculation or rumors. If we are unable to successfully complete a strategic transaction that creates value for our stockholders, or if the process itself results in significant operational disruptions or loss of key personnel, our business, financial condition, and results of operations could be materially and adversely affected.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attract, retain or motivate key personnel,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Further, the Company recently announced a restructuring whereby a number of employee positions with the Company were terminated, which could have a negative effect on our ability to retain and motivate our personnel. Additionally, the uncertainty resulting from our announcement that we are exploring strategic alternatives may create significant anxiety regarding our future direction and ownership, which could lead to increased employee attrition and further hinder our ability to attract and motivate key personnel. Each of our executive officers, key personnel and other employees could terminate their employment relationship with us at any time. Moreover, we rely on stock-based compensation as a method to attract, retain and motivate our employees. If our common stock continues to be volatile or depressed, we may be unable to attract, retain and motivate employees, and if this occurs, it could have a material adverse effect on our business, operating results, financial condition, and cash flows. We do not currently maintain key person life insurance policies on any member of our senior management team or any other key employees.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Relating to Information and Cyber Security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rely on data provided by third parties and any loss, reduction in access or increased costs related thereto of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a combination of technologies in various aspects of our business including for new product launches, forecasting, fulfillment and the automation of sales and marketing of our products, among other things. Our ability to successfully use our technology depends to a large extent on our ability to analyze and utilize data, including search engine results, provided by unaffiliated third parties, primarily, Google and Amazon. In the future, these third parties could change their data sharing policies, including making them more restrictive or expensive, or could alter their algorithms, any of which could result in the loss of, or significant impairment to, our ability to analyze useful data. These third parties could also interpret our service providers’ data collection policies or practices as being inconsistent with their policies, which could result in the loss of our ability to collect and use this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operating results, financial condition, and cash flows could be adversely impacted if our information technology systems or those of third-parties become subject to a data security breach, are disrupted or cease to operate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rely heavily on information technology systems to operate our business and we collect, maintain, transmit and store sensitive data including data about our consumers. We also engage and rely upon third parties who engage in the same activities on our behalf. Accordingly, it is vital to maintain constant operation of these systems and to maintain cybersecurity. Our systems and those of third parties that we use in our operations are vulnerable to security risks, including from viruses and worms, phishing attacks, social engineering, hacking, distributed denial-of-service attacks, ransomware, and similar disruptions from the unauthorized tampering with our servers and computer systems or those of third parties that we use in our operations, which could lead to interruptions, delays, loss of critical and sensitive data, and loss of consumer confidence. In addition, insider actors-malicious or otherwise-could cause technical disruptions and/or confidential data leakage. In addition, if a ransomware attack or other cybersecurity incident occurs, either internally or at our third-party technology service providers, we could be prevented from accessing our data or systems, which may cause interruptions or delays in our business operations, cause us to incur material remediation costs, and could subject us to demands to pay a ransom or damage our reputation. Our failure to prevent or mitigate data loss, theft, misuse, or other security breaches or vulnerabilities affecting our or our vendors’ technology and systems, could: expose us or our customers to a risk of loss, disclosure, or misuse of such information; result in litigation, fines, liability, or regulatory action (including under laws related to privacy, data use, data protection, data security, network security, and consumer protection); deter customers from using our stores to buy our products; and harm our business, operating results, financial condition and reputation. We use third party technology and systems for a variety of reasons, including, without limitation, encryption and authentication technology, employee email, content delivery to customers, back-office support, hosting, payment processing and other functions. Despite our security efforts, some of our systems have experienced past security breaches, and, although they did not have a material adverse effect on our operations or financial results, there can be no assurance that future incidents, which we expect to have, will not have material adverse effects on our business, operating results or financial condition. The Company’s adoption of remote working, initially driven by the pandemic, may also introduce additional threats or disruptions to our information technology networks and infrastructure. Although we have developed systems and processes that we believe are reasonably designed to protect customer data and prevent such incidents, including systems and processes designed to reduce the impact of a security breach at a third-party vendor or customer, such measures cannot provide absolute security and may fail to operate as intended or be circumvented. In addition, our insurance may not provide sufficient coverage to compensate for related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we use open source software in our technology platform and our other sophisticated information technologies and systems, and we expect to continue to use open source software in the future. 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 our sites and systems that rely on open source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information technology systems and those of our third parties may be vulnerable from time to time to damage, interruptions and other technical malfunctions including but not limited to breaches, human error, power outages, telecommunication or utility failures, systems failures, natural disasters or other catastrophic events. In addition, growth in our transaction volume or surges in online traffic place additional demands on our systems and could cause or exacerbate slowdowns or interruptions. If any such systems are damaged, or fail to function properly, we may have to make monetary investments to repair or replace the systems and could endure delays in operations. From time to time, we have experienced disruptions to our systems and we expect to continue to experience disruptions. Any material disruption or slowdown of such systems, including the failure to successfully upgrade systems, could have a material impact on many aspects of our operations including our ability to operate on e-commerce marketplaces. Such a loss or delay could have a material adverse impact on our business, operating results, financial condition, and cash flows. Our systems are not fully redundant and our disaster recovery planning may not be sufficient.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Company’s use of artificial intelligence technologies may not achieve intended results and could expose us to operational, competitive, regulatory, and reputational risks that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increasingly subject to risks associated with third-party artificial intelligence technologies and algorithmic dependencies. While we have made use of Generative AI in areas such as customer service and software development, our completed transition to a model relying entirely on third-party tools has made us disproportionately dependent on external, AI-driven algorithms for search optimization and advertising. These third-party AI systems often function as 'black boxes,' and any updates or shifts in the underlying models used by marketplaces like Amazon or search engines like Google could suddenly de-prioritize our product listings or increase our customer acquisition costs without notice. Furthermore, as competitors increasingly adopt more effective AI-based solutions or use Generative AI to create high volumes of synthetic marketing content and automated product reviews, our 'social proof' and market share could be diluted. There can be no assurance that these third-party AI initiatives will be successful or that they will not lead to unintended consequences that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Marketplaces are increasingly deploying AI-powered shopping agents, such as Amazon's Rufus, which change the way products are discovered and recommended to consumers. These AI agents utilize proprietary algorithms that may prioritize different data points than traditional search results. If our products are not optimized for these AI agents, or if the agents' recommendations favor competitors or marketplace-owned brands, our organic traffic and sales could decline substantially.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development, implementation, and oversight of AI technologies involve complexities and potential challenges. Errors, biases, or flaws in AI algorithms, whether developed internally or provided by third parties, could result in inaccurate responses to customers, poor user experiences, or inappropriate or misleading content. These issues could negatively impact our brand reputation, customer trust, and overall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AI is an area of rapid technological advancement and evolving competition. Other e-commerce companies may adopt or develop more effective AI-based solutions, which could place us at a competitive disadvantage. Moreover, the legal and regulatory landscape surrounding AI continues to develop. Emerging laws or regulations could impose new compliance obligations, require changes to how we deploy or monitor AI, or result in unforeseen costs or operational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rely in part on third-party vendors that integrate AI into the tools and services they provide to us. Because we may have limited visibility or control over these systems, any technical errors, data privacy issues, or regulatory noncompliance by such vendors could negatively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these factors, whether related to internal AI use, reliance on third-party systems, competitive developments, or regulatory changes, could materially and adversely affect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Relating to the Litigation and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Claims, litigation, government investigations, product liability and recalls, and other proceedings may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from time to time, involved in various claims, litigation matters and regulatory proceedings that could have a material adverse effect on us. These matters may include personal injury and other tort claims, deceptive trade practice disputes, intellectual property disputes, product recalls, contract disputes, employment and tax matters and other proceedings and litigation, including class actions lawsuits. It is not possible to predict the outcome of pending or future litigation and any such claims, with or without merit, could be time consuming and expensive, and may require the Company to incur substantial costs and divert the resources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exposure to product liability and other claims in the event that one of our products is alleged to have resulted in property damage, bodily injury or other adverse effects. In addition, if we are required to, or voluntarily, repair, replace or refund one or more of our products, it could have a material impact on our business, operating results,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financial condition, and cash flows. In addition, it is possible that a resolution of any claim, including as a result of a settlement, could require us to make substantial future payments, prevent us from offering certain products or services, or require us to change our business practices each of which could have a material adverse effect on our business, operating results, financial condition, and cash flows.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must successfully manage compliance with current and expanding laws and regulations, as well as manage new and pending legal and regulatory matters in the U.S. and abroad.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in the ordinary course of our business, in the U.S. and internationally, to many statutes, ordinances, rules and regulations that, if violated by us or the third parties we work with, could have a material adverse effect on our business, operating results, financial condition, and cash flows. These laws and regulations include but are not limited to accounting and financial reporting, advertising, anti-bribery and anti-corruption, consumer protection, data security and privacy, electronic commerce, employment, intellectual property, product liability, and trade (including tariffs). In addition, increasing governmental and societal attention to environmental, social and governance (ESG) matters, including expanding mandatory and voluntary reporting, diligence and disclosure on topics such as climate change, waste production, water usage, human capital, labor and risk oversight, could expand the nature, scope and complexity of matters that we are required to control, assess and report, each of which can be challenging given our reliance on third party suppliers. These and other rapidly changing laws, regulations, policies and related interpretations as well as increased enforcement actions by various governmental and regulatory agencies, create challenges for us, including our compliance and ethics programs, may alter the environment in which we do business and may increase the ongoing costs of compliance, which could adversely impact our business, operating results, financial condition, and cash flows. If we are unable to continue to meet these challenges and to comply with all laws, regulations, policies and related interpretations, it could negatively impact our reputation and our business, operating results, financial condition, and cash flows. Additionally, we may in the future be subject to inquiries, investigations, claims, proceedings and requests for information from governmental agencies or private parties, the adverse outcomes of which could harm our business. Failure to successfully manage these new or pending regulatory and legal matters and to resolve such matters without significant liability or damage to our reputation may materially adversely impact our operating results, financial condition, and cash flows. Furthermore, if new legal or regulatory matters result in fines or costs in excess of the amounts accrued to date, that may also materially impact our operating results and financial position.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government trade actions could have a material adverse effect on our business, financial position,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 the past several years, the U.S. government has taken a number of trade actions that impact or could impact our operations, including imposing tariffs on certain goods imported into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Throughout 2025, the U.S. trade environment underwent a period of unprecedented volatility characterized by the implementation of a broad “reciprocal” tariff regime. Utilizing the International Emergency Economic Powers Act (IEEPA), the administration imposed steep duties on nearly all imported goods, including a baseline 10% global tariff and targeted rates on major trading partners like China that reached historic highs before a late-year temporary truce. These actions were compounded by expanded Section 232 duties on industrial metals and the elimination of “de minimis” exemptions for low-value imports, significantly increasing our landed costs and requiring frequent adjustments to our pricing and sourcing strategies. While these measures were the primary drivers of trade policy for much of the year, their legal foundation remained a point of intense litigation until early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February 20, 2026, the U.S. Supreme Court ruled in </w:t>
      </w:r>
      <w:r>
        <w:rPr>
          <w:rFonts w:ascii="Times New Roman" w:hAnsi="Times New Roman"/>
          <w:i/>
          <w:caps w:val="false"/>
          <w:smallCaps w:val="false"/>
          <w:sz w:val="20"/>
        </w:rPr>
        <w:t>Learning Resources Inc. v. Trump</w:t>
      </w:r>
      <w:r>
        <w:rPr>
          <w:rFonts w:ascii="Times New Roman" w:hAnsi="Times New Roman"/>
          <w:caps w:val="false"/>
          <w:smallCaps w:val="false"/>
          <w:sz w:val="20"/>
        </w:rPr>
        <w:t xml:space="preserve"> that the International Emergency Economic Powers Act does not authorize the President to impose sweeping revenue-raising tariffs. While this decision invalidated several broad reciprocal tariffs previously in effect, the administration immediately transitioned to imposing a 10% baseline tariff under Section 122 of the Trade Act of 1974, effective February 24, 2026. These Section 122 tariffs are subject to a 150-day limit unless extended by Congress. Significant uncertainty remains regarding whether Congress will approve such extensions or if the administration will seek alternative, more restrictive statutory authorities. Any failure to maintain these exemptions or the imposition of new, higher duties could materially increase our cost of goods sold and decrease our profit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tariff actions, along with the potential for retaliatory measures, create uncertainty and may increase our product costs, disrupt our supply chain, and adversely affect our competitive position. In particular, continued or escalated trade and political tensions with China or other key trading partners could result in retaliatory restrictions that impair our ability to source products and components from contract manufacturers or service providers operating in those countries. Any sustained increase in tariffs, or the imposition of additional trade barriers,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tariff measures described above, changes in U.S. or foreign trade policy may create ongoing uncertainty in international trade relations. Future actions by the United States or other governments — including the imposition, increase, or extension of tariffs, quotas, or other trade restrictions, or changes to existing trade agreements or policies — could occur at any time and without notice. Any such actions, whether unilateral or in response to geopolitical or economic developments, could reduce demand for our products, increase our costs, disrupt our supply chain, reduce our profitability, or otherwise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continually evaluating the impact of the current and any possible new tariffs on our supply chain, costs and sales and are considering strategies to mitigate such impact, including reviewing sourcing options and working with our suppliers. We can provide no assurance that any strategies we implement to mitigate the impact of such tariffs or other trade actions will be successful or that any newly sourced products will be of the same quality of those previously sourced elsewhere. Given the uncertainty regarding the scope and duration of these trade actions by the U.S. government or other countries, as well as the potential for additional trade actions, the impact on our operations and results remains uncertain.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Relating to the Ownership of our Common Stock</w:t>
      </w:r>
    </w:p>
    <w:p>
      <w:pPr>
        <w:pStyle w:val="TextBody"/>
        <w:bidi w:val="0"/>
        <w:spacing w:lineRule="auto" w:line="24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i/>
          <w:caps w:val="false"/>
          <w:smallCaps w:val="false"/>
          <w:sz w:val="20"/>
        </w:rPr>
        <w:t xml:space="preserve">We are a "smaller reporting company" and the reduced disclosure requirements applicable to smaller reporting companies may make it more difficult to compare our performance with other public companies and make our common stock less attractive to 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 affiliates exceeds $700 million as of the prior June 30. To the extent we take advantage of such reduced disclosure obligations, it may also make comparisons of our consolidated financial statement with other public companies difficult or impossible.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market price and trading volume of our common stock may fluctuate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 price and trading volume of our common stock has at times experienced substantial price volatility. There has been, and we expect will continue to be, significant volatility in the market price and trading volume of our common stock. In certain instances, these fluctuations have been unrelated or disproportionate to our operating performance, financial condition, and cash flows. In addition, the market price of our common stock may be, and we believe has been, significantly impacted by investors covering large short positions in our common stock. In addition, there are many other factors that have caused and may continue to cause the market price of our common stock to fluctuate, including: our announcement of our Board’s temporary suspension of our share repurchase program, actual or anticipated variations in our quarterly operating results, or the operating results, financial condition, and cash flows of companies perceived to be similar to us; deterioration and decline in general economic, industry and/or market conditions; changes in estimates of our financial results or recommendations by equity research analysts, including any decision by equity research analysts to initiate or discontinue coverage; announcements by us or our competitors of significant acquisitions, strategic alliances or joint ventures; and changes in our capital structure, such as future issuances of securities or the incurrence of additional debt.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limited by our ability to raise the funding we need to support our growth or to maintain our existing business. Also, such funding may be available only by diluting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of our business depends in part on our ability to invest significant resources in various aspects of our business. To support our business growth, we will likely require additional funds to maintain and grow our business and to respond to business challenges. Accordingly, from time to time we may need to engage in equity or debt financings to secure additional funds. If we raise additional funds through issuances of equity or convertible debt securities, that would result in significant dilution to our existing stockholders, and any new equity securities we issue could have rights, preferences and privileges superior to those of holders of our common stock. Any debt we may incur may negatively impact our business, financial condition and operating results. We have in the past and may in the future incur debt that allows us to repay such debt using our common stock, which could result in significant dilution. Further, we may not be able to obtain additional financing on terms favorable to us, or at all, whether due to issues related to the Company or unrelated to the Company including but not limited to bank failures. If we are unable to obtain adequate financing or financing on terms satisfactory to us, when we require it, our ability to grow or to respond to business challenges would be significantly limited, and our business could fail or our operating results, financial condition, and cash flows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acquire the financing needed in order to pursue future acquisitions or similar transactions or we may not be able to raise sufficient equity or equity-like capital without first seeking stockholder approval, which could limit our ability to complete such financing, or to complete any related transaction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sales of our common stock by our insiders, or the perception that these sales may occur, may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employees, directors and officers, and their affiliates, hold substantial amounts of shares of our common stock which is granted as a portion of their compensation. Sales by these stockholders, or the perception that such sales will occur, may cause the market price of our common stock to decline. Other than our stock ownership guidelines and our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 Our employees, officers and directors periodically sell shares of common stock to cover tax liabilities from prior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sales and issuances of our capital stock, or the perception that such sales may occur,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Future sales and issuances of our capital stock or rights to purchase our capital stock could result in substantial dilution to our existing stockholders. We may sell common stock, convertible securities and other debt or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 In addition, we issue to our employees equity awards under our equity incentive plans which could be material in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existing stockholders sell large numbers of shares of our common stock, or the public market perceives that those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is no guarantee of a continuing public market for you to resell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no guarantee that we will continue to meet all requirements for continued listing on the Nasdaq Capital Market. We must continue to satisfy Nasdaq’s continued listing requirements, including, among other things, a minimum closing bid price requirement of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24, 2023,the Company received a notice from The Nasdaq Stock Market LLC (“Nasdaq”) indicating that, based upon the closing bid price of the Company’s common stock, par value $0.0001 per share (“Common Stock”), for the last 30 consecutive business days, the Company was not currently in compliance with the requirement to maintain a minimum bid price of $1.00 per share for continued listing on The Nasdaq Capital Market, as set forth in Nasdaq Listing Rule 5550(a)(2) (the “Bid Price Notice”). In response to the potential risk of delisting, the Company’s stockholders approved granting the Board discretionary authority to implement a reverse stock split, and on March 20, 2024, the Company effected a 1-for-12 reverse stock split of its common stock. The Company subsequently regained compliance with Nasdaq’s minimum bid price requirement in April 2024, and the matter was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9, 2025, the Company received a notice from Nasdaq indicating that, based upon the closing bid price of the Company’s common stock, par value $0.0001 per share, for the last 30 consecutive business days, the Company is not currently in compliance with the requirement to maintain a minimum bid price of $1.00 per share for continued listing on The Nasdaq Capital Market, as set forth in Nasdaq Listing Rule 5550(a)(2).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Bid Price Notice has no immediate effect on the continued listing status of the Common Stock on The Nasdaq Capital Market, and, therefore, the Company's listing remains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future, if our Common Stock fails to regain the minimum closing bid price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10"/>
        <w:gridCol w:w="606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left"/>
              <w:rPr/>
            </w:pPr>
            <w:r>
              <w:rPr/>
              <w:t>limited availability of market quotations for our Common Stock;</w:t>
            </w:r>
          </w:p>
        </w:tc>
      </w:tr>
    </w:tbl>
    <w:tbl>
      <w:tblPr>
        <w:tblW w:w="5275" w:type="dxa"/>
        <w:jc w:val="left"/>
        <w:tblInd w:w="0" w:type="dxa"/>
        <w:tblLayout w:type="fixed"/>
        <w:tblCellMar>
          <w:top w:w="0" w:type="dxa"/>
          <w:left w:w="0" w:type="dxa"/>
          <w:bottom w:w="0" w:type="dxa"/>
          <w:right w:w="0" w:type="dxa"/>
        </w:tblCellMar>
      </w:tblPr>
      <w:tblGrid>
        <w:gridCol w:w="60"/>
        <w:gridCol w:w="110"/>
        <w:gridCol w:w="510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pPr>
            <w:r>
              <w:rPr/>
              <w:t>a limited amount of news and analyst coverage for us;</w:t>
            </w:r>
          </w:p>
        </w:tc>
      </w:tr>
    </w:tbl>
    <w:tbl>
      <w:tblPr>
        <w:tblW w:w="9310" w:type="dxa"/>
        <w:jc w:val="left"/>
        <w:tblInd w:w="0" w:type="dxa"/>
        <w:tblLayout w:type="fixed"/>
        <w:tblCellMar>
          <w:top w:w="0" w:type="dxa"/>
          <w:left w:w="0" w:type="dxa"/>
          <w:bottom w:w="0" w:type="dxa"/>
          <w:right w:w="0" w:type="dxa"/>
        </w:tblCellMar>
      </w:tblPr>
      <w:tblGrid>
        <w:gridCol w:w="60"/>
        <w:gridCol w:w="110"/>
        <w:gridCol w:w="91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pPr>
            <w:r>
              <w:rPr/>
              <w:t>a decreased ability for us to issue additional securities or obtain additional financing in the future;</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pPr>
            <w:r>
              <w:rPr/>
              <w:t>limited liquidity for our stockholders due to thin trading; and</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potential loss of confidence by investors and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proposed Nasdaq minimum market value rule could result in the immediate suspension and delisting of our common stock without a cure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13, 2026, Nasdaq filed a proposed rule change with the SEC (File No. SR-NASDAQ-2026-004) that would establish a new continued listing requirement. Under the proposal, companies listed on the Nasdaq Global and Capital Markets would be required to maintain a minimum Market Value of Listed Securities (“MVLS”) of at least $5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rule is approved and we fail to maintain a $5 million MVLS for a period of 30 consecutive business days, our common stock would be subject to immediate suspension and delisting. Unlike other Nasdaq listing deficiencies, such as the $1.00 minimum bid price requirement, which typically allows for a 180-day compliance period, the proposed rule does not provide for a cure or compliance period. Furthermore, the proposal specifies that any appeal of a delisting determination under this rule would not stay the suspension of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our common stock is delisted from Nasdaq, it would likely trade on the over-the-counter (“OTC”) market. Such a move could:</w:t>
      </w:r>
    </w:p>
    <w:p>
      <w:pPr>
        <w:pStyle w:val="TextBody"/>
        <w:bidi w:val="0"/>
        <w:spacing w:before="0" w:after="0"/>
        <w:ind w:left="0" w:right="0" w:hanging="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110"/>
        <w:gridCol w:w="594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Significantly reduce the liquidity and market price of our common stock;</w:t>
            </w:r>
          </w:p>
        </w:tc>
      </w:tr>
    </w:tbl>
    <w:tbl>
      <w:tblPr>
        <w:tblW w:w="6220" w:type="dxa"/>
        <w:jc w:val="left"/>
        <w:tblInd w:w="0" w:type="dxa"/>
        <w:tblLayout w:type="fixed"/>
        <w:tblCellMar>
          <w:top w:w="0" w:type="dxa"/>
          <w:left w:w="0" w:type="dxa"/>
          <w:bottom w:w="0" w:type="dxa"/>
          <w:right w:w="0" w:type="dxa"/>
        </w:tblCellMar>
      </w:tblPr>
      <w:tblGrid>
        <w:gridCol w:w="60"/>
        <w:gridCol w:w="110"/>
        <w:gridCol w:w="605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Limit our ability to raise additional capital through the issuance of equity;</w:t>
            </w:r>
          </w:p>
        </w:tc>
      </w:tr>
    </w:tbl>
    <w:tbl>
      <w:tblPr>
        <w:tblW w:w="6145" w:type="dxa"/>
        <w:jc w:val="left"/>
        <w:tblInd w:w="0" w:type="dxa"/>
        <w:tblLayout w:type="fixed"/>
        <w:tblCellMar>
          <w:top w:w="0" w:type="dxa"/>
          <w:left w:w="0" w:type="dxa"/>
          <w:bottom w:w="0" w:type="dxa"/>
          <w:right w:w="0" w:type="dxa"/>
        </w:tblCellMar>
      </w:tblPr>
      <w:tblGrid>
        <w:gridCol w:w="60"/>
        <w:gridCol w:w="110"/>
        <w:gridCol w:w="597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 in a loss of confidence by investors, suppliers, and employees;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Make our stock subject to “penny stock” rules, which impose additional burdens on broker-dealers and further restrict secondary market trading.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can be no assurance that the SEC will not approve this rule or that we will be able to maintain a market capitalization sufficient to comply with these new requirements. Any such delisting would have a material adverse effect on our financial condition and the value of your investment.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bookmarkStart w:id="5" w:name="unresolvedstaffcomments"/>
      <w:bookmarkEnd w:id="5"/>
      <w:r>
        <w:rPr>
          <w:rFonts w:ascii="Times New Roman" w:hAnsi="Times New Roman"/>
          <w:b/>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6" w:name="cybersecurity"/>
      <w:bookmarkEnd w:id="6"/>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1C.</w:t>
      </w:r>
      <w:r>
        <w:rPr>
          <w:rFonts w:ascii="Times New Roman" w:hAnsi="Times New Roman"/>
          <w:b/>
          <w:caps w:val="false"/>
          <w:smallCaps w:val="false"/>
          <w:sz w:val="20"/>
        </w:rPr>
        <w:t xml:space="preserve">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processes in place for assessing, identifying, and managing material risks from potential unauthorized occurrences on or through our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prevent, detect, or mitigate data loss, theft, misuse, unauthorized access, or other security incidents or vulnerabilities affecting the data. The data includes confidential, proprietary, and business and personal information that we collect, process, store, and transmit as part of our business, including on behalf of third parties. We also use systems and processes designed to reduce the impact of a security incident at a third-party vendor or customer, including assessment and monitoring of security standards and control procedures for external suppliers and vendors, with enhanced engagement or internal controls depending on the results of the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we use processes to oversee and identify material risks from cybersecurity threats associated with our use of third-party technology and systems, including: technology and systems we use for encryption and authentication; employee email; content delivery to customers; back-office support; and other functions. As part of our risk management process, we conduct application security assessments, vulnerability management, security audits, and ongoing risk assessments. We also maintain a variety of incident response plans that are utilized when incidents are detected. We require employees with access to information systems, including all corporate employees, to undertake data protection and cybersecurity training and compliance programs annually. We have a unified and centrally coordinated team, led by our Chief Executive Officer, that is responsible for implementing and maintaining centralized cybersecurity and data protection practices at Aterian in close coordination with senior leadership and other teams across Aterian. In addition to our in-house cybersecurity capabilities, at times we also engage assessors, consultants, auditors, or other third parties to assist with assessing, identifying, and managing cybersecurity risks. These third parties also consult on best practices to address new challenges upon request. Our cybersecurity risks and associated mitigations are evaluated by senior leadership, including as part of our risk assessments that are reviewed by the Audit Committee and our Board of Directors. As of the date of this report, the Company is not aware of any material risks from cybersecurity threats that have materially affected or are reasonably likely to materially affect the Company, including its business strategy, results of operations, or financial condition. Despite the extensive approach we take to cybersecurity, we may not be successful in preventing or mitigating a cybersecurity incident that could have a material adverse effect on the Company or its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Additional information about cybersecurity risks we face is discussed in Item </w:t>
      </w:r>
      <w:r>
        <w:rPr>
          <w:rStyle w:val="Emphasis"/>
          <w:rFonts w:ascii="Times New Roman" w:hAnsi="Times New Roman"/>
          <w:caps w:val="false"/>
          <w:smallCaps w:val="false"/>
          <w:sz w:val="20"/>
        </w:rPr>
        <w:t>1A</w:t>
      </w:r>
      <w:r>
        <w:rPr>
          <w:rFonts w:ascii="Times New Roman" w:hAnsi="Times New Roman"/>
          <w:caps w:val="false"/>
          <w:smallCaps w:val="false"/>
          <w:sz w:val="20"/>
        </w:rPr>
        <w:t xml:space="preserve"> of Part I, “Risk Factors,” under the heading “Risks Related to Information and Cyber Security,” which should be read in conjunction with the information above. The Audit Committee, which is comprised of independent directors, oversees our policies and procedures for protecting our cybersecurity infrastructure and for compliance with applicable data protection and security regulations, and related risks. The Audit Committee receives reports regarding such risks from management and any updates are reported to the Board at least quarterly. The Audit Committee also oversees the Board’s response to any significant cybersecurity incidents.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7" w:name="item2"/>
      <w:bookmarkEnd w:id="7"/>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our principal place of business and corporate headquarters was our Summit, New Jersey office which is leased on a month-to-month basis. Our UK office is a building we own, and our China office is leased for a term of one year expiring in September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other offices are either shared workspaces or leases with a short-term commitment (month to month).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item3"/>
      <w:bookmarkEnd w:id="8"/>
      <w:r>
        <w:rPr>
          <w:rFonts w:ascii="Times New Roman" w:hAnsi="Times New Roman"/>
          <w:b/>
          <w:caps w:val="false"/>
          <w:smallCaps w:val="false"/>
          <w:sz w:val="20"/>
        </w:rPr>
        <w:t xml:space="preserve">Item 3.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9" w:name="item4"/>
      <w:bookmarkEnd w:id="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partII"/>
      <w:bookmarkEnd w:id="10"/>
      <w:r>
        <w:rPr>
          <w:rFonts w:ascii="Times New Roman" w:hAnsi="Times New Roman"/>
          <w:b/>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5"/>
      <w:bookmarkEnd w:id="11"/>
      <w:r>
        <w:rPr>
          <w:rFonts w:ascii="Times New Roman" w:hAnsi="Times New Roman"/>
          <w:b/>
          <w:caps w:val="false"/>
          <w:smallCaps w:val="false"/>
          <w:sz w:val="20"/>
        </w:rPr>
        <w:t>Item 5. Market for Registrant</w:t>
      </w:r>
      <w:r>
        <w:rPr>
          <w:rFonts w:ascii="Times New Roman" w:hAnsi="Times New Roman"/>
          <w:caps w:val="false"/>
          <w:smallCaps w:val="false"/>
          <w:sz w:val="20"/>
        </w:rPr>
        <w:t>’</w:t>
      </w:r>
      <w:r>
        <w:rPr>
          <w:rFonts w:ascii="Times New Roman" w:hAnsi="Times New Roman"/>
          <w:b/>
          <w:caps w:val="false"/>
          <w:smallCaps w:val="false"/>
          <w:sz w:val="20"/>
        </w:rPr>
        <w:t xml:space="preserve">s Common Equity, Related Stockholder Matters and Issuer Purchases of Equity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common stock is traded on the Nasdaq Capital Market under the symbol “ATER”.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there were approximately 99 holders of record of our common stock. Many shares of common stock are held by brokerage firms, banks, and other financial institutions as nominees for beneficial owners. Accordingly, we are unable to estimate the total number of stockholders represented by these record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dividends on our capital stock. We intend to retain any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after considering our financial condition, results of operations, capital requirements, business prospects and other factors our board of directors or such committee deems relevant, and subject to the restrictions contained in our current or future financing instruments. Pursuant to the Credit Agreement, dated as of December 22, 2021 and amended as of February 23, 2024, with Midcap Funding IV Trust as Agent (“MidCap”) and the lenders party thereto, we are restricted from declaring any dividends or other distributions, subject to exceptions for certain of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12 of Part III of this Annual Report regarding information about securities authorized for issuance under our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14, 2025, the Board of Directors authorized a share repurchase program to acquire up to $3.0 million of the Company’s 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has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 As of May 2, 2025, the Company had temporarily suspended its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item6"/>
      <w:bookmarkEnd w:id="12"/>
      <w:r>
        <w:rPr>
          <w:rFonts w:ascii="Times New Roman" w:hAnsi="Times New Roman"/>
          <w:b/>
          <w:caps w:val="false"/>
          <w:smallCaps w:val="false"/>
          <w:sz w:val="20"/>
        </w:rPr>
        <w:t>Item 6. Reserved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3" w:name="item7"/>
      <w:bookmarkEnd w:id="13"/>
      <w:r>
        <w:rPr>
          <w:rFonts w:ascii="Times New Roman" w:hAnsi="Times New Roman"/>
          <w:b/>
          <w:caps w:val="false"/>
          <w:smallCaps w:val="false"/>
          <w:sz w:val="20"/>
        </w:rPr>
        <w:t>Item 7. 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of our financial condition and results of operations contains forward-looking statements that involve a number of risks, uncertainties and assumptions. Actual events or results may differ materially from our expectations. Important factors that could cause actual results to differ materially from those stated or implied by our forward-looking statements include, but are not limited to, those set forth in Part I, </w:t>
      </w:r>
      <w:r>
        <w:rPr>
          <w:rFonts w:ascii="Times New Roman" w:hAnsi="Times New Roman"/>
          <w:caps w:val="false"/>
          <w:smallCaps w:val="false"/>
          <w:sz w:val="20"/>
        </w:rPr>
        <w:t>“</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this Annual Report. All forward-looking statements included in this Annual Report are based on information available to us as of the time we file this Annual Report and, except as required by law, we undertake no obligation to update publicly or revise any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We generate revenue primarily through the online sales of our various consumer products with substantially all of our sales being made through the Amazon U.S.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Seasonality of Business and Product Mix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Operations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Revenue</w:t>
      </w:r>
      <w:r>
        <w:rPr>
          <w:rFonts w:ascii="Times New Roman" w:hAnsi="Times New Roman"/>
          <w:caps w:val="false"/>
          <w:smallCaps w:val="false"/>
          <w:sz w:val="20"/>
        </w:rPr>
        <w:t>—We derive our revenue from the sale of consumer products, primarily in the U.S. We sell products directly to consumers through online retail channels and through wholesale channels. Direct-to-consumer sales (i.e., direct net revenue), which is currently the majority of our revenue, is done through various online retail channels. We sell on Amazon.com, Walmart.com, Target.com and our own websites, with the large majority of our sales being made through Amazon.com. For all of our sales and distribution channels, revenue is recognized when control of the product is transferred to the customer (i.e., when our performance obligation is satisfied), which typically occurs at the shipment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Cost of Goods Sold</w:t>
      </w:r>
      <w:r>
        <w:rPr>
          <w:rFonts w:ascii="Times New Roman" w:hAnsi="Times New Roman"/>
          <w:caps w:val="false"/>
          <w:smallCaps w:val="false"/>
          <w:sz w:val="20"/>
        </w:rPr>
        <w:t>—Cost of goods sold consists of the book value of inventory sold to customers during the reporting period. Book value of inventory 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2025, the U.S. government announced a series of new tariff policies affecting imports from several countries, including China. While these actions impact a range of global trade flows, the new tariffs targeting imports from China are the most significant for our business. As a result of these tariffs, we experienced an increase in our cost of goods sold during the year ended December 31, 2025. In response, we implemented targeted price increases across affected product categories to partially offset the higher input costs. These pricing actions, however, contributed to a decline in unit volumes as consumer demand responded to the higher retail prices. We have implemented a range of mitigation strategies to address the impact of these tariffs on our supply chain and margins. These efforts include diversifying sourcing outside of China, renegotiating supplier terms, redesigning certain products to reduce tariff exposure, and implementing selective price increases where appropriate. We continue to evaluate additional structural and operational measures to further reduce tariff-related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and Distribution Expenses</w:t>
      </w:r>
      <w:r>
        <w:rPr>
          <w:rFonts w:ascii="Times New Roman" w:hAnsi="Times New Roman"/>
          <w:caps w:val="false"/>
          <w:smallCaps w:val="false"/>
          <w:sz w:val="20"/>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cash and stock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and Administrative Expenses</w:t>
      </w:r>
      <w:r>
        <w:rPr>
          <w:rFonts w:ascii="Times New Roman" w:hAnsi="Times New Roman"/>
          <w:caps w:val="false"/>
          <w:smallCaps w:val="false"/>
          <w:sz w:val="20"/>
        </w:rPr>
        <w:t>—General and administrative expenses include cash and stock compensation and employee benefits for executive management, finance administration, legal, technology, and human resources, facility costs, insurance, travel, professional service fees, and other general overhead costs, including the costs of being a public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 Expense, Net</w:t>
      </w:r>
      <w:r>
        <w:rPr>
          <w:rFonts w:ascii="Times New Roman" w:hAnsi="Times New Roman"/>
          <w:caps w:val="false"/>
          <w:smallCaps w:val="false"/>
          <w:sz w:val="20"/>
        </w:rPr>
        <w:t>—Interest expense, net includes the interest cost from our credit facility and term loans, and includes amortization of deferred finance costs and debt discounts from our credit facility (the “Credit Facility”) with MidCap Funding IV Trust (“MidCap”).</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results of operations for the years ended December 31, 2025 and 2024, together with the changes in those items in dollars and percentage:</w:t>
      </w:r>
    </w:p>
    <w:p>
      <w:pPr>
        <w:pStyle w:val="TextBody"/>
        <w:bidi w:val="0"/>
        <w:spacing w:before="0" w:after="0"/>
        <w:ind w:left="0" w:right="0" w:hanging="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350"/>
        <w:gridCol w:w="60"/>
        <w:gridCol w:w="189"/>
        <w:gridCol w:w="985"/>
        <w:gridCol w:w="80"/>
        <w:gridCol w:w="60"/>
        <w:gridCol w:w="189"/>
        <w:gridCol w:w="985"/>
        <w:gridCol w:w="80"/>
        <w:gridCol w:w="60"/>
        <w:gridCol w:w="125"/>
        <w:gridCol w:w="650"/>
        <w:gridCol w:w="80"/>
        <w:gridCol w:w="60"/>
        <w:gridCol w:w="60"/>
        <w:gridCol w:w="485"/>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88"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distribution(1)</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administrative(1)</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Impairment loss on intangibles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245"/>
        <w:gridCol w:w="522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 stock-based compensation expense as follows:</w:t>
            </w:r>
          </w:p>
        </w:tc>
      </w:tr>
    </w:tbl>
    <w:p>
      <w:pPr>
        <w:pStyle w:val="TextBody"/>
        <w:bidi w:val="0"/>
        <w:spacing w:before="0" w:after="0"/>
        <w:ind w:left="0" w:right="0" w:hanging="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350"/>
        <w:gridCol w:w="60"/>
        <w:gridCol w:w="240"/>
        <w:gridCol w:w="934"/>
        <w:gridCol w:w="60"/>
        <w:gridCol w:w="60"/>
        <w:gridCol w:w="240"/>
        <w:gridCol w:w="934"/>
        <w:gridCol w:w="60"/>
        <w:gridCol w:w="60"/>
        <w:gridCol w:w="129"/>
        <w:gridCol w:w="566"/>
        <w:gridCol w:w="80"/>
        <w:gridCol w:w="60"/>
        <w:gridCol w:w="60"/>
        <w:gridCol w:w="440"/>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2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0" w:right="0" w:hanging="0"/>
        <w:jc w:val="left"/>
        <w:rPr>
          <w:caps w:val="false"/>
          <w:smallCaps w:val="false"/>
        </w:rPr>
      </w:pPr>
      <w:r>
        <w:rPr>
          <w:caps w:val="false"/>
          <w:smallCaps w:val="false"/>
        </w:rPr>
        <w:t> </w:t>
      </w:r>
    </w:p>
    <w:tbl>
      <w:tblPr>
        <w:tblW w:w="6308" w:type="dxa"/>
        <w:jc w:val="left"/>
        <w:tblInd w:w="0" w:type="dxa"/>
        <w:tblLayout w:type="fixed"/>
        <w:tblCellMar>
          <w:top w:w="0" w:type="dxa"/>
          <w:left w:w="0" w:type="dxa"/>
          <w:bottom w:w="0" w:type="dxa"/>
          <w:right w:w="0" w:type="dxa"/>
        </w:tblCellMar>
      </w:tblPr>
      <w:tblGrid>
        <w:gridCol w:w="3350"/>
        <w:gridCol w:w="60"/>
        <w:gridCol w:w="128"/>
        <w:gridCol w:w="1046"/>
        <w:gridCol w:w="245"/>
        <w:gridCol w:w="60"/>
        <w:gridCol w:w="128"/>
        <w:gridCol w:w="1046"/>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Impairment loss on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by Product Categories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our net revenue disaggregated by product categories:</w:t>
      </w:r>
    </w:p>
    <w:p>
      <w:pPr>
        <w:pStyle w:val="TextBody"/>
        <w:bidi w:val="0"/>
        <w:spacing w:before="0" w:after="0"/>
        <w:ind w:left="0" w:right="0" w:hanging="0"/>
        <w:jc w:val="both"/>
        <w:rPr>
          <w:caps w:val="false"/>
          <w:smallCaps w:val="false"/>
        </w:rPr>
      </w:pPr>
      <w:r>
        <w:rPr>
          <w:caps w:val="false"/>
          <w:smallCaps w:val="false"/>
        </w:rPr>
        <w:t> </w:t>
      </w:r>
    </w:p>
    <w:tbl>
      <w:tblPr>
        <w:tblW w:w="5303" w:type="dxa"/>
        <w:jc w:val="left"/>
        <w:tblInd w:w="0" w:type="dxa"/>
        <w:tblLayout w:type="fixed"/>
        <w:tblCellMar>
          <w:top w:w="0" w:type="dxa"/>
          <w:left w:w="0" w:type="dxa"/>
          <w:bottom w:w="0" w:type="dxa"/>
          <w:right w:w="0" w:type="dxa"/>
        </w:tblCellMar>
      </w:tblPr>
      <w:tblGrid>
        <w:gridCol w:w="995"/>
        <w:gridCol w:w="60"/>
        <w:gridCol w:w="204"/>
        <w:gridCol w:w="970"/>
        <w:gridCol w:w="60"/>
        <w:gridCol w:w="60"/>
        <w:gridCol w:w="204"/>
        <w:gridCol w:w="970"/>
        <w:gridCol w:w="60"/>
        <w:gridCol w:w="60"/>
        <w:gridCol w:w="125"/>
        <w:gridCol w:w="650"/>
        <w:gridCol w:w="80"/>
        <w:gridCol w:w="60"/>
        <w:gridCol w:w="60"/>
        <w:gridCol w:w="440"/>
        <w:gridCol w:w="24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$30.1 million, or 30.4%, during the year ended December 31, 2025 to $69.0 million, compared to $99.1 million for the year ended December 31, 2024. The decrease in net revenue was primarily attributable to a decrease in direct net revenue of $31.6 million, or 32.4%, related to the newly implemented tariffs which increased our cost of goods sold, prompting us to raise prices to mitigate the impact. These pricing actions, combined with the broader challenging macroeconomic environment, led to a reduction in unit volume as consumer demand softened at elevated price levels. </w:t>
      </w:r>
    </w:p>
    <w:p>
      <w:pPr>
        <w:pStyle w:val="TextBody"/>
        <w:bidi w:val="0"/>
        <w:spacing w:before="0" w:after="0"/>
        <w:ind w:left="0" w:right="0" w:hanging="0"/>
        <w:jc w:val="left"/>
        <w:rPr>
          <w:caps w:val="false"/>
          <w:smallCaps w:val="false"/>
        </w:rPr>
      </w:pPr>
      <w:r>
        <w:rPr>
          <w:caps w:val="false"/>
          <w:smallCaps w:val="false"/>
        </w:rPr>
        <w:t> </w:t>
      </w:r>
    </w:p>
    <w:tbl>
      <w:tblPr>
        <w:tblW w:w="5608" w:type="dxa"/>
        <w:jc w:val="left"/>
        <w:tblInd w:w="0" w:type="dxa"/>
        <w:tblLayout w:type="fixed"/>
        <w:tblCellMar>
          <w:top w:w="0" w:type="dxa"/>
          <w:left w:w="0" w:type="dxa"/>
          <w:bottom w:w="0" w:type="dxa"/>
          <w:right w:w="0" w:type="dxa"/>
        </w:tblCellMar>
      </w:tblPr>
      <w:tblGrid>
        <w:gridCol w:w="3020"/>
        <w:gridCol w:w="60"/>
        <w:gridCol w:w="204"/>
        <w:gridCol w:w="970"/>
        <w:gridCol w:w="60"/>
        <w:gridCol w:w="60"/>
        <w:gridCol w:w="204"/>
        <w:gridCol w:w="970"/>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26,398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22,521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Every category of business had a reduction in sales compared to the prior year primarily related to the newly implemented tariffs which increased our cost of goods sold, prompting us to raise prices to mitigate the impact. These pricing actions, combined with the broader challenging macroeconomic environment, led to a reduction in unit volume as consumer demand softened at elevated price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p>
      <w:pPr>
        <w:pStyle w:val="TextBody"/>
        <w:bidi w:val="0"/>
        <w:spacing w:before="0" w:after="0"/>
        <w:ind w:left="0" w:right="0" w:hanging="0"/>
        <w:jc w:val="left"/>
        <w:rPr>
          <w:caps w:val="false"/>
          <w:smallCaps w:val="false"/>
        </w:rPr>
      </w:pPr>
      <w:r>
        <w:rPr>
          <w:caps w:val="false"/>
          <w:smallCaps w:val="false"/>
        </w:rPr>
        <w:t> </w:t>
      </w:r>
    </w:p>
    <w:tbl>
      <w:tblPr>
        <w:tblW w:w="5843" w:type="dxa"/>
        <w:jc w:val="left"/>
        <w:tblInd w:w="0" w:type="dxa"/>
        <w:tblLayout w:type="fixed"/>
        <w:tblCellMar>
          <w:top w:w="0" w:type="dxa"/>
          <w:left w:w="0" w:type="dxa"/>
          <w:bottom w:w="0" w:type="dxa"/>
          <w:right w:w="0" w:type="dxa"/>
        </w:tblCellMar>
      </w:tblPr>
      <w:tblGrid>
        <w:gridCol w:w="1535"/>
        <w:gridCol w:w="60"/>
        <w:gridCol w:w="204"/>
        <w:gridCol w:w="970"/>
        <w:gridCol w:w="60"/>
        <w:gridCol w:w="60"/>
        <w:gridCol w:w="204"/>
        <w:gridCol w:w="970"/>
        <w:gridCol w:w="60"/>
        <w:gridCol w:w="60"/>
        <w:gridCol w:w="125"/>
        <w:gridCol w:w="650"/>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by $7.7 million to $29.8 million for the year ended December 31, 2025 from $37.6 million for the year ended December 31, 2024 primarily from reduced sales volume. The decrease in cost of goods sold was primarily attributable to a decrease of $9.5 million in cost of goods sold from our direct businesses, partially offset by an increase of $1.8 million in cost of goods sold from our wholesale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decreased to 56.8% for the year ended December 31, 2025 from 62.1% for the year ended December 31, 2024. The decrease in gross profit was due primarily to product mix, as well as higher cost of goods sold resulting from the impact of newly implemented tariffs, partially offset by the benefit of price increases taken to mitigate these costs. During the year ended December 31, 2025, the Company accrued approximately $0.4 million for estimated costs associated with a product recall and related remediation activities involving certain houseware appliances that the Company ceased selling during the year ended December 31, 2024. These costs are included in cost of goods sold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p>
      <w:pPr>
        <w:pStyle w:val="TextBody"/>
        <w:bidi w:val="0"/>
        <w:spacing w:before="0" w:after="0"/>
        <w:ind w:left="0" w:right="0" w:hanging="0"/>
        <w:jc w:val="left"/>
        <w:rPr>
          <w:caps w:val="false"/>
          <w:smallCaps w:val="false"/>
        </w:rPr>
      </w:pPr>
      <w:r>
        <w:rPr>
          <w:caps w:val="false"/>
          <w:smallCaps w:val="false"/>
        </w:rPr>
        <w:t> </w:t>
      </w:r>
    </w:p>
    <w:tbl>
      <w:tblPr>
        <w:tblW w:w="6878" w:type="dxa"/>
        <w:jc w:val="left"/>
        <w:tblInd w:w="0" w:type="dxa"/>
        <w:tblLayout w:type="fixed"/>
        <w:tblCellMar>
          <w:top w:w="0" w:type="dxa"/>
          <w:left w:w="0" w:type="dxa"/>
          <w:bottom w:w="0" w:type="dxa"/>
          <w:right w:w="0" w:type="dxa"/>
        </w:tblCellMar>
      </w:tblPr>
      <w:tblGrid>
        <w:gridCol w:w="2570"/>
        <w:gridCol w:w="60"/>
        <w:gridCol w:w="204"/>
        <w:gridCol w:w="970"/>
        <w:gridCol w:w="60"/>
        <w:gridCol w:w="60"/>
        <w:gridCol w:w="204"/>
        <w:gridCol w:w="970"/>
        <w:gridCol w:w="60"/>
        <w:gridCol w:w="60"/>
        <w:gridCol w:w="125"/>
        <w:gridCol w:w="650"/>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variable expenses which included e-commerce platform commissions, online advertising and logistics expenses, decreased to $41.5 million for the year ended December 31, 2025 from $56.0 million for the year ended December 31, 2024. This decrease is primarily attributable to the decrease in the volume of products sold during the year ended December 31, 2025, as our ecommerce platform commissions, online advertising, selling and logistics expenses decreased to $32.4 million during the year ended December 31, 2025 as compared to $44.6 million in the prior year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sales and distribution fixed costs (e.g., salary and office expenses) including stock-based compensation decreased to $9.0 million for the year ended December 31, 2025, from $11.4 million for the year ended December 31, 2024. This decrease is primarily attributable to lower stock-compensation expense of $1.4 million, lower headcount expense of $1.3 million, and lower miscellaneous expenses of $0.6 million, partially offset by higher restructuring costs of $0.9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net revenue, sales and distribution expenses increased to 60.1% for the year ended December 31, 2025, from 56.5% for the year ended December 31, 2024. E-commerce platform commissions, online advertising, selling and logistics expenses included within sales and distribution expenses, as a percentage of net revenue, were 47.0% for the year ended December 31, 2025 as compared to 45.0% for the year ended December 31, 2024. This increase in sales and distribution expenses as a percentage of revenue is primarily due to product mix and an increase in marketing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2990"/>
        <w:gridCol w:w="60"/>
        <w:gridCol w:w="204"/>
        <w:gridCol w:w="970"/>
        <w:gridCol w:w="60"/>
        <w:gridCol w:w="60"/>
        <w:gridCol w:w="204"/>
        <w:gridCol w:w="970"/>
        <w:gridCol w:w="60"/>
        <w:gridCol w:w="60"/>
        <w:gridCol w:w="129"/>
        <w:gridCol w:w="566"/>
        <w:gridCol w:w="80"/>
        <w:gridCol w:w="60"/>
        <w:gridCol w:w="60"/>
        <w:gridCol w:w="440"/>
        <w:gridCol w:w="24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83"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decrease in general and administrative expenses was primarily the result of a decrease of $4.0 million in stock-compensation expense, a decrease of $1.6 million in headcount expense, and a decrease of $0.4 million in other miscellaneous costs, partially offset by an increase of $0.5 million in restructuring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1670"/>
        <w:gridCol w:w="60"/>
        <w:gridCol w:w="318"/>
        <w:gridCol w:w="856"/>
        <w:gridCol w:w="60"/>
        <w:gridCol w:w="60"/>
        <w:gridCol w:w="318"/>
        <w:gridCol w:w="856"/>
        <w:gridCol w:w="60"/>
        <w:gridCol w:w="60"/>
        <w:gridCol w:w="209"/>
        <w:gridCol w:w="486"/>
        <w:gridCol w:w="80"/>
        <w:gridCol w:w="60"/>
        <w:gridCol w:w="60"/>
        <w:gridCol w:w="440"/>
        <w:gridCol w:w="245"/>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83"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decrease in interest expense, net of $0.1 million is primarily related to a decrease in interest expense of $0.3 million due to lower average borrowings and a decrease in interest income of $0.2 million compared to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Impairment loss on intangibles</w:t>
      </w:r>
    </w:p>
    <w:p>
      <w:pPr>
        <w:pStyle w:val="TextBody"/>
        <w:bidi w:val="0"/>
        <w:spacing w:before="0" w:after="0"/>
        <w:ind w:left="0" w:right="0" w:hanging="0"/>
        <w:jc w:val="left"/>
        <w:rPr>
          <w:caps w:val="false"/>
          <w:smallCaps w:val="false"/>
        </w:rPr>
      </w:pPr>
      <w:r>
        <w:rPr>
          <w:caps w:val="false"/>
          <w:smallCaps w:val="false"/>
        </w:rPr>
        <w:t> </w:t>
      </w:r>
    </w:p>
    <w:tbl>
      <w:tblPr>
        <w:tblW w:w="6602" w:type="dxa"/>
        <w:jc w:val="left"/>
        <w:tblInd w:w="0" w:type="dxa"/>
        <w:tblLayout w:type="fixed"/>
        <w:tblCellMar>
          <w:top w:w="0" w:type="dxa"/>
          <w:left w:w="0" w:type="dxa"/>
          <w:bottom w:w="0" w:type="dxa"/>
          <w:right w:w="0" w:type="dxa"/>
        </w:tblCellMar>
      </w:tblPr>
      <w:tblGrid>
        <w:gridCol w:w="2525"/>
        <w:gridCol w:w="60"/>
        <w:gridCol w:w="249"/>
        <w:gridCol w:w="970"/>
        <w:gridCol w:w="60"/>
        <w:gridCol w:w="60"/>
        <w:gridCol w:w="395"/>
        <w:gridCol w:w="824"/>
        <w:gridCol w:w="60"/>
        <w:gridCol w:w="60"/>
        <w:gridCol w:w="137"/>
        <w:gridCol w:w="602"/>
        <w:gridCol w:w="80"/>
        <w:gridCol w:w="335"/>
        <w:gridCol w:w="18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ind w:left="0" w:right="0" w:hanging="0"/>
              <w:jc w:val="left"/>
              <w:rPr/>
            </w:pPr>
            <w:r>
              <w:rPr/>
              <w:t> </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17"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2025, the Company announced that its Board of Directors had initiated a process to explore strategic alternatives to maximize shareholder value. This announcement constituted a triggering event under ASC 350,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Accordingly, the Company recorded a non-cash impairment charge of approximately $3.8 million during the fourth quarter of 2025. The impairment charge is included within impairment loss on intangibles on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value of warrant liabilities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3350"/>
        <w:gridCol w:w="60"/>
        <w:gridCol w:w="282"/>
        <w:gridCol w:w="893"/>
        <w:gridCol w:w="80"/>
        <w:gridCol w:w="60"/>
        <w:gridCol w:w="282"/>
        <w:gridCol w:w="893"/>
        <w:gridCol w:w="80"/>
        <w:gridCol w:w="60"/>
        <w:gridCol w:w="188"/>
        <w:gridCol w:w="507"/>
        <w:gridCol w:w="60"/>
        <w:gridCol w:w="60"/>
        <w:gridCol w:w="60"/>
        <w:gridCol w:w="380"/>
        <w:gridCol w:w="18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25"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2025 and 2024 activity is related to the change in fair value of the warrant liabilities from the common stock warrants from our March 2022 equity raise of capital. The change in fair value of warrant liabilities during the year ended December 31, 2025 primarily relates to the reduced share price compared to the prior period.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 for Years-Ended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our cash flows for the years-ended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6863" w:type="dxa"/>
        <w:jc w:val="left"/>
        <w:tblInd w:w="0" w:type="dxa"/>
        <w:tblLayout w:type="fixed"/>
        <w:tblCellMar>
          <w:top w:w="0" w:type="dxa"/>
          <w:left w:w="0" w:type="dxa"/>
          <w:bottom w:w="0" w:type="dxa"/>
          <w:right w:w="0" w:type="dxa"/>
        </w:tblCellMar>
      </w:tblPr>
      <w:tblGrid>
        <w:gridCol w:w="4235"/>
        <w:gridCol w:w="60"/>
        <w:gridCol w:w="189"/>
        <w:gridCol w:w="985"/>
        <w:gridCol w:w="80"/>
        <w:gridCol w:w="60"/>
        <w:gridCol w:w="218"/>
        <w:gridCol w:w="956"/>
        <w:gridCol w:w="80"/>
      </w:tblGrid>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used in financing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(4,914</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on cash</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change in cash and restricted cash for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Cash (Used in) Provided by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was $10.9 million for the year ended December 31, 2025, primarily driven by net cash losses from operations of $10.8 million and a $0.1 million outflow from changes in working capital, mainly related to changes in accounts receivable, purchases of inventory, and payments of accounts payable.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was $2.2 million for the year ended December 31, 2024, resulting primarily from our net cash losses from operations of $6.0 million, offset by an inflow from working capital of $8.2 million from changes in accounts receivable, purchases of inventory and payments of accounts payable. The working capital benefit primarily relates to a decrease in inventory due to a reduction in purchases for the period.</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$0.1 million for the year ended December 31, 2025, primarily related to the purchase of fixed assets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$0.2 million for the year ended December 31, 2024, resulting primarily from the purchase of a minority equity investment in 4th and Heart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Cash Used in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December 31, 2025, cash used in financing activities of $2.5 million primarily from the net repayments for our MidCap credit facility of $2.9 million and repayment of notes payable of $0.1 million, partially offset by net proceeds from insurance financing of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December 31, 2024, cash used in financing activities of $4.9 million primarily from the net repayments for our MidCap credit facility of $4.3 million and repayment of seller notes of $0.6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Liquidity and Going Concern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profitability,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reduced consumer spending, and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2025 results have been impacted by recent changes to U.S. trade policy, including the imposition and expansion of tariffs on imports, specifically from China. A substantial portion of our products are sourced from China, and as such, the increased tariff rates have materially raised our cost of goods sold and have placed pressure on our margins. While we have actively pursued mitigation strategies, including supplier negotiations, selective price adjustments, geographic diversification of sourcing and fixed cost reductions, 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may adversely impact our liquidity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the accompanying Consolidated Financial Statements were issued (the “issuance date”), we evaluated the significance of the following adverse financial conditions in accordance with Accounting Standard Codification 205-40, Going Concern: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jc w:val="left"/>
              <w:rPr/>
            </w:pPr>
            <w:r>
              <w:rPr/>
              <w:t xml:space="preserve">• </w:t>
            </w:r>
          </w:p>
          <w:p>
            <w:pPr>
              <w:pStyle w:val="TableContents"/>
              <w:bidi w:val="0"/>
              <w:spacing w:before="0" w:after="0"/>
              <w:ind w:left="0" w:right="0" w:hanging="0"/>
              <w:jc w:val="left"/>
              <w:rPr/>
            </w:pPr>
            <w:r>
              <w:rPr/>
              <w:t> </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Since our inception, we have incurred significant losses and used cash flows from operations to fund our enterprise. In this regard, during the year ended December 31, 2025, we incurred a net loss of $19.0 million and used net cash flows from operations of $10.9 million. In addition, as of December 31, 2025, we had unrestricted cash and cash equivalents of $4.9 million available to fund our operations and an accumulated deficit of $730.7 million.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We are required to remain in compliance with certain financial covenants required by the MidCap Credit facility (See Note 9, </w:t>
            </w:r>
            <w:r>
              <w:rPr>
                <w:rFonts w:ascii="Times New Roman" w:hAnsi="Times New Roman"/>
                <w:i/>
                <w:sz w:val="20"/>
              </w:rPr>
              <w:t>Credit Facility, Term Loans and Warrants</w:t>
            </w:r>
            <w:r>
              <w:rPr>
                <w:rFonts w:ascii="Times New Roman" w:hAnsi="Times New Roman"/>
                <w:sz w:val="20"/>
              </w:rPr>
              <w:t>). We were in compliance with these financial covenants as of December 31, 2025, and expect to remain in compliance through at least March 31, 2027. However, if our mitigation strategies to address the impact of tariffs are unsuccessful, we can provide no assurances that we will remain in compliance with our financial covenants.</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2"/>
        <w:gridCol w:w="10008"/>
      </w:tblGrid>
      <w:tr>
        <w:trPr/>
        <w:tc>
          <w:tcPr>
            <w:tcW w:w="75"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jc w:val="left"/>
              <w:rPr/>
            </w:pPr>
            <w:r>
              <w:rPr/>
              <w:t xml:space="preserve">• </w:t>
            </w:r>
          </w:p>
          <w:p>
            <w:pPr>
              <w:pStyle w:val="TableContents"/>
              <w:bidi w:val="0"/>
              <w:spacing w:before="0" w:after="0"/>
              <w:ind w:left="0" w:right="0" w:hanging="0"/>
              <w:jc w:val="both"/>
              <w:rPr/>
            </w:pPr>
            <w:r>
              <w:rPr/>
              <w:t> </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the issuance date, we have no firm commitments to secure additional outside capital from lenders or investors. While we expect to continue to explore raising additional outside capital,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0"/>
        <w:gridCol w:w="10010"/>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xml:space="preserve">• </w:t>
            </w:r>
          </w:p>
          <w:p>
            <w:pPr>
              <w:pStyle w:val="TableContents"/>
              <w:bidi w:val="0"/>
              <w:spacing w:before="0" w:after="0"/>
              <w:ind w:left="0" w:right="0" w:hanging="0"/>
              <w:jc w:val="both"/>
              <w:rPr/>
            </w:pPr>
            <w:r>
              <w:rPr/>
              <w:t> </w:t>
            </w:r>
          </w:p>
        </w:tc>
        <w:tc>
          <w:tcPr>
            <w:tcW w:w="100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On May 14, 2025, the Company announced a fixed cost reduction plan, which included a workforce reduction affecting approximately 20 employees. The Company has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 </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In January 2026, the Company implemented a fixed cost reduction plan that included a workforce reduction affecting approximately 16 employees and independent contractors. The Company expects to substantially complete this reduction by the end of the first quarter of 2026. The Company expects to recognize restructuring charges in connection with the plan, primarily related to severance, of $0.3 million. The Company expects the charges will be recognized and paid in the first quarter of 2026.</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On December 8, 2025, we announced that our Board of Directors has authorized the initiation of a process to explore strategic alternatives to maximize shareholder value, which may include a sale of the company, a merger, or other strategic transactions. There can be no assurance that this process will result in any transaction or that any transaction, if pursued, will be on favorable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Nasdaq Listing</w:t>
      </w:r>
      <w:r>
        <w:rPr>
          <w:rFonts w:ascii="Times New Roman" w:hAnsi="Times New Roman"/>
          <w:caps w:val="false"/>
          <w:smallCaps w:val="false"/>
          <w:sz w:val="20"/>
        </w:rPr>
        <w:t>—On December 9, 2025, Aterian, Inc. (the “Company”) received a letter from the Listing Qualifications Staff of The Nasdaq Stock Market LLC (“Nasdaq”) 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Bid Price Notice has no immediate effect on the continued listing status of the Common Stock on The Nasdaq Capital Market, and, therefore, the Company's listing remains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MidCap Credit Facility</w:t>
      </w:r>
      <w:r>
        <w:rPr>
          <w:rFonts w:ascii="Times New Roman" w:hAnsi="Times New Roman"/>
          <w:caps w:val="false"/>
          <w:smallCaps w:val="false"/>
          <w:sz w:val="20"/>
        </w:rPr>
        <w:t>—On December 22, 2021, we entered into a Credit Facility with MidCap, pursuant to which, 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16,667 shares of our common stock, in exchange for the Lenders extending loans and other extensions of credit to us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Prior to the February 2024 amendment, the Credit Facility contained a financial covenant that required us to maintain a minimum unrestricted cash balance of (a) $12.5 million during the period from February 1st through and including May 31st of each calendar year, and (b) $15.0 million at all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outstanding balance on the MidCap credit facility as of December 31, 2025 and December 31, 2024 was $4.3 million and $6.9 million, respectively. The Company had $0.2 million availability on the Midcap credit facility as of December 31, 2025. We are in compliance with the financial covenants contained within the Credit Agreement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Share Repurchase</w:t>
      </w:r>
      <w:r>
        <w:rPr>
          <w:rFonts w:ascii="Times New Roman" w:hAnsi="Times New Roman"/>
          <w:caps w:val="false"/>
          <w:smallCaps w:val="false"/>
          <w:sz w:val="20"/>
        </w:rPr>
        <w:t>—On March 14, 2025, the Board of Directors authorized a share repurchase program to acquire up to $3.0 million of the Company’s 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has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 As of May 2, 2025, the Company had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Trade Policy—</w:t>
      </w:r>
      <w:r>
        <w:rPr>
          <w:rFonts w:ascii="Times New Roman" w:hAnsi="Times New Roman"/>
          <w:caps w:val="false"/>
          <w:smallCaps w:val="false"/>
          <w:sz w:val="20"/>
        </w:rPr>
        <w:t>During 2025, the U.S. government announced a series of new tariff policies affecting imports from several countries, including China. While these actions impact a range of global trade flows, the new tariffs targeting imports from China are the most significant for our business. As a result of these tariffs, we experienced an increase in our cost of goods sold during the year ended December 31, 2025. In response, we implemented targeted price increases across affected product categories to partially offset the higher input costs. These pricing actions, however, contributed to a decline in unit volumes as consumer demand responded to the higher retail prices. We have implemented a range of mitigation strategies to address the impact of these tariffs on our supply chain and margins. These efforts include diversifying sourcing outside of China, renegotiating supplier terms, redesigning certain products to reduce tariff exposure, and implementing selective price increases where appropriate. We have implemented a range of mitigation strategies to address the impact of these tariffs on our supply chain and margins. These efforts include diversifying sourcing outside of China, renegotiating supplier terms, redesigning certain products to reduce tariff exposure, and implementing selective price increases where appropriate. We continue to evaluate additional structural and operational measures to further reduce tariff-related exposure.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Open Inventory Purchase Orders</w:t>
      </w:r>
      <w:r>
        <w:rPr>
          <w:rFonts w:ascii="Times New Roman" w:hAnsi="Times New Roman"/>
          <w:caps w:val="false"/>
          <w:smallCaps w:val="false"/>
          <w:sz w:val="20"/>
        </w:rPr>
        <w:t>—As of December 31, 2025 and 2024, the Company had open inventory purchase orders of $2.9 million and $9.2 million, respectively, placed with vendors waiting to be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financial statements and the other financial data included in this Annual Report have been prepared in a manner that complies, in all material respects, with generally accepted accounting principles in the U.S. (“GAAP”). However, for the reasons discussed below, we have presented certain non-GAAP measures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warrant liabilities, impairment on intangibles, product remediation costs, restructuring expenses,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and general administrative expenses). By excluding these fixed costs, we believe this allows users of our financial statements to understand our products performance and allows them to measure our products performance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that EBITDA, Adjusted EBITDA and Adjusted EBITDA as a percentage of net revenue, have limitations as analytical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example, neither EBITDA nor Adjusted EBITDA reflects:</w:t>
      </w:r>
    </w:p>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110"/>
        <w:gridCol w:w="81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capital expenditures or future requirements for capital expenditures or mergers and acquisitions;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interest expense or the cash requirements necessary to service interest expense or principal payments, associated with indebtedness;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and amortization, which are non-cash charges, although the assets being depreciated and amortized will likely have to be replaced in the future, or any cash requirements for the replacement of assets;</w:t>
            </w:r>
          </w:p>
        </w:tc>
      </w:tr>
    </w:tbl>
    <w:p>
      <w:pPr>
        <w:pStyle w:val="TextBody"/>
        <w:bidi w:val="0"/>
        <w:spacing w:before="0" w:after="0"/>
        <w:ind w:left="0" w:right="0" w:hanging="0"/>
        <w:jc w:val="both"/>
        <w:rPr/>
      </w:pPr>
      <w:r>
        <w:rPr/>
        <w:t> </w:t>
      </w:r>
    </w:p>
    <w:tbl>
      <w:tblPr>
        <w:tblW w:w="5245" w:type="dxa"/>
        <w:jc w:val="left"/>
        <w:tblInd w:w="0" w:type="dxa"/>
        <w:tblLayout w:type="fixed"/>
        <w:tblCellMar>
          <w:top w:w="0" w:type="dxa"/>
          <w:left w:w="0" w:type="dxa"/>
          <w:bottom w:w="0" w:type="dxa"/>
          <w:right w:w="0" w:type="dxa"/>
        </w:tblCellMar>
      </w:tblPr>
      <w:tblGrid>
        <w:gridCol w:w="60"/>
        <w:gridCol w:w="110"/>
        <w:gridCol w:w="50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cash requirements for our working capital needs; or</w:t>
            </w:r>
          </w:p>
        </w:tc>
      </w:tr>
    </w:tbl>
    <w:p>
      <w:pPr>
        <w:pStyle w:val="TextBody"/>
        <w:bidi w:val="0"/>
        <w:spacing w:before="0" w:after="0"/>
        <w:ind w:left="0" w:right="0" w:hanging="0"/>
        <w:jc w:val="both"/>
        <w:rPr/>
      </w:pPr>
      <w:r>
        <w:rPr/>
        <w:t> </w:t>
      </w:r>
    </w:p>
    <w:tbl>
      <w:tblPr>
        <w:tblW w:w="2575" w:type="dxa"/>
        <w:jc w:val="left"/>
        <w:tblInd w:w="0" w:type="dxa"/>
        <w:tblLayout w:type="fixed"/>
        <w:tblCellMar>
          <w:top w:w="0" w:type="dxa"/>
          <w:left w:w="0" w:type="dxa"/>
          <w:bottom w:w="0" w:type="dxa"/>
          <w:right w:w="0" w:type="dxa"/>
        </w:tblCellMar>
      </w:tblPr>
      <w:tblGrid>
        <w:gridCol w:w="60"/>
        <w:gridCol w:w="110"/>
        <w:gridCol w:w="24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warrant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Adjusted EBITDA excludes non-cash stock-based compensation expense, which is and is expected to remain a key element of our overall long-term incentive compensation package.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recognize that Contribution margin and Contribution margin as a percentage of net revenue have limitations as analytical financial measures. For example, Contribution margin does not reflect:</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60"/>
        <w:gridCol w:w="110"/>
        <w:gridCol w:w="56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6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 necessary to operate our business;</w:t>
            </w:r>
          </w:p>
        </w:tc>
      </w:tr>
    </w:tbl>
    <w:p>
      <w:pPr>
        <w:pStyle w:val="TextBody"/>
        <w:bidi w:val="0"/>
        <w:spacing w:before="0" w:after="0"/>
        <w:ind w:left="0" w:right="0" w:hanging="0"/>
        <w:jc w:val="left"/>
        <w:rPr/>
      </w:pPr>
      <w:r>
        <w:rPr/>
        <w:t> </w:t>
      </w:r>
    </w:p>
    <w:tbl>
      <w:tblPr>
        <w:tblW w:w="9100" w:type="dxa"/>
        <w:jc w:val="left"/>
        <w:tblInd w:w="0" w:type="dxa"/>
        <w:tblLayout w:type="fixed"/>
        <w:tblCellMar>
          <w:top w:w="0" w:type="dxa"/>
          <w:left w:w="0" w:type="dxa"/>
          <w:bottom w:w="0" w:type="dxa"/>
          <w:right w:w="0" w:type="dxa"/>
        </w:tblCellMar>
      </w:tblPr>
      <w:tblGrid>
        <w:gridCol w:w="60"/>
        <w:gridCol w:w="110"/>
        <w:gridCol w:w="89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fixed costs portion of our sales and distribution expenses including stock-based compensation expense; or</w:t>
            </w:r>
          </w:p>
        </w:tc>
      </w:tr>
    </w:tbl>
    <w:p>
      <w:pPr>
        <w:pStyle w:val="TextBody"/>
        <w:bidi w:val="0"/>
        <w:spacing w:before="0" w:after="0"/>
        <w:ind w:left="0" w:right="0" w:hanging="0"/>
        <w:jc w:val="left"/>
        <w:rPr/>
      </w:pPr>
      <w:r>
        <w:rPr/>
        <w:t> </w:t>
      </w:r>
    </w:p>
    <w:tbl>
      <w:tblPr>
        <w:tblW w:w="2575" w:type="dxa"/>
        <w:jc w:val="left"/>
        <w:tblInd w:w="0" w:type="dxa"/>
        <w:tblLayout w:type="fixed"/>
        <w:tblCellMar>
          <w:top w:w="0" w:type="dxa"/>
          <w:left w:w="0" w:type="dxa"/>
          <w:bottom w:w="0" w:type="dxa"/>
          <w:right w:w="0" w:type="dxa"/>
        </w:tblCellMar>
      </w:tblPr>
      <w:tblGrid>
        <w:gridCol w:w="60"/>
        <w:gridCol w:w="110"/>
        <w:gridCol w:w="24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warrant liabilities.</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Contribution Margin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pStyle w:val="TextBody"/>
        <w:bidi w:val="0"/>
        <w:spacing w:before="0" w:after="0"/>
        <w:ind w:left="0" w:right="0" w:hanging="0"/>
        <w:jc w:val="left"/>
        <w:rPr/>
      </w:pPr>
      <w:r>
        <w:rPr/>
        <w:t> </w:t>
      </w:r>
    </w:p>
    <w:tbl>
      <w:tblPr>
        <w:tblW w:w="9773" w:type="dxa"/>
        <w:jc w:val="left"/>
        <w:tblInd w:w="0" w:type="dxa"/>
        <w:tblLayout w:type="fixed"/>
        <w:tblCellMar>
          <w:top w:w="0" w:type="dxa"/>
          <w:left w:w="0" w:type="dxa"/>
          <w:bottom w:w="0" w:type="dxa"/>
          <w:right w:w="0" w:type="dxa"/>
        </w:tblCellMar>
      </w:tblPr>
      <w:tblGrid>
        <w:gridCol w:w="6935"/>
        <w:gridCol w:w="60"/>
        <w:gridCol w:w="189"/>
        <w:gridCol w:w="985"/>
        <w:gridCol w:w="185"/>
        <w:gridCol w:w="60"/>
        <w:gridCol w:w="189"/>
        <w:gridCol w:w="985"/>
        <w:gridCol w:w="185"/>
      </w:tblGrid>
      <w:tr>
        <w:trPr/>
        <w:tc>
          <w:tcPr>
            <w:tcW w:w="6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61,495</w:t>
            </w:r>
          </w:p>
        </w:tc>
        <w:tc>
          <w:tcPr>
            <w:tcW w:w="18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remediation costs (1)</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E-commerce platform commissions, online advertising, selling and logistics expenses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margin</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16,942</w:t>
            </w:r>
          </w:p>
        </w:tc>
        <w:tc>
          <w:tcPr>
            <w:tcW w:w="18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as a percentage of net revenue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margin as a percentage of net revenue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45" w:type="dxa"/>
            <w:tcBorders/>
            <w:vAlign w:val="center"/>
          </w:tcPr>
          <w:p>
            <w:pPr>
              <w:pStyle w:val="TableContents"/>
              <w:bidi w:val="0"/>
              <w:spacing w:before="0" w:after="283"/>
              <w:jc w:val="both"/>
              <w:rPr/>
            </w:pPr>
            <w:r>
              <w:rPr/>
              <w:t>During the year ended December 31, 2025, the Company accrued approximately $0.4 million for estimated costs associated with a voluntary product recall involving certain houseware appliances that the Company ceased selling during the year ended December 31, 2024. These costs are included in cost of goods sold on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EBITDA and Adjusted EBITDA to net loss, which is the most directly comparable financial measure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6938" w:type="dxa"/>
        <w:jc w:val="left"/>
        <w:tblInd w:w="0" w:type="dxa"/>
        <w:tblLayout w:type="fixed"/>
        <w:tblCellMar>
          <w:top w:w="0" w:type="dxa"/>
          <w:left w:w="0" w:type="dxa"/>
          <w:bottom w:w="0" w:type="dxa"/>
          <w:right w:w="0" w:type="dxa"/>
        </w:tblCellMar>
      </w:tblPr>
      <w:tblGrid>
        <w:gridCol w:w="3980"/>
        <w:gridCol w:w="60"/>
        <w:gridCol w:w="189"/>
        <w:gridCol w:w="985"/>
        <w:gridCol w:w="245"/>
        <w:gridCol w:w="60"/>
        <w:gridCol w:w="189"/>
        <w:gridCol w:w="985"/>
        <w:gridCol w:w="245"/>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intangibles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expense(1)</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remediation costs(2)</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7,510</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as a percentage of net revenue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as a percentage of net revenue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27" w:type="dxa"/>
            <w:tcBorders/>
            <w:vAlign w:val="center"/>
          </w:tcPr>
          <w:p>
            <w:pPr>
              <w:pStyle w:val="TableContents"/>
              <w:bidi w:val="0"/>
              <w:spacing w:before="0" w:after="283"/>
              <w:jc w:val="both"/>
              <w:rPr/>
            </w:pPr>
            <w:r>
              <w:rPr/>
              <w:t>Restructuring expenses include non-recurring employee severance costs relating to the Company reorganization executed during the years ended December 31, 2025 and 2024.</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5" w:type="dxa"/>
            <w:tcBorders/>
            <w:vAlign w:val="center"/>
          </w:tcPr>
          <w:p>
            <w:pPr>
              <w:pStyle w:val="TableContents"/>
              <w:bidi w:val="0"/>
              <w:spacing w:before="0" w:after="283"/>
              <w:jc w:val="both"/>
              <w:rPr/>
            </w:pPr>
            <w:r>
              <w:rPr/>
              <w:t>During the year ended December 31, 2025, the Company accrued approximately $0.4 million for estimated costs associated with a voluntary product recall involving certain houseware appliances that the Company ceased selling during the year ended December 31, 2024. These costs are included in cost of goods sold on the Consolidated Statement of Operations.</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management’s discussion and analysis of our financial condition and results of operations is based on our financial statements, which have been prepared in accordance with U.S. GAAP. The preparation of these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our significant accounting policies are described in more detail in the notes to our financial statements appearing elsewhere in this Annual Report, we believe the following accounting policies used in the preparation of our financial statements require the most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Inventory valuation</w:t>
      </w:r>
      <w:r>
        <w:rPr>
          <w:rFonts w:ascii="Times New Roman" w:hAnsi="Times New Roman"/>
          <w:caps w:val="false"/>
          <w:smallCaps w:val="false"/>
          <w:sz w:val="20"/>
        </w:rPr>
        <w:t>—Inventories, consisting of products available for sale, are primarily accounted for using the first-in first-out method, and are valued at the lower of cost and net realizable value. This valuation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 A 10% change to our current reserve for excess and obsolete inventory would not result in a material change to our consolidated financial statements; however, given the value of inventory on hand, a significant change in demand or market conditions could result in a material adjustment to our reserve in future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Warrant Liabilities</w:t>
      </w:r>
      <w:r>
        <w:rPr>
          <w:rFonts w:ascii="Times New Roman" w:hAnsi="Times New Roman"/>
          <w:caps w:val="false"/>
          <w:smallCaps w:val="false"/>
          <w:sz w:val="20"/>
        </w:rPr>
        <w:t>—The fair values of the outstanding warrants were measured using the Black Scholes model.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liabilities, and are recorded within the Change in fair value of warrant liabilities line item on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warrant liabilities was zero and $0.1 million at December 31, 2025 and 2024, which is included in accrued expenses and other current liabilities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Intangible asset valuation </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2025, the Company announced that its Board of Directors had initiated a process to explore strategic alternatives to maximize shareholder value. This announcement constituted a triggering event under ASC 350,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Accordingly, the Company recorded a non-cash impairment charge of approximately $3.8 million during the fourth quarter of 2025. The impairment charge is included within impairment loss on intangibles on the Consolidated Statement of Operations. As of December 31, 2025, the remaining balance of intangible assets was $4.4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triggering events to test intangibles for impairment loss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Adopted Accounting Standards and </w:t>
      </w:r>
      <w:r>
        <w:rPr>
          <w:rFonts w:ascii="Times New Roman" w:hAnsi="Times New Roman"/>
          <w:caps w:val="false"/>
          <w:smallCaps w:val="false"/>
          <w:sz w:val="20"/>
        </w:rPr>
        <w:t>R</w:t>
      </w:r>
      <w:r>
        <w:rPr>
          <w:rFonts w:ascii="Times New Roman" w:hAnsi="Times New Roman"/>
          <w:b/>
          <w:caps w:val="false"/>
          <w:smallCaps w:val="false"/>
          <w:sz w:val="20"/>
        </w:rPr>
        <w:t>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See Note 2,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xml:space="preserve"> for more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4" w:name="qaqmarketrisk"/>
      <w:bookmarkEnd w:id="14"/>
      <w:r>
        <w:rPr>
          <w:rFonts w:ascii="Times New Roman" w:hAnsi="Times New Roman"/>
          <w:b/>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have outstanding debt under the Credit Facility with MidCap that bears interest. As of December 31, 2025, our outstanding indebtedness under the Credit Facility was $4.3 million, which bears interest at a rate of Term Secured Overnight Financing Rate ("Term SOFR"), which is defined as SOFR plus 0.10%, plus 5.50%. We do not believe that an immediate 10% increase in interest rates would have a material effect on interest expense for the Credit Facility, and therefore we do not expect our operating results or cash flows to be materially affected to any degree by a sudden change in market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8% and 6% of our net revenue for the years-ended December 31, 2025 and 2024, respectively.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Inflation would generally affect us by increasing our cost of labor and overhead costs. We do not believe that inflation had a material effect on our business, financial condition or results of operations for the years-ended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5" w:name="item8"/>
      <w:bookmarkEnd w:id="15"/>
      <w:r>
        <w:rPr>
          <w:rFonts w:ascii="Times New Roman;Times;serif" w:hAnsi="Times New Roman;Times;serif"/>
          <w:b/>
          <w:sz w:val="20"/>
        </w:rPr>
        <w:t xml:space="preserve">Item 8. Financial Statements and Supplementary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ATERIAN, INC.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 xml:space="preserve">Index to Consolidated Financial Statements </w:t>
      </w:r>
    </w:p>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8120"/>
        <w:gridCol w:w="305"/>
      </w:tblGrid>
      <w:tr>
        <w:trPr/>
        <w:tc>
          <w:tcPr>
            <w:tcW w:w="8120" w:type="dxa"/>
            <w:tcBorders/>
            <w:vAlign w:val="center"/>
          </w:tcPr>
          <w:p>
            <w:pPr>
              <w:pStyle w:val="TableContents"/>
              <w:bidi w:val="0"/>
              <w:spacing w:before="0" w:after="0"/>
              <w:ind w:left="1080" w:right="0" w:hanging="0"/>
              <w:jc w:val="left"/>
              <w:rPr/>
            </w:pPr>
            <w:hyperlink w:anchor="uhy">
              <w:r>
                <w:rPr>
                  <w:rStyle w:val="InternetLink"/>
                  <w:rFonts w:ascii="Times New Roman;Times;serif" w:hAnsi="Times New Roman;Times;serif"/>
                  <w:caps w:val="false"/>
                  <w:smallCaps w:val="false"/>
                  <w:sz w:val="20"/>
                </w:rPr>
                <w:t>Report of Independent Registered Public Accounting Firm</w:t>
              </w:r>
            </w:hyperlink>
            <w:r>
              <w:rPr>
                <w:rFonts w:ascii="Times New Roman;Times;serif" w:hAnsi="Times New Roman;Times;serif"/>
                <w:caps w:val="false"/>
                <w:smallCaps w:val="false"/>
                <w:sz w:val="20"/>
              </w:rPr>
              <w:t> (PCAOB ID No. 1195)</w:t>
            </w:r>
          </w:p>
        </w:tc>
        <w:tc>
          <w:tcPr>
            <w:tcW w:w="305" w:type="dxa"/>
            <w:tcBorders/>
            <w:vAlign w:val="center"/>
          </w:tcPr>
          <w:p>
            <w:pPr>
              <w:pStyle w:val="TableContents"/>
              <w:bidi w:val="0"/>
              <w:spacing w:before="0" w:after="283"/>
              <w:jc w:val="center"/>
              <w:rPr/>
            </w:pPr>
            <w:hyperlink w:anchor="uhy">
              <w:r>
                <w:rPr>
                  <w:rStyle w:val="InternetLink"/>
                  <w:rFonts w:ascii="Times New Roman;Times;serif" w:hAnsi="Times New Roman;Times;serif"/>
                  <w:sz w:val="20"/>
                </w:rPr>
                <w:t>F-2</w:t>
              </w:r>
            </w:hyperlink>
          </w:p>
        </w:tc>
      </w:tr>
      <w:tr>
        <w:trPr/>
        <w:tc>
          <w:tcPr>
            <w:tcW w:w="8120" w:type="dxa"/>
            <w:tcBorders/>
            <w:vAlign w:val="center"/>
          </w:tcPr>
          <w:p>
            <w:pPr>
              <w:pStyle w:val="TableContents"/>
              <w:bidi w:val="0"/>
              <w:spacing w:before="0" w:after="0"/>
              <w:ind w:left="1080" w:right="0" w:hanging="0"/>
              <w:jc w:val="left"/>
              <w:rPr/>
            </w:pPr>
            <w:hyperlink w:anchor="bs">
              <w:r>
                <w:rPr>
                  <w:rStyle w:val="InternetLink"/>
                  <w:rFonts w:ascii="Times New Roman;Times;serif" w:hAnsi="Times New Roman;Times;serif"/>
                  <w:caps w:val="false"/>
                  <w:smallCaps w:val="false"/>
                  <w:sz w:val="20"/>
                </w:rPr>
                <w:t>Consolidated Balance Sheets as of December 31, 2025 and 2024</w:t>
              </w:r>
            </w:hyperlink>
          </w:p>
        </w:tc>
        <w:tc>
          <w:tcPr>
            <w:tcW w:w="305" w:type="dxa"/>
            <w:tcBorders/>
            <w:vAlign w:val="center"/>
          </w:tcPr>
          <w:p>
            <w:pPr>
              <w:pStyle w:val="TableContents"/>
              <w:bidi w:val="0"/>
              <w:spacing w:before="0" w:after="283"/>
              <w:jc w:val="center"/>
              <w:rPr/>
            </w:pPr>
            <w:hyperlink w:anchor="bs">
              <w:r>
                <w:rPr>
                  <w:rStyle w:val="InternetLink"/>
                  <w:rFonts w:ascii="Times New Roman;Times;serif" w:hAnsi="Times New Roman;Times;serif"/>
                  <w:sz w:val="20"/>
                </w:rPr>
                <w:t>F-4</w:t>
              </w:r>
            </w:hyperlink>
          </w:p>
        </w:tc>
      </w:tr>
      <w:tr>
        <w:trPr/>
        <w:tc>
          <w:tcPr>
            <w:tcW w:w="8120" w:type="dxa"/>
            <w:tcBorders/>
            <w:vAlign w:val="center"/>
          </w:tcPr>
          <w:p>
            <w:pPr>
              <w:pStyle w:val="TableContents"/>
              <w:bidi w:val="0"/>
              <w:spacing w:before="0" w:after="0"/>
              <w:ind w:left="1080" w:right="0" w:hanging="0"/>
              <w:jc w:val="left"/>
              <w:rPr/>
            </w:pPr>
            <w:hyperlink w:anchor="soo">
              <w:r>
                <w:rPr>
                  <w:rStyle w:val="InternetLink"/>
                  <w:rFonts w:ascii="Times New Roman;Times;serif" w:hAnsi="Times New Roman;Times;serif"/>
                  <w:caps w:val="false"/>
                  <w:smallCaps w:val="false"/>
                  <w:sz w:val="20"/>
                </w:rPr>
                <w:t>Consolidated Statements of Operations for the Years-Ended December 31, 2025 and 2024</w:t>
              </w:r>
            </w:hyperlink>
          </w:p>
        </w:tc>
        <w:tc>
          <w:tcPr>
            <w:tcW w:w="305" w:type="dxa"/>
            <w:tcBorders/>
            <w:vAlign w:val="center"/>
          </w:tcPr>
          <w:p>
            <w:pPr>
              <w:pStyle w:val="TableContents"/>
              <w:bidi w:val="0"/>
              <w:spacing w:before="0" w:after="283"/>
              <w:jc w:val="center"/>
              <w:rPr/>
            </w:pPr>
            <w:hyperlink w:anchor="soo">
              <w:r>
                <w:rPr>
                  <w:rStyle w:val="InternetLink"/>
                  <w:rFonts w:ascii="Times New Roman;Times;serif" w:hAnsi="Times New Roman;Times;serif"/>
                  <w:sz w:val="20"/>
                </w:rPr>
                <w:t>F-5</w:t>
              </w:r>
            </w:hyperlink>
          </w:p>
        </w:tc>
      </w:tr>
      <w:tr>
        <w:trPr/>
        <w:tc>
          <w:tcPr>
            <w:tcW w:w="8120" w:type="dxa"/>
            <w:tcBorders/>
            <w:vAlign w:val="center"/>
          </w:tcPr>
          <w:p>
            <w:pPr>
              <w:pStyle w:val="TableContents"/>
              <w:bidi w:val="0"/>
              <w:spacing w:before="0" w:after="0"/>
              <w:ind w:left="1080" w:right="0" w:hanging="0"/>
              <w:jc w:val="left"/>
              <w:rPr/>
            </w:pPr>
            <w:hyperlink w:anchor="socl">
              <w:r>
                <w:rPr>
                  <w:rStyle w:val="InternetLink"/>
                  <w:rFonts w:ascii="Times New Roman;Times;serif" w:hAnsi="Times New Roman;Times;serif"/>
                  <w:caps w:val="false"/>
                  <w:smallCaps w:val="false"/>
                  <w:sz w:val="20"/>
                </w:rPr>
                <w:t>Consolidated Statements of Comprehensive Loss for the Years-Ended December 31, 2025 and 2024</w:t>
              </w:r>
            </w:hyperlink>
          </w:p>
        </w:tc>
        <w:tc>
          <w:tcPr>
            <w:tcW w:w="305" w:type="dxa"/>
            <w:tcBorders/>
            <w:vAlign w:val="center"/>
          </w:tcPr>
          <w:p>
            <w:pPr>
              <w:pStyle w:val="TableContents"/>
              <w:bidi w:val="0"/>
              <w:spacing w:before="0" w:after="283"/>
              <w:jc w:val="center"/>
              <w:rPr/>
            </w:pPr>
            <w:hyperlink w:anchor="socl">
              <w:r>
                <w:rPr>
                  <w:rStyle w:val="InternetLink"/>
                  <w:rFonts w:ascii="Times New Roman;Times;serif" w:hAnsi="Times New Roman;Times;serif"/>
                  <w:sz w:val="20"/>
                </w:rPr>
                <w:t>F-6</w:t>
              </w:r>
            </w:hyperlink>
          </w:p>
        </w:tc>
      </w:tr>
      <w:tr>
        <w:trPr/>
        <w:tc>
          <w:tcPr>
            <w:tcW w:w="8120" w:type="dxa"/>
            <w:tcBorders/>
            <w:vAlign w:val="center"/>
          </w:tcPr>
          <w:p>
            <w:pPr>
              <w:pStyle w:val="TableContents"/>
              <w:bidi w:val="0"/>
              <w:spacing w:before="0" w:after="0"/>
              <w:ind w:left="1080" w:right="0" w:hanging="0"/>
              <w:jc w:val="left"/>
              <w:rPr/>
            </w:pPr>
            <w:hyperlink w:anchor="se">
              <w:r>
                <w:rPr>
                  <w:rStyle w:val="InternetLink"/>
                  <w:rFonts w:ascii="Times New Roman;Times;serif" w:hAnsi="Times New Roman;Times;serif"/>
                  <w:caps w:val="false"/>
                  <w:smallCaps w:val="false"/>
                  <w:sz w:val="20"/>
                </w:rPr>
                <w:t>Consolidated Statements of Stockholders’ Equity for the Years-Ended December 31, 2025 and 2024</w:t>
              </w:r>
            </w:hyperlink>
          </w:p>
        </w:tc>
        <w:tc>
          <w:tcPr>
            <w:tcW w:w="305" w:type="dxa"/>
            <w:tcBorders/>
            <w:vAlign w:val="center"/>
          </w:tcPr>
          <w:p>
            <w:pPr>
              <w:pStyle w:val="TableContents"/>
              <w:bidi w:val="0"/>
              <w:spacing w:before="0" w:after="283"/>
              <w:jc w:val="center"/>
              <w:rPr/>
            </w:pPr>
            <w:hyperlink w:anchor="se">
              <w:r>
                <w:rPr>
                  <w:rStyle w:val="InternetLink"/>
                  <w:rFonts w:ascii="Times New Roman;Times;serif" w:hAnsi="Times New Roman;Times;serif"/>
                  <w:sz w:val="20"/>
                </w:rPr>
                <w:t>F-7</w:t>
              </w:r>
            </w:hyperlink>
          </w:p>
        </w:tc>
      </w:tr>
      <w:tr>
        <w:trPr/>
        <w:tc>
          <w:tcPr>
            <w:tcW w:w="8120" w:type="dxa"/>
            <w:tcBorders/>
            <w:vAlign w:val="center"/>
          </w:tcPr>
          <w:p>
            <w:pPr>
              <w:pStyle w:val="TableContents"/>
              <w:bidi w:val="0"/>
              <w:spacing w:before="0" w:after="0"/>
              <w:ind w:left="1080" w:right="0" w:hanging="0"/>
              <w:jc w:val="left"/>
              <w:rPr/>
            </w:pPr>
            <w:hyperlink w:anchor="cf">
              <w:r>
                <w:rPr>
                  <w:rStyle w:val="InternetLink"/>
                  <w:rFonts w:ascii="Times New Roman;Times;serif" w:hAnsi="Times New Roman;Times;serif"/>
                  <w:caps w:val="false"/>
                  <w:smallCaps w:val="false"/>
                  <w:sz w:val="20"/>
                </w:rPr>
                <w:t>Consolidated Statements of Cash Flows for the Years-Ended December 31, 2025 and 2024</w:t>
              </w:r>
            </w:hyperlink>
          </w:p>
        </w:tc>
        <w:tc>
          <w:tcPr>
            <w:tcW w:w="305" w:type="dxa"/>
            <w:tcBorders/>
            <w:vAlign w:val="center"/>
          </w:tcPr>
          <w:p>
            <w:pPr>
              <w:pStyle w:val="TableContents"/>
              <w:bidi w:val="0"/>
              <w:spacing w:before="0" w:after="283"/>
              <w:jc w:val="center"/>
              <w:rPr/>
            </w:pPr>
            <w:hyperlink w:anchor="cf">
              <w:r>
                <w:rPr>
                  <w:rStyle w:val="InternetLink"/>
                  <w:rFonts w:ascii="Times New Roman;Times;serif" w:hAnsi="Times New Roman;Times;serif"/>
                  <w:sz w:val="20"/>
                </w:rPr>
                <w:t>F-8</w:t>
              </w:r>
            </w:hyperlink>
          </w:p>
        </w:tc>
      </w:tr>
      <w:tr>
        <w:trPr/>
        <w:tc>
          <w:tcPr>
            <w:tcW w:w="8120" w:type="dxa"/>
            <w:tcBorders/>
            <w:vAlign w:val="center"/>
          </w:tcPr>
          <w:p>
            <w:pPr>
              <w:pStyle w:val="TableContents"/>
              <w:bidi w:val="0"/>
              <w:spacing w:before="0" w:after="0"/>
              <w:ind w:left="1080" w:right="0" w:hanging="0"/>
              <w:jc w:val="left"/>
              <w:rPr/>
            </w:pPr>
            <w:hyperlink w:anchor="notes">
              <w:r>
                <w:rPr>
                  <w:rStyle w:val="InternetLink"/>
                  <w:rFonts w:ascii="Times New Roman;Times;serif" w:hAnsi="Times New Roman;Times;serif"/>
                  <w:caps w:val="false"/>
                  <w:smallCaps w:val="false"/>
                  <w:sz w:val="20"/>
                </w:rPr>
                <w:t>Notes to Consolidated Financial Statements for the Years-Ended December 31, 2025 and 2024</w:t>
              </w:r>
            </w:hyperlink>
          </w:p>
        </w:tc>
        <w:tc>
          <w:tcPr>
            <w:tcW w:w="305" w:type="dxa"/>
            <w:tcBorders/>
            <w:vAlign w:val="center"/>
          </w:tcPr>
          <w:p>
            <w:pPr>
              <w:pStyle w:val="TableContents"/>
              <w:bidi w:val="0"/>
              <w:spacing w:before="0" w:after="283"/>
              <w:jc w:val="center"/>
              <w:rPr/>
            </w:pPr>
            <w:hyperlink w:anchor="notes">
              <w:r>
                <w:rPr>
                  <w:rStyle w:val="InternetLink"/>
                  <w:rFonts w:ascii="Times New Roman;Times;serif" w:hAnsi="Times New Roman;Times;serif"/>
                  <w:sz w:val="20"/>
                </w:rPr>
                <w:t>F-9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16" w:name="uhy"/>
      <w:bookmarkEnd w:id="16"/>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Board of Directors and</w:t>
        <w:br/>
        <w:t>Stockholders of Aterian, Inc.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Aterian, Inc. (the Company) as of December 31, 2025 and 2024, and the related consolidated statements of operations, comprehensive loss, stockholders’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fund day-to-day` operations and remain in compliance with certain financial covenants required by the agreement governing the Company’s credit facility which raises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Note 2 to the consolidated financial statements the Company estimates the net realizable value for inventory based on past and future sales, which involves a high level of judgement on the part of management. Inventories, consisting of products available for sale, are primarily accounted for using the first-in first-out method, and are valued at the lower of cost and net realizable value. This valuation requires the Company to make judgments, based on available information, such as historical sales data and forecasted future sales data for the next twelve months, about the likely method of disposition, such as through sales to individual customers or liquidations, and expected recoverable values of each disposition category. Changes to the relevant assumptions and projections would impact the consolidated financial results in periods subsequent to the recording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Addressing the matter involved performing procedures and evaluating audit evidence in connection with forming our overall opinion on the consolidated financial statements. Our audit procedures related to the evaluation of the Company’s inventory valuation included the following, among others: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Obtaining an understanding of the Company's accounting policy related to inventory, specifically as it relates to the excess and obsolete inventory reserve and ensure it is relevant to the accounting standards and consistently applied to prior periods.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Recalculate the inventory reserve based on the Company's policy and our knowledge obtained above. Ensure mathematical accuracy and test the computations for a sample of inventory items.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Evaluating management's methodology and process for developing the excess and obsolete inventory reserve, including estimating assumptions related to future product sales based on historical usage and current market conditions.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Testing management's calculation of the excess and obsolete inventory reserve, which included evaluating the completeness and accuracy of underlying data used by management in the calculation, principally inputs such as actual sales of products and management's determination of future estimated sales of inventory and comparing them to historical sale amounts.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pPr>
            <w:r>
              <w:rPr/>
              <w:t>Perform observations of inventory at various locations to ensure the quantities are in working order and identify damaged or poor conditioned inventory and confirmed balances at various third-party warehouses.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2024.</w:t>
        <w:br/>
        <w:t>    </w:t>
        <w:br/>
        <w:t>Melville,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20, 2026</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7" w:name="bs"/>
      <w:bookmarkEnd w:id="17"/>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6"/>
        <w:gridCol w:w="60"/>
        <w:gridCol w:w="172"/>
        <w:gridCol w:w="1041"/>
        <w:gridCol w:w="80"/>
        <w:gridCol w:w="60"/>
        <w:gridCol w:w="172"/>
        <w:gridCol w:w="1041"/>
        <w:gridCol w:w="83"/>
      </w:tblGrid>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17,998</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3,782</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13,749</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3,190</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38,719</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Intangibles, net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9,757</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49,542</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3,080</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Seller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8,804</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19,298</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19,525</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and 10,027,046 and 8,750,741 shares outstanding at December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742,591</w:t>
            </w:r>
          </w:p>
        </w:tc>
        <w:tc>
          <w:tcPr>
            <w:tcW w:w="83"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(730,661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(711,677</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6"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6"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30,017</w:t>
            </w:r>
          </w:p>
        </w:tc>
        <w:tc>
          <w:tcPr>
            <w:tcW w:w="83"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49,542</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8" w:name="soo"/>
      <w:bookmarkEnd w:id="18"/>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Operations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7723" w:type="dxa"/>
        <w:jc w:val="left"/>
        <w:tblInd w:w="0" w:type="dxa"/>
        <w:tblLayout w:type="fixed"/>
        <w:tblCellMar>
          <w:top w:w="0" w:type="dxa"/>
          <w:left w:w="0" w:type="dxa"/>
          <w:bottom w:w="0" w:type="dxa"/>
          <w:right w:w="0" w:type="dxa"/>
        </w:tblCellMar>
      </w:tblPr>
      <w:tblGrid>
        <w:gridCol w:w="5420"/>
        <w:gridCol w:w="60"/>
        <w:gridCol w:w="130"/>
        <w:gridCol w:w="879"/>
        <w:gridCol w:w="83"/>
        <w:gridCol w:w="62"/>
        <w:gridCol w:w="130"/>
        <w:gridCol w:w="879"/>
        <w:gridCol w:w="80"/>
      </w:tblGrid>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29,825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37,550</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39,150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61,495</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41,455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55,979</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11,846</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17,339</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Impairment loss on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3,822</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57,123</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73,318</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(17,973</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851</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949</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(18,943</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w:t>
            </w:r>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number of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7,932,889</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7,069,404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9" w:name="socl"/>
      <w:bookmarkEnd w:id="19"/>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Comprehensive Loss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5817" w:type="dxa"/>
        <w:jc w:val="left"/>
        <w:tblInd w:w="0" w:type="dxa"/>
        <w:tblLayout w:type="fixed"/>
        <w:tblCellMar>
          <w:top w:w="0" w:type="dxa"/>
          <w:left w:w="0" w:type="dxa"/>
          <w:bottom w:w="0" w:type="dxa"/>
          <w:right w:w="0" w:type="dxa"/>
        </w:tblCellMar>
      </w:tblPr>
      <w:tblGrid>
        <w:gridCol w:w="3515"/>
        <w:gridCol w:w="60"/>
        <w:gridCol w:w="160"/>
        <w:gridCol w:w="832"/>
        <w:gridCol w:w="102"/>
        <w:gridCol w:w="76"/>
        <w:gridCol w:w="160"/>
        <w:gridCol w:w="832"/>
        <w:gridCol w:w="80"/>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(18,630</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0" w:name="se"/>
      <w:bookmarkEnd w:id="20"/>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8"/>
        <w:gridCol w:w="60"/>
        <w:gridCol w:w="60"/>
        <w:gridCol w:w="950"/>
        <w:gridCol w:w="80"/>
        <w:gridCol w:w="60"/>
        <w:gridCol w:w="220"/>
        <w:gridCol w:w="460"/>
        <w:gridCol w:w="60"/>
        <w:gridCol w:w="60"/>
        <w:gridCol w:w="177"/>
        <w:gridCol w:w="990"/>
        <w:gridCol w:w="60"/>
        <w:gridCol w:w="60"/>
        <w:gridCol w:w="158"/>
        <w:gridCol w:w="957"/>
        <w:gridCol w:w="80"/>
        <w:gridCol w:w="60"/>
        <w:gridCol w:w="459"/>
        <w:gridCol w:w="1455"/>
        <w:gridCol w:w="80"/>
        <w:gridCol w:w="60"/>
        <w:gridCol w:w="210"/>
        <w:gridCol w:w="1097"/>
        <w:gridCol w:w="84"/>
      </w:tblGrid>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Stockholders’</w:t>
            </w:r>
          </w:p>
        </w:tc>
        <w:tc>
          <w:tcPr>
            <w:tcW w:w="84"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4"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7,508,246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(699,815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36,031</w:t>
            </w:r>
          </w:p>
        </w:tc>
        <w:tc>
          <w:tcPr>
            <w:tcW w:w="84"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(11,862</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ind w:left="0" w:right="0" w:hanging="0"/>
              <w:jc w:val="left"/>
              <w:rPr/>
            </w:pPr>
            <w:r>
              <w:rPr/>
              <w:t> </w:t>
            </w:r>
          </w:p>
        </w:tc>
        <w:tc>
          <w:tcPr>
            <w:tcW w:w="14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(332,259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pPr>
            <w:r>
              <w:rPr>
                <w:rStyle w:val="Emphasis"/>
              </w:rPr>
              <w:t>—</w:t>
            </w:r>
          </w:p>
        </w:tc>
        <w:tc>
          <w:tcPr>
            <w:tcW w:w="84"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ind w:left="0" w:right="0" w:hanging="0"/>
              <w:jc w:val="left"/>
              <w:rPr/>
            </w:pPr>
            <w:r>
              <w:rPr/>
              <w:t> </w:t>
            </w:r>
          </w:p>
        </w:tc>
        <w:tc>
          <w:tcPr>
            <w:tcW w:w="14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w:t>
            </w:r>
          </w:p>
        </w:tc>
        <w:tc>
          <w:tcPr>
            <w:tcW w:w="84"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5,246</w:t>
            </w:r>
          </w:p>
        </w:tc>
        <w:tc>
          <w:tcPr>
            <w:tcW w:w="84"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8,750,741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30,017</w:t>
            </w:r>
          </w:p>
        </w:tc>
        <w:tc>
          <w:tcPr>
            <w:tcW w:w="84"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ind w:left="0" w:right="0" w:hanging="0"/>
              <w:jc w:val="left"/>
              <w:rPr/>
            </w:pPr>
            <w:r>
              <w:rPr/>
              <w:t> </w:t>
            </w:r>
          </w:p>
        </w:tc>
        <w:tc>
          <w:tcPr>
            <w:tcW w:w="14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(18,984</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1,618,653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(342,348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ind w:left="0" w:right="0" w:hanging="0"/>
              <w:jc w:val="left"/>
              <w:rPr/>
            </w:pPr>
            <w:r>
              <w:rPr/>
              <w:t> </w:t>
            </w:r>
          </w:p>
        </w:tc>
        <w:tc>
          <w:tcPr>
            <w:tcW w:w="14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pPr>
            <w:r>
              <w:rPr>
                <w:rStyle w:val="Emphasis"/>
              </w:rPr>
              <w:t>—</w:t>
            </w:r>
          </w:p>
        </w:tc>
        <w:tc>
          <w:tcPr>
            <w:tcW w:w="84"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3,823</w:t>
            </w:r>
          </w:p>
        </w:tc>
        <w:tc>
          <w:tcPr>
            <w:tcW w:w="84"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84"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10,027,046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(730,661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15,210</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1" w:name="cf"/>
      <w:bookmarkEnd w:id="21"/>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8307" w:type="dxa"/>
        <w:jc w:val="left"/>
        <w:tblInd w:w="0" w:type="dxa"/>
        <w:tblLayout w:type="fixed"/>
        <w:tblCellMar>
          <w:top w:w="0" w:type="dxa"/>
          <w:left w:w="0" w:type="dxa"/>
          <w:bottom w:w="0" w:type="dxa"/>
          <w:right w:w="0" w:type="dxa"/>
        </w:tblCellMar>
      </w:tblPr>
      <w:tblGrid>
        <w:gridCol w:w="6140"/>
        <w:gridCol w:w="60"/>
        <w:gridCol w:w="147"/>
        <w:gridCol w:w="773"/>
        <w:gridCol w:w="107"/>
        <w:gridCol w:w="80"/>
        <w:gridCol w:w="147"/>
        <w:gridCol w:w="773"/>
        <w:gridCol w:w="8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 Ended December 31,</w:t>
            </w:r>
          </w:p>
        </w:tc>
        <w:tc>
          <w:tcPr>
            <w:tcW w:w="8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2024</w:t>
            </w:r>
          </w:p>
        </w:tc>
        <w:tc>
          <w:tcPr>
            <w:tcW w:w="8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(18,984</w:t>
            </w:r>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(11,862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1,619</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1,689</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Provision for sales returns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deferred financing cost and debt discounts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2,180</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7,510</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expense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pPr>
            <w:r>
              <w:rPr/>
              <w:t>—</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inventory provisions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767</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w:t>
            </w:r>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Impairment loss on intangibles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3,822</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Allowance for credit losses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w:t>
            </w:r>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1,469</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Inventory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(794</w:t>
            </w:r>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9,378</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762</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payable, accrued and other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(964</w:t>
            </w:r>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(10,895</w:t>
            </w:r>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2,165</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INVESTING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Purchase of fixed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w:t>
            </w:r>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Purchase of minority equity investment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w:t>
            </w:r>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Repayments on seller notes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w:t>
            </w:r>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Borrowings from MidCap credit facilities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43,313</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60,866</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Repayments for MidCap credit facilities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(46,203</w:t>
            </w:r>
          </w:p>
        </w:tc>
        <w:tc>
          <w:tcPr>
            <w:tcW w:w="10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(65,165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Insurance obligation payments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(711</w:t>
            </w:r>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Insurance financing proceeds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1,196</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used in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(2,518</w:t>
            </w:r>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effect on cash and restricted cash</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change in cash and restricted cash for the period</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(13,141</w:t>
            </w:r>
          </w:p>
        </w:tc>
        <w:tc>
          <w:tcPr>
            <w:tcW w:w="10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restricted cash at beginning of year</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22,195</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6,002</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RECONCILIATION OF CASH AND RESTRICTED CASH:</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4,857</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17,998</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cash—Prepaid and other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1,015</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1,015</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cash—Other non-current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CASH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6,002</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19,143</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882</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1,141</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for taxes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consideration paid to contractors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shd w:fill="FFFFFF" w:val="clear"/>
            <w:vAlign w:val="center"/>
          </w:tcPr>
          <w:p>
            <w:pPr>
              <w:pStyle w:val="TableContents"/>
              <w:bidi w:val="0"/>
              <w:spacing w:before="0" w:after="283"/>
              <w:ind w:left="0" w:right="0" w:hanging="0"/>
              <w:jc w:val="right"/>
              <w:rPr/>
            </w:pPr>
            <w:r>
              <w:rPr/>
              <w:t>—</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620</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Non-cash minority equity investment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shd w:fill="CCEEFF" w:val="clear"/>
            <w:vAlign w:val="center"/>
          </w:tcPr>
          <w:p>
            <w:pPr>
              <w:pStyle w:val="TableContents"/>
              <w:bidi w:val="0"/>
              <w:spacing w:before="0" w:after="283"/>
              <w:ind w:left="0" w:right="0" w:hanging="0"/>
              <w:jc w:val="right"/>
              <w:rPr/>
            </w:pPr>
            <w:r>
              <w:rPr/>
              <w:t>—</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2" w:name="notes"/>
      <w:bookmarkEnd w:id="22"/>
      <w:r>
        <w:rPr>
          <w:rFonts w:ascii="Times New Roman" w:hAnsi="Times New Roman"/>
          <w:b/>
          <w:caps w:val="false"/>
          <w:smallCaps w:val="false"/>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Consolidated Financial Statements </w:t>
      </w:r>
    </w:p>
    <w:p>
      <w:pPr>
        <w:pStyle w:val="TextBody"/>
        <w:bidi w:val="0"/>
        <w:spacing w:before="0" w:after="0"/>
        <w:ind w:left="0" w:right="0" w:hanging="0"/>
        <w:jc w:val="left"/>
        <w:rPr>
          <w:rFonts w:ascii="Times New Roman" w:hAnsi="Times New Roman"/>
          <w:b/>
          <w:caps/>
          <w:sz w:val="20"/>
        </w:rPr>
      </w:pPr>
      <w:r>
        <w:rPr>
          <w:rFonts w:ascii="Times New Roman" w:hAnsi="Times New Roman"/>
          <w:b/>
          <w:caps/>
          <w:sz w:val="20"/>
        </w:rPr>
        <w:t>FOR THE YEARS-ENDED December 31, 2025 and 2024</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Our primary brands include Squatty Potty, HomeLabs, Mueller Living, PurSteam, Healing Solutions, and Photo Paper Direct ("PPD"). Headquartered in New Jersey, the Company also maintains offices in China, the Philippines, and the United Kingdom.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profitability,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reduced consumer spending, and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results have been impacted by recent changes to U.S. trade policy, including the imposition and expansion of tariffs on imports, specifically from China. A substantial portion of our products are sourced from China, and as such, the increased tariff rates have materially raised our cost of goods sold and have placed pressure on our margins. While we have actively pursued mitigation strategies, including supplier negotiations, selective price adjustments, geographic diversification of sourcing and fixed cost reductions, 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adversely impact our liquidity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achieve such profitability or do so in a manner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our continued reliance on outside capital. Moreover, while we have historically been successful in raising outside capital,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continue to obtain outside capital in the future or do so on terms that are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As of the date the accompanying Consolidated Financial Statements were issued (the “issuance date”), we evaluated the significance of the following adverse financial conditions in accordance with Accounting Standard Codification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Going Concern: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283"/>
              <w:jc w:val="both"/>
              <w:rPr/>
            </w:pPr>
            <w:r>
              <w:rPr>
                <w:sz w:val="20"/>
              </w:rPr>
              <w:t xml:space="preserve">Since our inception, we have incurred significant losses and used cash flows from operations to fund our enterprise. In this regard, during the year ended </w:t>
            </w:r>
            <w:r>
              <w:rPr>
                <w:rStyle w:val="Emphasis"/>
                <w:sz w:val="20"/>
              </w:rPr>
              <w:t>December 31, 2025</w:t>
            </w:r>
            <w:r>
              <w:rPr>
                <w:sz w:val="20"/>
              </w:rPr>
              <w:t xml:space="preserve">, we incurred a net loss of $19.0 million and used net cash flows from operations of $10.9 million. In addition, as of </w:t>
            </w:r>
            <w:r>
              <w:rPr>
                <w:rStyle w:val="Emphasis"/>
                <w:sz w:val="20"/>
              </w:rPr>
              <w:t>December 31, 2025</w:t>
            </w:r>
            <w:r>
              <w:rPr>
                <w:sz w:val="20"/>
              </w:rPr>
              <w:t>, we had unrestricted cash and cash equivalents of $4.9 million available to fund our operations and an accumulated deficit of $730.7 million.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pPr>
            <w:r>
              <w:rPr>
                <w:rFonts w:ascii="Times New Roman" w:hAnsi="Times New Roman"/>
                <w:sz w:val="20"/>
              </w:rPr>
              <w:t xml:space="preserve">We are required to remain in compliance with certain financial covenants required by the MidCap Credit facility (See Note </w:t>
            </w:r>
            <w:r>
              <w:rPr>
                <w:rStyle w:val="Emphasis"/>
                <w:rFonts w:ascii="Times New Roman" w:hAnsi="Times New Roman"/>
                <w:sz w:val="20"/>
              </w:rPr>
              <w:t>9,</w:t>
            </w:r>
            <w:r>
              <w:rPr>
                <w:rFonts w:ascii="Times New Roman" w:hAnsi="Times New Roman"/>
                <w:sz w:val="20"/>
              </w:rPr>
              <w:t> </w:t>
            </w:r>
            <w:r>
              <w:rPr>
                <w:rFonts w:ascii="Times New Roman" w:hAnsi="Times New Roman"/>
                <w:i/>
                <w:sz w:val="20"/>
              </w:rPr>
              <w:t>Credit Facility, Term Loans and Warrants</w:t>
            </w:r>
            <w:r>
              <w:rPr>
                <w:rFonts w:ascii="Times New Roman" w:hAnsi="Times New Roman"/>
                <w:sz w:val="20"/>
              </w:rPr>
              <w:t xml:space="preserve">). We were in compliance with these financial covenants as of </w:t>
            </w:r>
            <w:r>
              <w:rPr>
                <w:rStyle w:val="Emphasis"/>
                <w:rFonts w:ascii="Times New Roman" w:hAnsi="Times New Roman"/>
                <w:sz w:val="20"/>
              </w:rPr>
              <w:t xml:space="preserve">December 31, 2025, </w:t>
            </w:r>
            <w:r>
              <w:rPr>
                <w:rFonts w:ascii="Times New Roman" w:hAnsi="Times New Roman"/>
                <w:sz w:val="20"/>
              </w:rPr>
              <w:t xml:space="preserve">and expect to remain in compliance through at least </w:t>
            </w:r>
            <w:r>
              <w:rPr>
                <w:rStyle w:val="Emphasis"/>
                <w:rFonts w:ascii="Times New Roman" w:hAnsi="Times New Roman"/>
                <w:sz w:val="20"/>
              </w:rPr>
              <w:t xml:space="preserve">March 31, 2027. </w:t>
            </w:r>
            <w:r>
              <w:rPr>
                <w:rFonts w:ascii="Times New Roman" w:hAnsi="Times New Roman"/>
                <w:sz w:val="20"/>
              </w:rPr>
              <w:t xml:space="preserve">However, if our mitigation strategies to address the impact of tariffs are unsuccessful, we can provide </w:t>
            </w:r>
            <w:r>
              <w:rPr>
                <w:rStyle w:val="Emphasis"/>
                <w:rFonts w:ascii="Times New Roman" w:hAnsi="Times New Roman"/>
                <w:sz w:val="20"/>
              </w:rPr>
              <w:t>no</w:t>
            </w:r>
            <w:r>
              <w:rPr>
                <w:rFonts w:ascii="Times New Roman" w:hAnsi="Times New Roman"/>
                <w:sz w:val="20"/>
              </w:rPr>
              <w:t xml:space="preserve"> assurances that we will remain in compliance with our financial covenants.</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Fonts w:ascii="Times New Roman" w:hAnsi="Times New Roman"/>
                <w:sz w:val="20"/>
              </w:rPr>
              <w:t xml:space="preserve">On </w:t>
            </w:r>
            <w:r>
              <w:rPr>
                <w:rStyle w:val="Emphasis"/>
                <w:rFonts w:ascii="Times New Roman" w:hAnsi="Times New Roman"/>
                <w:sz w:val="20"/>
              </w:rPr>
              <w:t xml:space="preserve">March 13, 2026, </w:t>
            </w:r>
            <w:r>
              <w:rPr>
                <w:rFonts w:ascii="Times New Roman" w:hAnsi="Times New Roman"/>
                <w:sz w:val="20"/>
              </w:rPr>
              <w:t xml:space="preserve">the Company and its subsidiaries entered into Amendment </w:t>
            </w:r>
            <w:r>
              <w:rPr>
                <w:rStyle w:val="Emphasis"/>
                <w:rFonts w:ascii="Times New Roman" w:hAnsi="Times New Roman"/>
                <w:sz w:val="20"/>
              </w:rPr>
              <w:t>No.</w:t>
            </w:r>
            <w:r>
              <w:rPr>
                <w:rFonts w:ascii="Times New Roman" w:hAnsi="Times New Roman"/>
                <w:sz w:val="20"/>
              </w:rPr>
              <w:t xml:space="preserve"> </w:t>
            </w:r>
            <w:r>
              <w:rPr>
                <w:rStyle w:val="Emphasis"/>
                <w:rFonts w:ascii="Times New Roman" w:hAnsi="Times New Roman"/>
                <w:sz w:val="20"/>
              </w:rPr>
              <w:t>5</w:t>
            </w:r>
            <w:r>
              <w:rPr>
                <w:rFonts w:ascii="Times New Roman" w:hAnsi="Times New Roman"/>
                <w:sz w:val="20"/>
              </w:rPr>
              <w:t xml:space="preserve">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w:t>
            </w:r>
            <w:r>
              <w:rPr>
                <w:rStyle w:val="Emphasis"/>
                <w:rFonts w:ascii="Times New Roman" w:hAnsi="Times New Roman"/>
                <w:sz w:val="20"/>
              </w:rPr>
              <w:t xml:space="preserve">May 9, 2026, </w:t>
            </w:r>
            <w:r>
              <w:rPr>
                <w:rFonts w:ascii="Times New Roman" w:hAnsi="Times New Roman"/>
                <w:sz w:val="20"/>
              </w:rPr>
              <w:t>provided it remains in compliance with certain fee payment obligations.</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Fonts w:ascii="Times New Roman" w:hAnsi="Times New Roman"/>
                <w:sz w:val="20"/>
              </w:rPr>
              <w:t xml:space="preserve">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w:t>
            </w:r>
            <w:r>
              <w:rPr>
                <w:rStyle w:val="Emphasis"/>
                <w:rFonts w:ascii="Times New Roman" w:hAnsi="Times New Roman"/>
                <w:sz w:val="20"/>
              </w:rPr>
              <w:t xml:space="preserve">may, </w:t>
            </w:r>
            <w:r>
              <w:rPr>
                <w:rFonts w:ascii="Times New Roman" w:hAnsi="Times New Roman"/>
                <w:sz w:val="20"/>
              </w:rPr>
              <w:t xml:space="preserve">at its discretion, exercise any and all of its existing rights and remedies, which </w:t>
            </w:r>
            <w:r>
              <w:rPr>
                <w:rStyle w:val="Emphasis"/>
                <w:rFonts w:ascii="Times New Roman" w:hAnsi="Times New Roman"/>
                <w:sz w:val="20"/>
              </w:rPr>
              <w:t xml:space="preserve">may </w:t>
            </w:r>
            <w:r>
              <w:rPr>
                <w:rFonts w:ascii="Times New Roman" w:hAnsi="Times New Roman"/>
                <w:sz w:val="20"/>
              </w:rPr>
              <w:t>include, among others, accelerating repayment of the outstanding borrowings and/or asserting its rights in the assets securing the loan.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As of the issuance date, we have </w:t>
            </w:r>
            <w:r>
              <w:rPr>
                <w:rStyle w:val="Emphasis"/>
                <w:rFonts w:ascii="Times New Roman;Times;serif" w:hAnsi="Times New Roman;Times;serif"/>
                <w:sz w:val="20"/>
              </w:rPr>
              <w:t>no</w:t>
            </w:r>
            <w:r>
              <w:rPr>
                <w:rFonts w:ascii="Times New Roman;Times;serif" w:hAnsi="Times New Roman;Times;serif"/>
                <w:sz w:val="20"/>
              </w:rPr>
              <w:t xml:space="preserve"> firm commitments to secure additional outside capital from lenders or investors. While we expect to continue to explore raising additional outside capital, there can be </w:t>
            </w:r>
            <w:r>
              <w:rPr>
                <w:rStyle w:val="Emphasis"/>
                <w:rFonts w:ascii="Times New Roman;Times;serif" w:hAnsi="Times New Roman;Times;serif"/>
                <w:sz w:val="20"/>
              </w:rPr>
              <w:t>no</w:t>
            </w:r>
            <w:r>
              <w:rPr>
                <w:rFonts w:ascii="Times New Roman;Times;serif" w:hAnsi="Times New Roman;Times;serif"/>
                <w:sz w:val="20"/>
              </w:rPr>
              <w:t xml:space="preserve"> assurance we will be able to obtain capital or do so on terms that are acceptable to us. Accordingly, absent our ability to generate cash inflows from our operations and/or secure additional outside capital in the near term, we </w:t>
            </w:r>
            <w:r>
              <w:rPr>
                <w:rStyle w:val="Emphasis"/>
                <w:rFonts w:ascii="Times New Roman;Times;serif" w:hAnsi="Times New Roman;Times;serif"/>
                <w:sz w:val="20"/>
              </w:rPr>
              <w:t xml:space="preserve">may </w:t>
            </w:r>
            <w:r>
              <w:rPr>
                <w:rFonts w:ascii="Times New Roman;Times;serif" w:hAnsi="Times New Roman;Times;serif"/>
                <w:sz w:val="20"/>
              </w:rPr>
              <w:t xml:space="preserve">be unable to meet our obligations as they become due over the next </w:t>
            </w:r>
            <w:r>
              <w:rPr>
                <w:rStyle w:val="Emphasis"/>
                <w:rFonts w:ascii="Times New Roman;Times;serif" w:hAnsi="Times New Roman;Times;serif"/>
                <w:sz w:val="20"/>
              </w:rPr>
              <w:t>twelve</w:t>
            </w:r>
            <w:r>
              <w:rPr>
                <w:rFonts w:ascii="Times New Roman;Times;serif" w:hAnsi="Times New Roman;Times;serif"/>
                <w:sz w:val="20"/>
              </w:rPr>
              <w:t xml:space="preserve"> months beyond the issuance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20" w:type="dxa"/>
            <w:tcBorders/>
            <w:vAlign w:val="center"/>
          </w:tcPr>
          <w:p>
            <w:pPr>
              <w:pStyle w:val="TableContents"/>
              <w:bidi w:val="0"/>
              <w:spacing w:before="0" w:after="0"/>
              <w:ind w:left="0" w:right="0" w:hanging="0"/>
              <w:jc w:val="both"/>
              <w:rPr/>
            </w:pPr>
            <w:r>
              <w:rPr>
                <w:rFonts w:ascii="Times New Roman" w:hAnsi="Times New Roman"/>
                <w:sz w:val="20"/>
              </w:rPr>
              <w:t xml:space="preserve">On </w:t>
            </w:r>
            <w:r>
              <w:rPr>
                <w:rStyle w:val="Emphasis"/>
                <w:rFonts w:ascii="Times New Roman" w:hAnsi="Times New Roman"/>
                <w:sz w:val="20"/>
              </w:rPr>
              <w:t xml:space="preserve">May 14, 2025, </w:t>
            </w:r>
            <w:r>
              <w:rPr>
                <w:rFonts w:ascii="Times New Roman" w:hAnsi="Times New Roman"/>
                <w:sz w:val="20"/>
              </w:rPr>
              <w:t xml:space="preserve">the Company announced a fixed cost reduction plan, which included a workforce reduction affecting approximately 20 employees. The Company has substantially completed this reduction as of the year ended </w:t>
            </w:r>
            <w:r>
              <w:rPr>
                <w:rStyle w:val="Emphasis"/>
                <w:rFonts w:ascii="Times New Roman" w:hAnsi="Times New Roman"/>
                <w:sz w:val="20"/>
              </w:rPr>
              <w:t xml:space="preserve">December 31, 2025. </w:t>
            </w:r>
            <w:r>
              <w:rPr>
                <w:rFonts w:ascii="Times New Roman" w:hAnsi="Times New Roman"/>
                <w:sz w:val="20"/>
              </w:rPr>
              <w:t xml:space="preserve">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w:t>
            </w:r>
            <w:r>
              <w:rPr>
                <w:rStyle w:val="Emphasis"/>
                <w:rFonts w:ascii="Times New Roman" w:hAnsi="Times New Roman"/>
                <w:sz w:val="20"/>
              </w:rPr>
              <w:t xml:space="preserve">December 31, 2025. </w:t>
            </w:r>
            <w:r>
              <w:rPr>
                <w:rFonts w:ascii="Times New Roman" w:hAnsi="Times New Roman"/>
                <w:sz w:val="20"/>
              </w:rPr>
              <w:t xml:space="preserve">Severance payments are expected to be made through the </w:t>
            </w:r>
            <w:r>
              <w:rPr>
                <w:rStyle w:val="Emphasis"/>
                <w:rFonts w:ascii="Times New Roman" w:hAnsi="Times New Roman"/>
                <w:sz w:val="20"/>
              </w:rPr>
              <w:t>second</w:t>
            </w:r>
            <w:r>
              <w:rPr>
                <w:rFonts w:ascii="Times New Roman" w:hAnsi="Times New Roman"/>
                <w:sz w:val="20"/>
              </w:rPr>
              <w:t xml:space="preserve"> quarter of </w:t>
            </w:r>
            <w:r>
              <w:rPr>
                <w:rStyle w:val="Emphasis"/>
                <w:rFonts w:ascii="Times New Roman" w:hAnsi="Times New Roman"/>
                <w:sz w:val="20"/>
              </w:rPr>
              <w:t>2026.</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Fonts w:ascii="Times New Roman" w:hAnsi="Times New Roman"/>
                <w:sz w:val="20"/>
              </w:rPr>
              <w:t xml:space="preserve">In </w:t>
            </w:r>
            <w:r>
              <w:rPr>
                <w:rStyle w:val="Emphasis"/>
                <w:rFonts w:ascii="Times New Roman" w:hAnsi="Times New Roman"/>
                <w:sz w:val="20"/>
              </w:rPr>
              <w:t xml:space="preserve">January 2026, </w:t>
            </w:r>
            <w:r>
              <w:rPr>
                <w:rFonts w:ascii="Times New Roman" w:hAnsi="Times New Roman"/>
                <w:sz w:val="20"/>
              </w:rPr>
              <w:t xml:space="preserve">the Company implemented a fixed cost reduction plan that included a workforce reduction affecting approximately 16 employees and independent contractors. The Company expects to substantially complete this reduction by the end of the </w:t>
            </w:r>
            <w:r>
              <w:rPr>
                <w:rStyle w:val="Emphasis"/>
                <w:rFonts w:ascii="Times New Roman" w:hAnsi="Times New Roman"/>
                <w:sz w:val="20"/>
              </w:rPr>
              <w:t>first</w:t>
            </w:r>
            <w:r>
              <w:rPr>
                <w:rFonts w:ascii="Times New Roman" w:hAnsi="Times New Roman"/>
                <w:sz w:val="20"/>
              </w:rPr>
              <w:t xml:space="preserve"> quarter of </w:t>
            </w:r>
            <w:r>
              <w:rPr>
                <w:rStyle w:val="Emphasis"/>
                <w:rFonts w:ascii="Times New Roman" w:hAnsi="Times New Roman"/>
                <w:sz w:val="20"/>
              </w:rPr>
              <w:t>2026.</w:t>
            </w:r>
            <w:r>
              <w:rPr>
                <w:rFonts w:ascii="Times New Roman" w:hAnsi="Times New Roman"/>
                <w:sz w:val="20"/>
              </w:rPr>
              <w:t xml:space="preserve"> The Company expects to recognize restructuring charges in connection with the plan, primarily related to severance, of $0.3 million. The Company expects the charges will be recognized and paid in the </w:t>
            </w:r>
            <w:r>
              <w:rPr>
                <w:rStyle w:val="Emphasis"/>
                <w:rFonts w:ascii="Times New Roman" w:hAnsi="Times New Roman"/>
                <w:sz w:val="20"/>
              </w:rPr>
              <w:t>first</w:t>
            </w:r>
            <w:r>
              <w:rPr>
                <w:rFonts w:ascii="Times New Roman" w:hAnsi="Times New Roman"/>
                <w:sz w:val="20"/>
              </w:rPr>
              <w:t xml:space="preserve"> quarter of </w:t>
            </w:r>
            <w:r>
              <w:rPr>
                <w:rStyle w:val="Emphasis"/>
                <w:rFonts w:ascii="Times New Roman" w:hAnsi="Times New Roman"/>
                <w:sz w:val="20"/>
              </w:rPr>
              <w:t>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pPr>
            <w:r>
              <w:rPr>
                <w:rFonts w:ascii="Times New Roman" w:hAnsi="Times New Roman"/>
                <w:sz w:val="20"/>
              </w:rPr>
              <w:t xml:space="preserve">The Company's plan is to continue to closely monitor our operating forecast, to pursue additional sources of outside capital on terms that are acceptable to us, and to secure a waiver or forbearance from MidCap if we are unable to remain in compliance with </w:t>
            </w:r>
            <w:r>
              <w:rPr>
                <w:rStyle w:val="Emphasis"/>
                <w:rFonts w:ascii="Times New Roman" w:hAnsi="Times New Roman"/>
                <w:sz w:val="20"/>
              </w:rPr>
              <w:t>one</w:t>
            </w:r>
            <w:r>
              <w:rPr>
                <w:rFonts w:ascii="Times New Roman" w:hAnsi="Times New Roman"/>
                <w:sz w:val="20"/>
              </w:rPr>
              <w:t xml:space="preserve"> or more of the covenants required by the MidCap Credit Facility. Further, the Company has enacted a strategy to reduce the number of SKUs it sells and will </w:t>
            </w:r>
            <w:r>
              <w:rPr>
                <w:rStyle w:val="Emphasis"/>
                <w:rFonts w:ascii="Times New Roman" w:hAnsi="Times New Roman"/>
                <w:sz w:val="20"/>
              </w:rPr>
              <w:t>no</w:t>
            </w:r>
            <w:r>
              <w:rPr>
                <w:rFonts w:ascii="Times New Roman" w:hAnsi="Times New Roman"/>
                <w:sz w:val="20"/>
              </w:rPr>
              <w:t xml:space="preserve"> longer be pursuing future sales of SKUs that are either </w:t>
            </w:r>
            <w:r>
              <w:rPr>
                <w:rStyle w:val="Emphasis"/>
                <w:rFonts w:ascii="Times New Roman" w:hAnsi="Times New Roman"/>
                <w:sz w:val="20"/>
              </w:rPr>
              <w:t>not</w:t>
            </w:r>
            <w:r>
              <w:rPr>
                <w:rFonts w:ascii="Times New Roman" w:hAnsi="Times New Roman"/>
                <w:sz w:val="20"/>
              </w:rPr>
              <w:t xml:space="preserve"> profitable or </w:t>
            </w:r>
            <w:r>
              <w:rPr>
                <w:rStyle w:val="Emphasis"/>
                <w:rFonts w:ascii="Times New Roman" w:hAnsi="Times New Roman"/>
                <w:sz w:val="20"/>
              </w:rPr>
              <w:t>not</w:t>
            </w:r>
            <w:r>
              <w:rPr>
                <w:rFonts w:ascii="Times New Roman" w:hAnsi="Times New Roman"/>
                <w:sz w:val="20"/>
              </w:rPr>
              <w:t xml:space="preserve"> core to the Company’s strategy. If some or all of our plans prove unsuccessful, we </w:t>
            </w:r>
            <w:r>
              <w:rPr>
                <w:rStyle w:val="Emphasis"/>
                <w:rFonts w:ascii="Times New Roman" w:hAnsi="Times New Roman"/>
                <w:sz w:val="20"/>
              </w:rPr>
              <w:t xml:space="preserve">may </w:t>
            </w:r>
            <w:r>
              <w:rPr>
                <w:rFonts w:ascii="Times New Roman" w:hAnsi="Times New Roman"/>
                <w:sz w:val="20"/>
              </w:rPr>
              <w:t xml:space="preserve">need to implement short-term changes to our operating plan, including but </w:t>
            </w:r>
            <w:r>
              <w:rPr>
                <w:rStyle w:val="Emphasis"/>
                <w:rFonts w:ascii="Times New Roman" w:hAnsi="Times New Roman"/>
                <w:sz w:val="20"/>
              </w:rPr>
              <w:t>not</w:t>
            </w:r>
            <w:r>
              <w:rPr>
                <w:rFonts w:ascii="Times New Roman" w:hAnsi="Times New Roman"/>
                <w:sz w:val="20"/>
              </w:rPr>
              <w:t xml:space="preserve"> limited to delaying expenditures, reducing investments in new products, or reducing our sale and distribution infrastructure. We </w:t>
            </w:r>
            <w:r>
              <w:rPr>
                <w:rStyle w:val="Emphasis"/>
                <w:rFonts w:ascii="Times New Roman" w:hAnsi="Times New Roman"/>
                <w:sz w:val="20"/>
              </w:rPr>
              <w:t xml:space="preserve">may </w:t>
            </w:r>
            <w:r>
              <w:rPr>
                <w:rFonts w:ascii="Times New Roman" w:hAnsi="Times New Roman"/>
                <w:sz w:val="20"/>
              </w:rPr>
              <w:t>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Fonts w:ascii="Times New Roman" w:hAnsi="Times New Roman"/>
                <w:sz w:val="20"/>
              </w:rPr>
              <w:t xml:space="preserve">On </w:t>
            </w:r>
            <w:r>
              <w:rPr>
                <w:rStyle w:val="Emphasis"/>
                <w:rFonts w:ascii="Times New Roman" w:hAnsi="Times New Roman"/>
                <w:sz w:val="20"/>
              </w:rPr>
              <w:t xml:space="preserve">December 8, 2025, </w:t>
            </w:r>
            <w:r>
              <w:rPr>
                <w:rFonts w:ascii="Times New Roman" w:hAnsi="Times New Roman"/>
                <w:sz w:val="20"/>
              </w:rPr>
              <w:t xml:space="preserve">we announced that our Board of Directors has authorized the initiation of a process to explore strategic alternatives to maximize shareholder value, which </w:t>
            </w:r>
            <w:r>
              <w:rPr>
                <w:rStyle w:val="Emphasis"/>
                <w:rFonts w:ascii="Times New Roman" w:hAnsi="Times New Roman"/>
                <w:sz w:val="20"/>
              </w:rPr>
              <w:t xml:space="preserve">may </w:t>
            </w:r>
            <w:r>
              <w:rPr>
                <w:rFonts w:ascii="Times New Roman" w:hAnsi="Times New Roman"/>
                <w:sz w:val="20"/>
              </w:rPr>
              <w:t xml:space="preserve">include a sale of the company, a merger, or other strategic transactions. There can be </w:t>
            </w:r>
            <w:r>
              <w:rPr>
                <w:rStyle w:val="Emphasis"/>
                <w:rFonts w:ascii="Times New Roman" w:hAnsi="Times New Roman"/>
                <w:sz w:val="20"/>
              </w:rPr>
              <w:t>no</w:t>
            </w:r>
            <w:r>
              <w:rPr>
                <w:rFonts w:ascii="Times New Roman" w:hAnsi="Times New Roman"/>
                <w:sz w:val="20"/>
              </w:rPr>
              <w:t xml:space="preserve"> assurance that this process will result in any transaction or that any transaction, if pursued, will be on favorable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from the outcome of these uncertainties.</w:t>
      </w:r>
    </w:p>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Nasdaq Listing</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9, 2025, </w:t>
      </w:r>
      <w:r>
        <w:rPr>
          <w:rFonts w:ascii="Times New Roman" w:hAnsi="Times New Roman"/>
          <w:caps w:val="false"/>
          <w:smallCaps w:val="false"/>
          <w:sz w:val="20"/>
        </w:rPr>
        <w:t xml:space="preserve">the Company received a letter from the Listing Qualifications Staff of The Nasdaq Stock Market LLC (“Nasdaq”) indicating that, based upon the closing bid price of the Company’s common stock, par value </w:t>
      </w:r>
      <w:r>
        <w:rPr>
          <w:rStyle w:val="Emphasis"/>
          <w:rFonts w:ascii="Times New Roman" w:hAnsi="Times New Roman"/>
          <w:caps w:val="false"/>
          <w:smallCaps w:val="false"/>
          <w:sz w:val="20"/>
        </w:rPr>
        <w:t>$0.0001</w:t>
      </w:r>
      <w:r>
        <w:rPr>
          <w:rFonts w:ascii="Times New Roman" w:hAnsi="Times New Roman"/>
          <w:caps w:val="false"/>
          <w:smallCaps w:val="false"/>
          <w:sz w:val="20"/>
        </w:rPr>
        <w:t xml:space="preserve"> per share (“Common Stock”), for the last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consecutive business days,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in compliance with the requirement to maintain a minimum bid price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for continued listing on The Nasdaq Capital Market, as set forth in Nasdaq Listing Rule </w:t>
      </w:r>
      <w:r>
        <w:rPr>
          <w:rStyle w:val="Emphasis"/>
          <w:rFonts w:ascii="Times New Roman" w:hAnsi="Times New Roman"/>
          <w:caps w:val="false"/>
          <w:smallCaps w:val="false"/>
          <w:sz w:val="20"/>
        </w:rPr>
        <w:t>5550</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(the “Bid Price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Bid Price Notice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immediate effect on the continued listing status of the Common Stock on The Nasdaq Capital Market, and, therefore, the Company's listing remains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provided a compliance period of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calendar days from the date of the Bid Price Notice, or until </w:t>
      </w:r>
      <w:r>
        <w:rPr>
          <w:rStyle w:val="Emphasis"/>
          <w:rFonts w:ascii="Times New Roman" w:hAnsi="Times New Roman"/>
          <w:caps w:val="false"/>
          <w:smallCaps w:val="false"/>
          <w:sz w:val="20"/>
        </w:rPr>
        <w:t xml:space="preserve">June 8, 2026, </w:t>
      </w:r>
      <w:r>
        <w:rPr>
          <w:rFonts w:ascii="Times New Roman" w:hAnsi="Times New Roman"/>
          <w:caps w:val="false"/>
          <w:smallCaps w:val="false"/>
          <w:sz w:val="20"/>
        </w:rPr>
        <w:t xml:space="preserve">to regain compliance with the minimum closing bid requirement, pursuant to Nasdaq Listing Rule </w:t>
      </w:r>
      <w:r>
        <w:rPr>
          <w:rStyle w:val="Emphasis"/>
          <w:rFonts w:ascii="Times New Roman" w:hAnsi="Times New Roman"/>
          <w:caps w:val="false"/>
          <w:smallCaps w:val="false"/>
          <w:sz w:val="20"/>
        </w:rPr>
        <w:t>5810</w:t>
      </w:r>
      <w:r>
        <w:rPr>
          <w:rFonts w:ascii="Times New Roman" w:hAnsi="Times New Roman"/>
          <w:caps w:val="false"/>
          <w:smallCaps w:val="false"/>
          <w:sz w:val="20"/>
        </w:rPr>
        <w:t>(c)(</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)(A). If at any time before </w:t>
      </w:r>
      <w:r>
        <w:rPr>
          <w:rStyle w:val="Emphasis"/>
          <w:rFonts w:ascii="Times New Roman" w:hAnsi="Times New Roman"/>
          <w:caps w:val="false"/>
          <w:smallCaps w:val="false"/>
          <w:sz w:val="20"/>
        </w:rPr>
        <w:t xml:space="preserve">June 8, 2026, </w:t>
      </w:r>
      <w:r>
        <w:rPr>
          <w:rFonts w:ascii="Times New Roman" w:hAnsi="Times New Roman"/>
          <w:caps w:val="false"/>
          <w:smallCaps w:val="false"/>
          <w:sz w:val="20"/>
        </w:rPr>
        <w:t xml:space="preserve">the closing bid price of the Common Stock closes at or above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for a minimum of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consecutive business days, subject to Nasdaq’s discretion to extend this period pursuant to Nasdaq Listing Rule </w:t>
      </w:r>
      <w:r>
        <w:rPr>
          <w:rStyle w:val="Emphasis"/>
          <w:rFonts w:ascii="Times New Roman" w:hAnsi="Times New Roman"/>
          <w:caps w:val="false"/>
          <w:smallCaps w:val="false"/>
          <w:sz w:val="20"/>
        </w:rPr>
        <w:t>5810</w:t>
      </w:r>
      <w:r>
        <w:rPr>
          <w:rFonts w:ascii="Times New Roman" w:hAnsi="Times New Roman"/>
          <w:caps w:val="false"/>
          <w:smallCaps w:val="false"/>
          <w:sz w:val="20"/>
        </w:rPr>
        <w:t>(c)(</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)(H) to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consecutive business days, Nasdaq will provide written notification that the Company has achieved compliance with the minimum bid price requirement, and the matter would be resolved.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regain compliance during the compliance period ending </w:t>
      </w:r>
      <w:r>
        <w:rPr>
          <w:rStyle w:val="Emphasis"/>
          <w:rFonts w:ascii="Times New Roman" w:hAnsi="Times New Roman"/>
          <w:caps w:val="false"/>
          <w:smallCaps w:val="false"/>
          <w:sz w:val="20"/>
        </w:rPr>
        <w:t xml:space="preserve">June 8, 2026, </w:t>
      </w:r>
      <w:r>
        <w:rPr>
          <w:rFonts w:ascii="Times New Roman" w:hAnsi="Times New Roman"/>
          <w:caps w:val="false"/>
          <w:smallCaps w:val="false"/>
          <w:sz w:val="20"/>
        </w:rPr>
        <w:t xml:space="preserve">then Nasdaq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the Company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will continue to monitor the closing bid price of its Common Stock and seek to regain compliance with all applicable Nasdaq requirements within the allotted compliance periods.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regain compliance within the allotted compliance periods, including any extensions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by Nasdaq, Nasdaq will provide notice that the Common Stock will be subject to delisting. The Company would then be entitled to appeal that determination to a Nasdaq hearings panel.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regain compliance with the minimum bid price requirement during the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-day compliance period, secure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period of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to regain compliance or maintain compliance with the other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Consolidated Financial Statements and accompanying notes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Restricted Cash</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has classified the following as restricted cash: $0.1 million related to its Chinese subsidiary within “Other Noncurrent Assets” on the Consolidated Balance Sheets and $1.0 million related to a letter of credit within "Prepaid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Accounts Receivable</w:t>
      </w:r>
      <w:r>
        <w:rPr>
          <w:rFonts w:ascii="Times New Roman" w:hAnsi="Times New Roman"/>
          <w:caps w:val="false"/>
          <w:smallCaps w:val="false"/>
          <w:sz w:val="20"/>
        </w:rPr>
        <w:t xml:space="preserve">—Accounts receivable are stated at historical cost less allowance for credit losses.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payments based on agreed-upon terms.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security or collateral to support its receivables. The Company performs ongoing evaluations of its customers and maintains an allowance for credit losses.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did not have an allowance for credit losses.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had an allowance for credit losses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Concentration of Credit Risk</w:t>
      </w:r>
      <w:r>
        <w:rPr>
          <w:rFonts w:ascii="Times New Roman" w:hAnsi="Times New Roman"/>
          <w:caps w:val="false"/>
          <w:smallCaps w:val="false"/>
          <w:sz w:val="20"/>
        </w:rPr>
        <w:t>—Financial instruments that potentially subject the Company to concentrations of credit risk consist primarily of cash and accounts receivable. The Company maintains cash and restricted cash with various domestic and foreign financial institutions of high credit quality. The Company performs periodic evaluations of the relative credit standing of all of the aforementioned institutions. The Company does have cash deposits at financial institutions in excess of the insured amount of $0.3 million by the Federal Deposit Insurance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accounts receivables are derived from sales contracts with a large number of customers. The Company maintains reserves for potential credit losses on customer accounts when deemed necessary. Significant customers are those which represent more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total net revenue or gross accounts receivable balance at the balance sheet date. During the years-ended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customers that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total net revenue.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three customers accounted for approximately 46%, 14%, and 11% of gross accounts receivable.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three customers accounted for approximately 37%, 20%, and 11% of gross accounts receivable.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approximately 26% and 31%, respectively, of its accounts receivable is held by the Company’s sales platform vendor, Amazon, which collects money on the Company’s behalf from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business is reliant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key vendor which currently provides the Company with its sales platform, logistics and fulfillment operations, including certain warehousing for the Company’s net goods, and invoicing and collection of its revenue from the Company’s end customers.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approximately 86% of the Company’s revenue was through or with the Amazon sales platform and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92% of its net revenue was through or with the Amazon sales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Property and Equipment</w:t>
      </w:r>
      <w:r>
        <w:rPr>
          <w:rFonts w:ascii="Times New Roman" w:hAnsi="Times New Roman"/>
          <w:caps w:val="false"/>
          <w:smallCaps w:val="false"/>
          <w:sz w:val="20"/>
        </w:rPr>
        <w:t xml:space="preserve">—Property and equipment are stated at cost less accumulated depreciation and amortization. Depreciation is provided for using the straight-line method over the estimated useful lives of the assets. Capital leases and leasehold improvements are amortized using the straight-line method over the shorter of the lease term or estimated useful life of the asset. Costs of maintenance and repairs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improve or extend the lives of the respective assets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Income Taxes</w:t>
      </w:r>
      <w:r>
        <w:rPr>
          <w:rFonts w:ascii="Times New Roman" w:hAnsi="Times New Roman"/>
          <w:caps w:val="false"/>
          <w:smallCaps w:val="false"/>
          <w:sz w:val="20"/>
        </w:rPr>
        <w:t xml:space="preserve">—The Company accounts for income taxes under the asset and liability method. Deferred tax assets and liabilities are recognized for the 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such loss carry-forwards and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Company recognizes the tax benefits on any uncertain tax positions taken or expected to be taken in the Consolidated Financial Statements when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position will be realized upon ultimate settlement with the tax authority assuming full knowledge of the position and relevant facts. The tax benefits recognized in the Consolidated Financial Statements from such a position are measured based on the largest benefit that has a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of being realized upon ultimate settlement. The Company recognizes estimated interest and penalties related to uncertain tax positions as a part of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Revenue Recognition</w:t>
      </w:r>
      <w:r>
        <w:rPr>
          <w:rFonts w:ascii="Times New Roman" w:hAnsi="Times New Roman"/>
          <w:caps w:val="false"/>
          <w:smallCaps w:val="false"/>
          <w:sz w:val="20"/>
        </w:rPr>
        <w:t xml:space="preserve">—The Company accounts for revenue in accordance with Financial Accounting Standards Board (“FASB”) Accounting Standard Codification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(“ASC Topic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direct-to-consumer sales, the Company considers customer order confirmations to be a contract with the customer. Customer confirmations are executed at the time an order is placed through </w:t>
      </w:r>
      <w:r>
        <w:rPr>
          <w:rStyle w:val="Emphasis"/>
          <w:rFonts w:ascii="Times New Roman" w:hAnsi="Times New Roman"/>
          <w:caps w:val="false"/>
          <w:smallCaps w:val="false"/>
          <w:sz w:val="20"/>
        </w:rPr>
        <w:t>third</w:t>
      </w:r>
      <w:r>
        <w:rPr>
          <w:rFonts w:ascii="Times New Roman" w:hAnsi="Times New Roman"/>
          <w:caps w:val="false"/>
          <w:smallCaps w:val="false"/>
          <w:sz w:val="20"/>
        </w:rPr>
        <w:t>-party online channels. For wholesale sales, the Company considers the customer purchase order to be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and $0.3 million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which is included in accrued expenses and other current liabilities on the Consolidated Balance Sheets 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evaluated principal versus agent considerations to determine whether it is appropriate to record platform fees paid to Amazon as an expense or as a reduction of revenue. Platform fees are recorded as sales and distribution expenses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as a reduction of revenue because the Company owns and controls all the goods before they are transferred to the customer. The Company can, at any time, direct Amazon, or similarly, direct other </w:t>
      </w:r>
      <w:r>
        <w:rPr>
          <w:rStyle w:val="Emphasis"/>
          <w:rFonts w:ascii="Times New Roman" w:hAnsi="Times New Roman"/>
          <w:caps w:val="false"/>
          <w:smallCaps w:val="false"/>
          <w:sz w:val="20"/>
        </w:rPr>
        <w:t>third</w:t>
      </w:r>
      <w:r>
        <w:rPr>
          <w:rFonts w:ascii="Times New Roman" w:hAnsi="Times New Roman"/>
          <w:caps w:val="false"/>
          <w:smallCaps w:val="false"/>
          <w:sz w:val="20"/>
        </w:rPr>
        <w:t>-party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Performance Obligations</w:t>
      </w:r>
      <w:r>
        <w:rPr>
          <w:rFonts w:ascii="Times New Roman" w:hAnsi="Times New Roman"/>
          <w:caps w:val="false"/>
          <w:smallCaps w:val="false"/>
          <w:sz w:val="20"/>
        </w:rPr>
        <w:t xml:space="preserve">. A performance obligation is a promise in a contract to transfer a distinct good to the customer and is the unit of account in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 contract’s transaction price is recognized as revenue when the performance obligation is satisfied. Each of the Company’s contracts have a single distinct performance obligation, which is the promise to transfer individual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consumer product sales, the Company has elected to treat shipping and handling as fulfillment activities,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were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taxes</w:t>
      </w:r>
      <w:r>
        <w:rPr>
          <w:rFonts w:ascii="Times New Roman" w:hAnsi="Times New Roman"/>
          <w:caps w:val="false"/>
          <w:smallCaps w:val="false"/>
          <w:sz w:val="20"/>
        </w:rPr>
        <w:t>—Consistent with prior periods, sales taxes collected from customers are presented on a net basis and as such are excluded from net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Category</w:t>
      </w:r>
      <w:r>
        <w:rPr>
          <w:rFonts w:ascii="Times New Roman" w:hAnsi="Times New Roman"/>
          <w:caps w:val="false"/>
          <w:smallCaps w:val="false"/>
          <w:sz w:val="20"/>
        </w:rPr>
        <w:t>: The following tables set forth the Company’s net revenue disaggregated by sales channel and geographic region based on the billing addresses of its customers:</w:t>
      </w:r>
    </w:p>
    <w:p>
      <w:pPr>
        <w:pStyle w:val="TextBody"/>
        <w:bidi w:val="0"/>
        <w:spacing w:before="0" w:after="0"/>
        <w:ind w:left="0" w:right="0" w:hanging="0"/>
        <w:jc w:val="both"/>
        <w:rPr>
          <w:caps w:val="false"/>
          <w:smallCaps w:val="false"/>
        </w:rPr>
      </w:pPr>
      <w:r>
        <w:rPr>
          <w:caps w:val="false"/>
          <w:smallCaps w:val="false"/>
        </w:rPr>
        <w:t> </w:t>
      </w:r>
    </w:p>
    <w:tbl>
      <w:tblPr>
        <w:tblW w:w="4649" w:type="dxa"/>
        <w:jc w:val="left"/>
        <w:tblInd w:w="0" w:type="dxa"/>
        <w:tblLayout w:type="fixed"/>
        <w:tblCellMar>
          <w:top w:w="0" w:type="dxa"/>
          <w:left w:w="0" w:type="dxa"/>
          <w:bottom w:w="0" w:type="dxa"/>
          <w:right w:w="0" w:type="dxa"/>
        </w:tblCellMar>
      </w:tblPr>
      <w:tblGrid>
        <w:gridCol w:w="1445"/>
        <w:gridCol w:w="60"/>
        <w:gridCol w:w="125"/>
        <w:gridCol w:w="590"/>
        <w:gridCol w:w="60"/>
        <w:gridCol w:w="60"/>
        <w:gridCol w:w="288"/>
        <w:gridCol w:w="1126"/>
        <w:gridCol w:w="60"/>
        <w:gridCol w:w="60"/>
        <w:gridCol w:w="125"/>
        <w:gridCol w:w="590"/>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4"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Direct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Wholesale/Other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63,663</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49" w:type="dxa"/>
        <w:jc w:val="left"/>
        <w:tblInd w:w="0" w:type="dxa"/>
        <w:tblLayout w:type="fixed"/>
        <w:tblCellMar>
          <w:top w:w="0" w:type="dxa"/>
          <w:left w:w="0" w:type="dxa"/>
          <w:bottom w:w="0" w:type="dxa"/>
          <w:right w:w="0" w:type="dxa"/>
        </w:tblCellMar>
      </w:tblPr>
      <w:tblGrid>
        <w:gridCol w:w="1445"/>
        <w:gridCol w:w="60"/>
        <w:gridCol w:w="125"/>
        <w:gridCol w:w="590"/>
        <w:gridCol w:w="60"/>
        <w:gridCol w:w="60"/>
        <w:gridCol w:w="288"/>
        <w:gridCol w:w="1126"/>
        <w:gridCol w:w="60"/>
        <w:gridCol w:w="60"/>
        <w:gridCol w:w="125"/>
        <w:gridCol w:w="590"/>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4"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Direct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Wholesale/Other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93,519</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5,526</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Product Categories</w:t>
      </w:r>
      <w:r>
        <w:rPr>
          <w:rFonts w:ascii="Times New Roman" w:hAnsi="Times New Roman"/>
          <w:caps w:val="false"/>
          <w:smallCaps w:val="false"/>
          <w:sz w:val="20"/>
        </w:rPr>
        <w:t>: The following table sets forth the Company’s net revenue disaggregated by product categories:</w:t>
      </w:r>
    </w:p>
    <w:p>
      <w:pPr>
        <w:pStyle w:val="TextBody"/>
        <w:bidi w:val="0"/>
        <w:spacing w:before="0" w:after="0"/>
        <w:ind w:left="0" w:right="0" w:hanging="0"/>
        <w:jc w:val="left"/>
        <w:rPr>
          <w:caps w:val="false"/>
          <w:smallCaps w:val="false"/>
        </w:rPr>
      </w:pPr>
      <w:r>
        <w:rPr>
          <w:caps w:val="false"/>
          <w:smallCaps w:val="false"/>
        </w:rPr>
        <w:t> </w:t>
      </w:r>
    </w:p>
    <w:tbl>
      <w:tblPr>
        <w:tblW w:w="5548" w:type="dxa"/>
        <w:jc w:val="left"/>
        <w:tblInd w:w="0" w:type="dxa"/>
        <w:tblLayout w:type="fixed"/>
        <w:tblCellMar>
          <w:top w:w="0" w:type="dxa"/>
          <w:left w:w="0" w:type="dxa"/>
          <w:bottom w:w="0" w:type="dxa"/>
          <w:right w:w="0" w:type="dxa"/>
        </w:tblCellMar>
      </w:tblPr>
      <w:tblGrid>
        <w:gridCol w:w="3020"/>
        <w:gridCol w:w="60"/>
        <w:gridCol w:w="199"/>
        <w:gridCol w:w="945"/>
        <w:gridCol w:w="60"/>
        <w:gridCol w:w="60"/>
        <w:gridCol w:w="199"/>
        <w:gridCol w:w="945"/>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60" w:type="dxa"/>
            <w:tcBorders/>
            <w:shd w:fill="FFFFFF" w:val="clear"/>
            <w:vAlign w:val="center"/>
          </w:tcPr>
          <w:p>
            <w:pPr>
              <w:pStyle w:val="TableContents"/>
              <w:bidi w:val="0"/>
              <w:spacing w:before="0" w:after="0"/>
              <w:jc w:val="center"/>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26,398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9,565</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22,521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12,719</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 xml:space="preserve">—The Company’s financial instruments, including net accounts receivable, accounts payable, and accrued and other current liabilities are carried at historical cost.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carrying amounts of these instruments approximated their fair values because of their short-term nature. The Company’s credit facility is carried at amortized cost at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and the carrying amount approximates fair value as the stated interest rate approximates market rates currently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stock purchase warrants issued in connection with the Company’s common stock offering on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Distinguishing Liabilities from Equity (“ASC </w:t>
      </w:r>
      <w:r>
        <w:rPr>
          <w:rStyle w:val="Emphasis"/>
          <w:rFonts w:ascii="Times New Roman" w:hAnsi="Times New Roman"/>
          <w:i/>
          <w:caps w:val="false"/>
          <w:smallCaps w:val="false"/>
          <w:sz w:val="20"/>
        </w:rPr>
        <w:t>480”</w:t>
      </w:r>
      <w:r>
        <w:rPr>
          <w:rFonts w:ascii="Times New Roman" w:hAnsi="Times New Roman"/>
          <w:i/>
          <w:caps w:val="false"/>
          <w:smallCaps w:val="false"/>
          <w:sz w:val="20"/>
        </w:rPr>
        <w:t>)</w:t>
      </w:r>
      <w:r>
        <w:rPr>
          <w:rFonts w:ascii="Times New Roman" w:hAnsi="Times New Roman"/>
          <w:caps w:val="false"/>
          <w:smallCaps w:val="false"/>
          <w:sz w:val="20"/>
        </w:rPr>
        <w:t xml:space="preserve">, and FASB Accounting Standards Codification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(“ASC </w:t>
      </w:r>
      <w:r>
        <w:rPr>
          <w:rStyle w:val="Emphasis"/>
          <w:rFonts w:ascii="Times New Roman" w:hAnsi="Times New Roman"/>
          <w:i/>
          <w:caps w:val="false"/>
          <w:smallCaps w:val="false"/>
          <w:sz w:val="20"/>
        </w:rPr>
        <w:t>815”</w:t>
      </w:r>
      <w:r>
        <w:rPr>
          <w:rFonts w:ascii="Times New Roman" w:hAnsi="Times New Roman"/>
          <w:i/>
          <w:caps w:val="false"/>
          <w:smallCaps w:val="false"/>
          <w:sz w:val="20"/>
        </w:rPr>
        <w:t>)</w:t>
      </w:r>
      <w:r>
        <w:rPr>
          <w:rFonts w:ascii="Times New Roman" w:hAnsi="Times New Roman"/>
          <w:caps w:val="false"/>
          <w:smallCaps w:val="false"/>
          <w:sz w:val="20"/>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for disclosure of fair value measurements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caps w:val="false"/>
          <w:smallCaps w:val="false"/>
          <w:sz w:val="20"/>
        </w:rPr>
        <w:t xml:space="preserve">—Inputs are observable, unadjusted quoted prices in active markets for similar assets or liabilities, unadjusted quoted prices for identical or similar assets or liabilities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caps w:val="false"/>
          <w:smallCaps w:val="false"/>
          <w:sz w:val="20"/>
        </w:rPr>
        <w:t xml:space="preserve">—Unobservable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related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Intangibles</w:t>
      </w:r>
      <w:r>
        <w:rPr>
          <w:rFonts w:ascii="Times New Roman" w:hAnsi="Times New Roman"/>
          <w:caps w:val="false"/>
          <w:smallCaps w:val="false"/>
          <w:sz w:val="20"/>
        </w:rPr>
        <w:t xml:space="preserve">—We review long-lived assets for impairment when performance expectations, events, or changes in circumstances indicate that the asset's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 evaluation is performed at the lowest level of identifiable cash flows by comparing the carrying value of the asset group to the undiscounted cash flows. If the evaluation indicates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Company announced that its Board of Directors had initiated a process to explore strategic alternatives to maximize shareholder value. This announcement constituted a triggering event under ASC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Accordingly, the Company recorded a non-cash impairment charge of approximately $3.8 million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impairment charge is included within impairment loss on intangibles on the Consolidated Statement of Operations.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remaining balance of intangible assets was $4.4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to test intangibles for impairment loss during the year ended </w:t>
      </w:r>
      <w:r>
        <w:rPr>
          <w:rStyle w:val="Emphasis"/>
          <w:rFonts w:ascii="Times New Roman" w:hAnsi="Times New Roman"/>
          <w:caps w:val="false"/>
          <w:smallCaps w:val="false"/>
          <w:sz w:val="20"/>
        </w:rPr>
        <w:t>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materialize,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record intangible impairment charges,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 xml:space="preserve">—The Company’s inventory consists almost entirely of finished goods. The Company currently records inventory on its balance sheet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Conversely, if we are able to sell inventories that had been written down to a level below the ultimate realized selling price in a previous period, sales would be recorded with a lower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offsetting charge to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goods sold” line item in the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Sales and Distribution</w:t>
      </w:r>
      <w:r>
        <w:rPr>
          <w:rFonts w:ascii="Times New Roman" w:hAnsi="Times New Roman"/>
          <w:caps w:val="false"/>
          <w:smallCaps w:val="false"/>
          <w:sz w:val="20"/>
        </w:rPr>
        <w:t xml:space="preserve">—Sales and distribution variable expenses consist of online advertising costs, marketing and promotional costs, sales and ecommerce platform commissions, fulfillment, including shipping and handling, and warehouse costs.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w:t>
      </w:r>
      <w:r>
        <w:rPr>
          <w:rStyle w:val="Emphasis"/>
          <w:rFonts w:ascii="Times New Roman" w:hAnsi="Times New Roman"/>
          <w:caps w:val="false"/>
          <w:smallCaps w:val="false"/>
          <w:sz w:val="20"/>
        </w:rPr>
        <w:t>third</w:t>
      </w:r>
      <w:r>
        <w:rPr>
          <w:rFonts w:ascii="Times New Roman" w:hAnsi="Times New Roman"/>
          <w:caps w:val="false"/>
          <w:smallCaps w:val="false"/>
          <w:sz w:val="20"/>
        </w:rPr>
        <w:t>-party logistics partners. The Company’s expense for shipping and handling was $12.1 million and $19.0 million during fiscal years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days. We periodically review the locations and capacity of our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 For the years-ended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recognized $7.3 million and $7.4 million, respectively, for advertising costs, which consists primarily of online advertising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and Administrative</w:t>
      </w:r>
      <w:r>
        <w:rPr>
          <w:rFonts w:ascii="Times New Roman" w:hAnsi="Times New Roman"/>
          <w:caps w:val="false"/>
          <w:smallCaps w:val="false"/>
          <w:sz w:val="20"/>
        </w:rPr>
        <w:t>—General and administrative expenses include compensation and employee benefits for executive management, finance administration, legal, technology, and human resources, facility costs, insurance, travel, professional service fees, and other general overhead costs, including the costs of being a public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Stock-Based Compensation</w:t>
      </w:r>
      <w:r>
        <w:rPr>
          <w:rFonts w:ascii="Times New Roman" w:hAnsi="Times New Roman"/>
          <w:caps w:val="false"/>
          <w:smallCaps w:val="false"/>
          <w:sz w:val="20"/>
        </w:rPr>
        <w:t>—Stock-based compensation expense to employees is measured based on the grant-date fair value of the awards and recognized in the consolidated statements of operations over the period during which the employee is required to perform services in exchange for the award (the vesting period of the award). The fair value of restricted stock awards is based on the stock price on the date of the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Foreign Currency</w:t>
      </w:r>
      <w:r>
        <w:rPr>
          <w:rFonts w:ascii="Times New Roman" w:hAnsi="Times New Roman"/>
          <w:caps w:val="false"/>
          <w:smallCaps w:val="false"/>
          <w:sz w:val="20"/>
        </w:rPr>
        <w:t>—The functional currency of the Company’s foreign subsidiaries is the local currency. All assets and liabilities of foreign subsidiaries 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$0.3 million for the year ended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a net gain from foreign currency transactions of $0.1 million for the year ended </w:t>
      </w:r>
      <w:r>
        <w:rPr>
          <w:rStyle w:val="Emphasis"/>
          <w:rFonts w:ascii="Times New Roman" w:hAnsi="Times New Roman"/>
          <w:caps w:val="false"/>
          <w:smallCaps w:val="false"/>
          <w:sz w:val="20"/>
        </w:rPr>
        <w:t>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Net Loss Per Share</w:t>
      </w:r>
      <w:r>
        <w:rPr>
          <w:rFonts w:ascii="Times New Roman" w:hAnsi="Times New Roman"/>
          <w:caps w:val="false"/>
          <w:smallCaps w:val="false"/>
          <w:sz w:val="20"/>
        </w:rPr>
        <w:t xml:space="preserve">—The Company computes basic earnings per share using the weighted-average number of shares of common stock outstanding during the period. For periods in which the Company reports net losses, diluted net loss per share attributable to stockholders is the same as basic net loss per share attributable to stockholders, because potentially dilutive common shares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assumed to have been issued if their effect is anti-dilutive.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Segment Information</w:t>
      </w:r>
      <w:r>
        <w:rPr>
          <w:rFonts w:ascii="Times New Roman" w:hAnsi="Times New Roman"/>
          <w:caps w:val="false"/>
          <w:smallCaps w:val="false"/>
          <w:sz w:val="20"/>
        </w:rPr>
        <w:t xml:space="preserve">—The Company reports segment information in accordance with ASC Topic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“Segment Reporting.” The Company has one reportable segment. See Note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w:t>
      </w:r>
      <w:r>
        <w:rPr>
          <w:rFonts w:ascii="Times New Roman" w:hAnsi="Times New Roman"/>
          <w:i/>
          <w:caps w:val="false"/>
          <w:smallCaps w:val="false"/>
          <w:sz w:val="20"/>
        </w:rPr>
        <w:t>Segment Information</w:t>
      </w:r>
      <w:r>
        <w:rPr>
          <w:rFonts w:ascii="Times New Roman" w:hAnsi="Times New Roman"/>
          <w:caps w:val="false"/>
          <w:smallCaps w:val="false"/>
          <w:sz w:val="20"/>
        </w:rPr>
        <w:t>, in the accompanying notes to our consolidated financial statements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Warrant Liabilities</w:t>
      </w:r>
      <w:r>
        <w:rPr>
          <w:rFonts w:ascii="Times New Roman" w:hAnsi="Times New Roman"/>
          <w:caps w:val="false"/>
          <w:smallCaps w:val="false"/>
          <w:sz w:val="20"/>
        </w:rPr>
        <w:t>—The fair values of the outstanding warrants were measured using the Black Scholes model.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liabilities, and are recorded within the Change in fair value of warrant line item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warrant liabilities was zero and $0.1 million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which is included in accrued expenses and other current liabilities on the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b/>
          <w:sz w:val="20"/>
        </w:rPr>
        <w:t xml:space="preserve">ecent Accounting Pronouncements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FASB finalized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This ASU provides for certain updates to enhance the transparency about companies’ exposure to changes in tax legislation and the global tax risk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face. Under the guidance, companies will be required to provide a breakout of amounts paid for taxes between federal, state, and foreign taxing jurisdictions, rather than a lump sum amount. Further, the rate reconciliation will require disaggregation into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specific categories, with these categories further disaggregated by jurisdiction and for amounts exceeding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percent of their domestic tax rate. The rate reconciliation will need to also disclose both dollar amounts and percentages. This standard is effective for fiscal years beginning after </w:t>
      </w:r>
      <w:r>
        <w:rPr>
          <w:rStyle w:val="Emphasis"/>
          <w:rFonts w:ascii="Times New Roman" w:hAnsi="Times New Roman"/>
          <w:caps w:val="false"/>
          <w:smallCaps w:val="false"/>
          <w:sz w:val="20"/>
        </w:rPr>
        <w:t>December 15, 2024. </w:t>
      </w:r>
      <w:r>
        <w:rPr>
          <w:rFonts w:ascii="Times New Roman" w:hAnsi="Times New Roman"/>
          <w:caps w:val="false"/>
          <w:smallCaps w:val="false"/>
          <w:sz w:val="20"/>
        </w:rPr>
        <w:t xml:space="preserve">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during the year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13,</w:t>
      </w:r>
      <w:r>
        <w:rPr>
          <w:rFonts w:ascii="Times New Roman" w:hAnsi="Times New Roman"/>
          <w:caps w:val="false"/>
          <w:smallCaps w:val="false"/>
          <w:sz w:val="20"/>
        </w:rPr>
        <w:t> </w:t>
      </w:r>
      <w:r>
        <w:rPr>
          <w:rFonts w:ascii="Times New Roman" w:hAnsi="Times New Roman"/>
          <w:i/>
          <w:caps w:val="false"/>
          <w:smallCaps w:val="false"/>
          <w:sz w:val="20"/>
        </w:rPr>
        <w:t>Income Taxes</w:t>
      </w:r>
      <w:r>
        <w:rPr>
          <w:rFonts w:ascii="Times New Roman" w:hAnsi="Times New Roman"/>
          <w:caps w:val="false"/>
          <w:smallCaps w:val="false"/>
          <w:sz w:val="20"/>
        </w:rPr>
        <w:t xml:space="preserve"> in the accompanying notes to the consolidated financial statements for further detail.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w:t>
      </w:r>
      <w:r>
        <w:rPr>
          <w:rFonts w:ascii="Times New Roman" w:hAnsi="Times New Roman"/>
          <w:caps w:val="false"/>
          <w:smallCaps w:val="false"/>
          <w:sz w:val="20"/>
        </w:rPr>
        <w:t xml:space="preserve">: Disaggregation of Income Statement Expenses, requiring public entities to disclose additional information about specific expense categories in the notes to the financial statements on an interim and annual basis.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for interim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with early adoption permitted. The Company is currently evaluating the impact of adopting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30,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xml:space="preserve">, which provides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amendments will be effective for annual reporting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with early adoption permitted. The Company is currently evaluating the impact of adopting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8,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w:t>
      </w:r>
      <w:r>
        <w:rPr>
          <w:rFonts w:ascii="Times New Roman" w:hAnsi="Times New Roman"/>
          <w:i/>
          <w:caps w:val="false"/>
          <w:smallCaps w:val="false"/>
          <w:sz w:val="20"/>
        </w:rPr>
        <w:t>Narrow-Scope Improvements</w:t>
      </w:r>
      <w:r>
        <w:rPr>
          <w:rFonts w:ascii="Times New Roman" w:hAnsi="Times New Roman"/>
          <w:caps w:val="false"/>
          <w:smallCaps w:val="false"/>
          <w:sz w:val="20"/>
        </w:rPr>
        <w:t xml:space="preserve">, which updates the current guidance by improving navigability of the required interim disclosures, clarifying when that guidance is applicable and adding a principle that requires entities to disclose events since the last annual reporting period that have a material impact on the entity. The amendments will be effective for interim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with early adoption permitted. The Company is currently evaluating the impact of adopting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reviewed all other recently issued accounting pronouncements and concluded that they were either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significant impact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405" w:type="dxa"/>
        <w:jc w:val="left"/>
        <w:tblInd w:w="0" w:type="dxa"/>
        <w:tblLayout w:type="fixed"/>
        <w:tblCellMar>
          <w:top w:w="0" w:type="dxa"/>
          <w:left w:w="0" w:type="dxa"/>
          <w:bottom w:w="0" w:type="dxa"/>
          <w:right w:w="0" w:type="dxa"/>
        </w:tblCellMar>
      </w:tblPr>
      <w:tblGrid>
        <w:gridCol w:w="170"/>
        <w:gridCol w:w="123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p>
        </w:tc>
        <w:tc>
          <w:tcPr>
            <w:tcW w:w="1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INVENTORY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Inventory consisted of the following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213" w:type="dxa"/>
        <w:jc w:val="left"/>
        <w:tblInd w:w="0" w:type="dxa"/>
        <w:tblLayout w:type="fixed"/>
        <w:tblCellMar>
          <w:top w:w="0" w:type="dxa"/>
          <w:left w:w="0" w:type="dxa"/>
          <w:bottom w:w="0" w:type="dxa"/>
          <w:right w:w="0" w:type="dxa"/>
        </w:tblCellMar>
      </w:tblPr>
      <w:tblGrid>
        <w:gridCol w:w="1610"/>
        <w:gridCol w:w="60"/>
        <w:gridCol w:w="204"/>
        <w:gridCol w:w="970"/>
        <w:gridCol w:w="60"/>
        <w:gridCol w:w="60"/>
        <w:gridCol w:w="204"/>
        <w:gridCol w:w="970"/>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on-hand</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12,484</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in-transit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inventory on-hand is held either with Amazon or the Company’s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warehouses.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contractual right of returns with its contract manufacturers. The Company’s inventory on-hand held by Amazon was approximately $4.5 million and $3.5 million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respectively.</w:t>
      </w:r>
    </w:p>
    <w:p>
      <w:pPr>
        <w:pStyle w:val="TextBody"/>
        <w:bidi w:val="0"/>
        <w:spacing w:before="0" w:after="0"/>
        <w:jc w:val="left"/>
        <w:rPr/>
      </w:pPr>
      <w:r>
        <w:rPr/>
        <w:t xml:space="preserve">  </w:t>
      </w:r>
    </w:p>
    <w:tbl>
      <w:tblPr>
        <w:tblW w:w="3085" w:type="dxa"/>
        <w:jc w:val="left"/>
        <w:tblInd w:w="0" w:type="dxa"/>
        <w:tblLayout w:type="fixed"/>
        <w:tblCellMar>
          <w:top w:w="0" w:type="dxa"/>
          <w:left w:w="0" w:type="dxa"/>
          <w:bottom w:w="0" w:type="dxa"/>
          <w:right w:w="0" w:type="dxa"/>
        </w:tblCellMar>
      </w:tblPr>
      <w:tblGrid>
        <w:gridCol w:w="170"/>
        <w:gridCol w:w="291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Accounts receivable consisted of the following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16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2210"/>
        <w:gridCol w:w="60"/>
        <w:gridCol w:w="234"/>
        <w:gridCol w:w="910"/>
        <w:gridCol w:w="60"/>
        <w:gridCol w:w="60"/>
        <w:gridCol w:w="234"/>
        <w:gridCol w:w="910"/>
        <w:gridCol w:w="9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3,929</w:t>
            </w:r>
          </w:p>
        </w:tc>
        <w:tc>
          <w:tcPr>
            <w:tcW w:w="9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5.</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PROPERTY AND EQUIPMENT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Property and equipment consisted of the following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608" w:type="dxa"/>
        <w:jc w:val="left"/>
        <w:tblInd w:w="0" w:type="dxa"/>
        <w:tblLayout w:type="fixed"/>
        <w:tblCellMar>
          <w:top w:w="0" w:type="dxa"/>
          <w:left w:w="0" w:type="dxa"/>
          <w:bottom w:w="0" w:type="dxa"/>
          <w:right w:w="0" w:type="dxa"/>
        </w:tblCellMar>
      </w:tblPr>
      <w:tblGrid>
        <w:gridCol w:w="4025"/>
        <w:gridCol w:w="60"/>
        <w:gridCol w:w="234"/>
        <w:gridCol w:w="910"/>
        <w:gridCol w:w="80"/>
        <w:gridCol w:w="60"/>
        <w:gridCol w:w="234"/>
        <w:gridCol w:w="910"/>
        <w:gridCol w:w="95"/>
      </w:tblGrid>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equipment–net</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Depreciation expense for property and equipment totaled $0.1 million during the years-ended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6.</w:t>
            </w:r>
          </w:p>
        </w:tc>
        <w:tc>
          <w:tcPr>
            <w:tcW w:w="29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tables summarize the fair value of the Company’s financial assets that are measured at fair value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541" w:type="dxa"/>
        <w:jc w:val="left"/>
        <w:tblInd w:w="0" w:type="dxa"/>
        <w:tblLayout w:type="fixed"/>
        <w:tblCellMar>
          <w:top w:w="0" w:type="dxa"/>
          <w:left w:w="0" w:type="dxa"/>
          <w:bottom w:w="0" w:type="dxa"/>
          <w:right w:w="0" w:type="dxa"/>
        </w:tblCellMar>
      </w:tblPr>
      <w:tblGrid>
        <w:gridCol w:w="2510"/>
        <w:gridCol w:w="60"/>
        <w:gridCol w:w="145"/>
        <w:gridCol w:w="632"/>
        <w:gridCol w:w="145"/>
        <w:gridCol w:w="145"/>
        <w:gridCol w:w="145"/>
        <w:gridCol w:w="632"/>
        <w:gridCol w:w="145"/>
        <w:gridCol w:w="145"/>
        <w:gridCol w:w="145"/>
        <w:gridCol w:w="632"/>
        <w:gridCol w:w="60"/>
      </w:tblGrid>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1"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 Category</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542" w:type="dxa"/>
        <w:jc w:val="left"/>
        <w:tblInd w:w="0" w:type="dxa"/>
        <w:tblLayout w:type="fixed"/>
        <w:tblCellMar>
          <w:top w:w="0" w:type="dxa"/>
          <w:left w:w="0" w:type="dxa"/>
          <w:bottom w:w="0" w:type="dxa"/>
          <w:right w:w="0" w:type="dxa"/>
        </w:tblCellMar>
      </w:tblPr>
      <w:tblGrid>
        <w:gridCol w:w="2510"/>
        <w:gridCol w:w="60"/>
        <w:gridCol w:w="136"/>
        <w:gridCol w:w="596"/>
        <w:gridCol w:w="136"/>
        <w:gridCol w:w="136"/>
        <w:gridCol w:w="136"/>
        <w:gridCol w:w="596"/>
        <w:gridCol w:w="136"/>
        <w:gridCol w:w="136"/>
        <w:gridCol w:w="136"/>
        <w:gridCol w:w="768"/>
        <w:gridCol w:w="60"/>
      </w:tblGrid>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 Category</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pPr>
            <w:r>
              <w:rPr/>
              <w:t>—</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the Company's warrant activity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354" w:type="dxa"/>
        <w:jc w:val="left"/>
        <w:tblInd w:w="0" w:type="dxa"/>
        <w:tblLayout w:type="fixed"/>
        <w:tblCellMar>
          <w:top w:w="0" w:type="dxa"/>
          <w:left w:w="0" w:type="dxa"/>
          <w:bottom w:w="0" w:type="dxa"/>
          <w:right w:w="0" w:type="dxa"/>
        </w:tblCellMar>
      </w:tblPr>
      <w:tblGrid>
        <w:gridCol w:w="3605"/>
        <w:gridCol w:w="60"/>
        <w:gridCol w:w="386"/>
        <w:gridCol w:w="1223"/>
        <w:gridCol w:w="80"/>
      </w:tblGrid>
      <w:tr>
        <w:trPr/>
        <w:tc>
          <w:tcPr>
            <w:tcW w:w="3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stock purchase warrants issued in connection with the Company’s common stock offering on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Distinguishing Liabilities from Equity (“ASC </w:t>
      </w:r>
      <w:r>
        <w:rPr>
          <w:rStyle w:val="Emphasis"/>
          <w:rFonts w:ascii="Times New Roman" w:hAnsi="Times New Roman"/>
          <w:i/>
          <w:caps w:val="false"/>
          <w:smallCaps w:val="false"/>
          <w:sz w:val="20"/>
        </w:rPr>
        <w:t>480”</w:t>
      </w:r>
      <w:r>
        <w:rPr>
          <w:rFonts w:ascii="Times New Roman" w:hAnsi="Times New Roman"/>
          <w:i/>
          <w:caps w:val="false"/>
          <w:smallCaps w:val="false"/>
          <w:sz w:val="20"/>
        </w:rPr>
        <w:t>)</w:t>
      </w:r>
      <w:r>
        <w:rPr>
          <w:rFonts w:ascii="Times New Roman" w:hAnsi="Times New Roman"/>
          <w:caps w:val="false"/>
          <w:smallCaps w:val="false"/>
          <w:sz w:val="20"/>
        </w:rPr>
        <w:t xml:space="preserve">, and FASB Accounting Standards Codification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(“ASC </w:t>
      </w:r>
      <w:r>
        <w:rPr>
          <w:rStyle w:val="Emphasis"/>
          <w:rFonts w:ascii="Times New Roman" w:hAnsi="Times New Roman"/>
          <w:i/>
          <w:caps w:val="false"/>
          <w:smallCaps w:val="false"/>
          <w:sz w:val="20"/>
        </w:rPr>
        <w:t>815”</w:t>
      </w:r>
      <w:r>
        <w:rPr>
          <w:rFonts w:ascii="Times New Roman" w:hAnsi="Times New Roman"/>
          <w:i/>
          <w:caps w:val="false"/>
          <w:smallCaps w:val="false"/>
          <w:sz w:val="20"/>
        </w:rPr>
        <w:t>)</w:t>
      </w:r>
      <w:r>
        <w:rPr>
          <w:rFonts w:ascii="Times New Roman" w:hAnsi="Times New Roman"/>
          <w:caps w:val="false"/>
          <w:smallCaps w:val="false"/>
          <w:sz w:val="20"/>
        </w:rPr>
        <w:t>. Based on the Company’s evaluation and due to certain terms in the warrant agreements, it concluded the stock purchase warrants should be classified as liability with subsequent remeasurement as long as such warrants continue to be classified as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Prepaid and other current assets consisted of the following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278" w:type="dxa"/>
        <w:jc w:val="left"/>
        <w:tblInd w:w="0" w:type="dxa"/>
        <w:tblLayout w:type="fixed"/>
        <w:tblCellMar>
          <w:top w:w="0" w:type="dxa"/>
          <w:left w:w="0" w:type="dxa"/>
          <w:bottom w:w="0" w:type="dxa"/>
          <w:right w:w="0" w:type="dxa"/>
        </w:tblCellMar>
      </w:tblPr>
      <w:tblGrid>
        <w:gridCol w:w="2690"/>
        <w:gridCol w:w="60"/>
        <w:gridCol w:w="240"/>
        <w:gridCol w:w="934"/>
        <w:gridCol w:w="60"/>
        <w:gridCol w:w="60"/>
        <w:gridCol w:w="240"/>
        <w:gridCol w:w="934"/>
        <w:gridCol w:w="6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freight forwarder</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and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3,190</w:t>
            </w:r>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p>
        </w:tc>
        <w:tc>
          <w:tcPr>
            <w:tcW w:w="4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Accrued expenses and other current liabilities consisted of the following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923" w:type="dxa"/>
        <w:jc w:val="left"/>
        <w:tblInd w:w="0" w:type="dxa"/>
        <w:tblLayout w:type="fixed"/>
        <w:tblCellMar>
          <w:top w:w="0" w:type="dxa"/>
          <w:left w:w="0" w:type="dxa"/>
          <w:bottom w:w="0" w:type="dxa"/>
          <w:right w:w="0" w:type="dxa"/>
        </w:tblCellMar>
      </w:tblPr>
      <w:tblGrid>
        <w:gridCol w:w="3335"/>
        <w:gridCol w:w="60"/>
        <w:gridCol w:w="240"/>
        <w:gridCol w:w="934"/>
        <w:gridCol w:w="60"/>
        <w:gridCol w:w="60"/>
        <w:gridCol w:w="240"/>
        <w:gridCol w:w="934"/>
        <w:gridCol w:w="6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60" w:type="dxa"/>
            <w:tcBorders/>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costs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accounting fees and consultants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logistics costs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related accruals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return reserve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fulfillment expense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insurance premium financing</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305</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legal fees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447</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marketing fees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sponsors, through its professional employer organization provider,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defined contribution plan covering all eligible U.S. employees.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are discretionary. Currently,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match or make any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9.</w:t>
            </w:r>
          </w:p>
        </w:tc>
        <w:tc>
          <w:tcPr>
            <w:tcW w:w="33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FACILITY AND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Midcap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22, 2021, </w:t>
      </w:r>
      <w:r>
        <w:rPr>
          <w:rFonts w:ascii="Times New Roman" w:hAnsi="Times New Roman"/>
          <w:caps w:val="false"/>
          <w:smallCaps w:val="false"/>
          <w:sz w:val="20"/>
        </w:rPr>
        <w:t xml:space="preserve">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 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amortization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2024, </w:t>
      </w:r>
      <w:r>
        <w:rPr>
          <w:rFonts w:ascii="Times New Roman" w:hAnsi="Times New Roman"/>
          <w:caps w:val="false"/>
          <w:smallCaps w:val="false"/>
          <w:sz w:val="20"/>
        </w:rPr>
        <w:t xml:space="preserve">the Company amended its asset backed credit facility with MidCap Financial Trust. The Credit Facility term was extended to </w:t>
      </w:r>
      <w:r>
        <w:rPr>
          <w:rStyle w:val="Emphasis"/>
          <w:rFonts w:ascii="Times New Roman" w:hAnsi="Times New Roman"/>
          <w:caps w:val="false"/>
          <w:smallCaps w:val="false"/>
          <w:sz w:val="20"/>
        </w:rPr>
        <w:t xml:space="preserve">December 2026 </w:t>
      </w:r>
      <w:r>
        <w:rPr>
          <w:rFonts w:ascii="Times New Roman" w:hAnsi="Times New Roman"/>
          <w:caps w:val="false"/>
          <w:smallCaps w:val="false"/>
          <w:sz w:val="20"/>
        </w:rPr>
        <w:t>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25, 2025 (</w:t>
      </w:r>
      <w:r>
        <w:rPr>
          <w:rFonts w:ascii="Times New Roman" w:hAnsi="Times New Roman"/>
          <w:caps w:val="false"/>
          <w:smallCaps w:val="false"/>
          <w:sz w:val="20"/>
        </w:rPr>
        <w:t xml:space="preserve">the “Third Amendment Effective Date”) 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rd Amendment”) to the Credit Agreement. Material changes contained in the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rd Amendment include, among other things, adding repurchase of the Company’s common stock of up to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million per year, consisting of up to $1.5 million in repurchases allowed during the period from </w:t>
      </w:r>
      <w:r>
        <w:rPr>
          <w:rStyle w:val="Emphasis"/>
          <w:rFonts w:ascii="Times New Roman" w:hAnsi="Times New Roman"/>
          <w:caps w:val="false"/>
          <w:smallCaps w:val="false"/>
          <w:sz w:val="20"/>
        </w:rPr>
        <w:t xml:space="preserve">March 25,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December 22, 2025, </w:t>
      </w:r>
      <w:r>
        <w:rPr>
          <w:rFonts w:ascii="Times New Roman" w:hAnsi="Times New Roman"/>
          <w:caps w:val="false"/>
          <w:smallCaps w:val="false"/>
          <w:sz w:val="20"/>
        </w:rPr>
        <w:t xml:space="preserve">and up to an additional $1.5 million allowed during the period from </w:t>
      </w:r>
      <w:r>
        <w:rPr>
          <w:rStyle w:val="Emphasis"/>
          <w:rFonts w:ascii="Times New Roman" w:hAnsi="Times New Roman"/>
          <w:caps w:val="false"/>
          <w:smallCaps w:val="false"/>
          <w:sz w:val="20"/>
        </w:rPr>
        <w:t xml:space="preserve">December 23, 2025 </w:t>
      </w:r>
      <w:r>
        <w:rPr>
          <w:rFonts w:ascii="Times New Roman" w:hAnsi="Times New Roman"/>
          <w:caps w:val="false"/>
          <w:smallCaps w:val="false"/>
          <w:sz w:val="20"/>
        </w:rPr>
        <w:t>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29, 2025 (</w:t>
      </w:r>
      <w:r>
        <w:rPr>
          <w:rFonts w:ascii="Times New Roman" w:hAnsi="Times New Roman"/>
          <w:caps w:val="false"/>
          <w:smallCaps w:val="false"/>
          <w:sz w:val="20"/>
        </w:rPr>
        <w:t xml:space="preserve">the “Fourth Amendment Effective Date”) 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to the Credit Agreement. Material changes contained in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13, 2026, </w:t>
      </w:r>
      <w:r>
        <w:rPr>
          <w:rFonts w:ascii="Times New Roman" w:hAnsi="Times New Roman"/>
          <w:caps w:val="false"/>
          <w:smallCaps w:val="false"/>
          <w:sz w:val="20"/>
        </w:rPr>
        <w:t xml:space="preserve">the Company and its subsidiaries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w:t>
      </w:r>
      <w:r>
        <w:rPr>
          <w:rStyle w:val="Emphasis"/>
          <w:rFonts w:ascii="Times New Roman" w:hAnsi="Times New Roman"/>
          <w:caps w:val="false"/>
          <w:smallCaps w:val="false"/>
          <w:sz w:val="20"/>
        </w:rPr>
        <w:t xml:space="preserve">May 9, 2026, </w:t>
      </w:r>
      <w:r>
        <w:rPr>
          <w:rFonts w:ascii="Times New Roman" w:hAnsi="Times New Roman"/>
          <w:caps w:val="false"/>
          <w:smallCaps w:val="false"/>
          <w:sz w:val="20"/>
        </w:rPr>
        <w:t>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in compliance with the financial covenants contained within the Credit Agreement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May 2, 2025, </w:t>
      </w:r>
      <w:r>
        <w:rPr>
          <w:rFonts w:ascii="Times New Roman" w:hAnsi="Times New Roman"/>
          <w:caps w:val="false"/>
          <w:smallCaps w:val="false"/>
          <w:sz w:val="20"/>
        </w:rPr>
        <w:t>the Company had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credit facility consisted of the following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773" w:type="dxa"/>
        <w:jc w:val="left"/>
        <w:tblInd w:w="0" w:type="dxa"/>
        <w:tblLayout w:type="fixed"/>
        <w:tblCellMar>
          <w:top w:w="0" w:type="dxa"/>
          <w:left w:w="0" w:type="dxa"/>
          <w:bottom w:w="0" w:type="dxa"/>
          <w:right w:w="0" w:type="dxa"/>
        </w:tblCellMar>
      </w:tblPr>
      <w:tblGrid>
        <w:gridCol w:w="4145"/>
        <w:gridCol w:w="60"/>
        <w:gridCol w:w="240"/>
        <w:gridCol w:w="934"/>
        <w:gridCol w:w="80"/>
        <w:gridCol w:w="60"/>
        <w:gridCol w:w="240"/>
        <w:gridCol w:w="934"/>
        <w:gridCol w:w="8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December 31,</w:t>
            </w:r>
          </w:p>
        </w:tc>
        <w:tc>
          <w:tcPr>
            <w:tcW w:w="80" w:type="dxa"/>
            <w:tcBorders/>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MidCap Credit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7,252</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deferred debt issuance costs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discount associated with issuance of warrants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Interest expense, net consisted of the following for the years-ended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718" w:type="dxa"/>
        <w:jc w:val="left"/>
        <w:tblInd w:w="0" w:type="dxa"/>
        <w:tblLayout w:type="fixed"/>
        <w:tblCellMar>
          <w:top w:w="0" w:type="dxa"/>
          <w:left w:w="0" w:type="dxa"/>
          <w:bottom w:w="0" w:type="dxa"/>
          <w:right w:w="0" w:type="dxa"/>
        </w:tblCellMar>
      </w:tblPr>
      <w:tblGrid>
        <w:gridCol w:w="2150"/>
        <w:gridCol w:w="60"/>
        <w:gridCol w:w="275"/>
        <w:gridCol w:w="869"/>
        <w:gridCol w:w="80"/>
        <w:gridCol w:w="60"/>
        <w:gridCol w:w="234"/>
        <w:gridCol w:w="910"/>
        <w:gridCol w:w="80"/>
      </w:tblGrid>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w:t>
            </w:r>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Securities Purchase Agreement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2022, </w:t>
      </w:r>
      <w:r>
        <w:rPr>
          <w:rFonts w:ascii="Times New Roman" w:hAnsi="Times New Roman"/>
          <w:caps w:val="false"/>
          <w:smallCaps w:val="false"/>
          <w:sz w:val="20"/>
        </w:rPr>
        <w:t xml:space="preserve">the Company raised approximately $27.5 million through a private placement involving common stock and accompanying stock purchase warrants. The 590,637 common stock warrants issued in the transaction were classified as liabilities with subsequent remeasurement each quarter.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these warrants remain outstanding and have no associated liability recorded on the Company’s Consolidated Balance Sheet due to the decline in the Company’s share price.</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830" w:type="dxa"/>
        <w:jc w:val="left"/>
        <w:tblInd w:w="0" w:type="dxa"/>
        <w:tblLayout w:type="fixed"/>
        <w:tblCellMar>
          <w:top w:w="0" w:type="dxa"/>
          <w:left w:w="0" w:type="dxa"/>
          <w:bottom w:w="0" w:type="dxa"/>
          <w:right w:w="0" w:type="dxa"/>
        </w:tblCellMar>
      </w:tblPr>
      <w:tblGrid>
        <w:gridCol w:w="275"/>
        <w:gridCol w:w="255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 xml:space="preserve">’ </w:t>
            </w:r>
            <w:r>
              <w:rPr>
                <w:rFonts w:ascii="Times New Roman;Times;serif" w:hAnsi="Times New Roman;Times;serif"/>
                <w:b/>
                <w:sz w:val="20"/>
              </w:rPr>
              <w:t xml:space="preserve">EQUITY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Common Shares</w:t>
      </w: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class of common shares issued and available. Each share of common stock has the right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vote per share.</w:t>
      </w:r>
    </w:p>
    <w:p>
      <w:pPr>
        <w:pStyle w:val="TextBody"/>
        <w:bidi w:val="0"/>
        <w:spacing w:before="0" w:after="0"/>
        <w:jc w:val="left"/>
        <w:rPr/>
      </w:pPr>
      <w:r>
        <w:rPr/>
        <w:t xml:space="preserve">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11.</w:t>
            </w:r>
          </w:p>
        </w:tc>
        <w:tc>
          <w:tcPr>
            <w:tcW w:w="30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three</w:t>
      </w:r>
      <w:r>
        <w:rPr>
          <w:rFonts w:ascii="Times New Roman" w:hAnsi="Times New Roman"/>
          <w:caps w:val="false"/>
          <w:smallCaps w:val="false"/>
          <w:sz w:val="20"/>
        </w:rPr>
        <w:t> equity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2014</w:t>
      </w:r>
      <w:r>
        <w:rPr>
          <w:rFonts w:ascii="Times New Roman" w:hAnsi="Times New Roman"/>
          <w:b/>
          <w:caps w:val="false"/>
          <w:smallCaps w:val="false"/>
          <w:sz w:val="20"/>
        </w:rPr>
        <w:t xml:space="preserve"> Amended and Restated Equity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of Aterian Group, Inc., a subsidiary of the Company (“AGI”), adopted, and AGI’s stockholders approved, the Aterian Group, Inc.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on </w:t>
      </w:r>
      <w:r>
        <w:rPr>
          <w:rStyle w:val="Emphasis"/>
          <w:rFonts w:ascii="Times New Roman" w:hAnsi="Times New Roman"/>
          <w:caps w:val="false"/>
          <w:smallCaps w:val="false"/>
          <w:sz w:val="20"/>
        </w:rPr>
        <w:t xml:space="preserve">June 11,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2017, </w:t>
      </w:r>
      <w:r>
        <w:rPr>
          <w:rFonts w:ascii="Times New Roman" w:hAnsi="Times New Roman"/>
          <w:caps w:val="false"/>
          <w:smallCaps w:val="false"/>
          <w:sz w:val="20"/>
        </w:rPr>
        <w:t xml:space="preserve">AGI’s board of directors adopted, and AGI’s stockholders approved, an amendment and restatement of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(as amended,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there were no shares reserved for future issuance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2018</w:t>
      </w:r>
      <w:r>
        <w:rPr>
          <w:rFonts w:ascii="Times New Roman" w:hAnsi="Times New Roman"/>
          <w:b/>
          <w:caps w:val="false"/>
          <w:smallCaps w:val="false"/>
          <w:sz w:val="20"/>
        </w:rPr>
        <w:t xml:space="preserve"> Equity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board of directors (the “Board”) adopted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October 11, 2018.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was approved by its stockholders 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828,316 shares were reserved for awards available for future issuance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Options granted to date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generally vest either: (i) over a four-year period with 25%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75% of the shares vesting on a pro-rata basis over the succeeding </w:t>
      </w:r>
      <w:r>
        <w:rPr>
          <w:rStyle w:val="Emphasis"/>
          <w:rFonts w:ascii="Times New Roman" w:hAnsi="Times New Roman"/>
          <w:caps w:val="false"/>
          <w:smallCaps w:val="false"/>
          <w:sz w:val="20"/>
        </w:rPr>
        <w:t>thirty-six</w:t>
      </w:r>
      <w:r>
        <w:rPr>
          <w:rFonts w:ascii="Times New Roman" w:hAnsi="Times New Roman"/>
          <w:caps w:val="false"/>
          <w:smallCaps w:val="false"/>
          <w:sz w:val="20"/>
        </w:rPr>
        <w:t xml:space="preserve"> months, subject to continued service with the Company through each vesting date, or (ii) over a three-year period with 33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66 </w:t>
      </w:r>
      <w:r>
        <w:rPr>
          <w:rStyle w:val="Emphasis"/>
          <w:rFonts w:ascii="Times New Roman" w:hAnsi="Times New Roman"/>
          <w:caps w:val="false"/>
          <w:smallCaps w:val="false"/>
          <w:sz w:val="20"/>
        </w:rPr>
        <w:t>2/3%</w:t>
      </w:r>
      <w:r>
        <w:rPr>
          <w:rFonts w:ascii="Times New Roman" w:hAnsi="Times New Roman"/>
          <w:caps w:val="false"/>
          <w:smallCaps w:val="false"/>
          <w:sz w:val="20"/>
        </w:rPr>
        <w:t xml:space="preserve"> of the shares vesting on a pro-rata basis over the succeeding </w:t>
      </w:r>
      <w:r>
        <w:rPr>
          <w:rStyle w:val="Emphasis"/>
          <w:rFonts w:ascii="Times New Roman" w:hAnsi="Times New Roman"/>
          <w:caps w:val="false"/>
          <w:smallCaps w:val="false"/>
          <w:sz w:val="20"/>
        </w:rPr>
        <w:t>twenty-four</w:t>
      </w:r>
      <w:r>
        <w:rPr>
          <w:rFonts w:ascii="Times New Roman" w:hAnsi="Times New Roman"/>
          <w:caps w:val="false"/>
          <w:smallCaps w:val="false"/>
          <w:sz w:val="20"/>
        </w:rPr>
        <w:t xml:space="preserve">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27, 2022, </w:t>
      </w:r>
      <w:r>
        <w:rPr>
          <w:rFonts w:ascii="Times New Roman" w:hAnsi="Times New Roman"/>
          <w:caps w:val="false"/>
          <w:smallCaps w:val="false"/>
          <w:sz w:val="20"/>
        </w:rPr>
        <w:t xml:space="preserve">the Compensation Committee of the Board (the “Compensation Committee”) adopted the Aterian, Inc.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granted to an individual, as a material inducement to such individual to enter into employment with the Company or an affiliate of the Company, who (i)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193,476 shares were reserved for future issuance under the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approved by the Company’s stockholders. Awards under the Inducement Plan will be made pursuant to the exemption from Nasdaq stockholder approval requirements for equity compensation provided by Nasdaq Listing Rule </w:t>
      </w:r>
      <w:r>
        <w:rPr>
          <w:rStyle w:val="Emphasis"/>
          <w:rFonts w:ascii="Times New Roman" w:hAnsi="Times New Roman"/>
          <w:caps w:val="false"/>
          <w:smallCaps w:val="false"/>
          <w:sz w:val="20"/>
        </w:rPr>
        <w:t>5635</w:t>
      </w:r>
      <w:r>
        <w:rPr>
          <w:rFonts w:ascii="Times New Roman" w:hAnsi="Times New Roman"/>
          <w:caps w:val="false"/>
          <w:smallCaps w:val="false"/>
          <w:sz w:val="20"/>
        </w:rPr>
        <w:t>(c)(</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which permits Nasdaq listed companies to make inducement equity awards to new employees without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the Company filed a Certificate of Amendment to its Amended and Restated Certificate of Incorporation of the Company with the Secretary of State of Delaware (the “Certificate of Amendment”) to effect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-for-12 reverse stock split (the “Reverse Stock Split”) of the shares of the Company’s common stock, par value $0.0001 per share (the “Common Stock”). The Certificate of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decrease the number of authorized shares of Common Stock or change the par value thereof. No fractional shares were issued in connection with the Reverse Stock Split. Any fractional shares that would otherwise have resulted from the Reverse Stock Split were rounded up to the nearest whole number. The Reverse Stock Split impacted all holders of the Common Stock proportionally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any stockholder’s percentage ownership of Common Stock (except to the extent the Reverse Stock Split results in any stockholder owning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reverse stock split is deemed an equity restructuring pursuant to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Compensation - Stock Compensation. The Company's equity plans incorporate anti-dilutive provisions for existing equity awards, including restricted stock and stock options, to maintain the value of all awards post-reverse stock split. Consequently,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in the fair value of the awards attributable to the reverse stock split,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stock-based compensation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stock options activity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3"/>
        <w:gridCol w:w="60"/>
        <w:gridCol w:w="114"/>
        <w:gridCol w:w="1142"/>
        <w:gridCol w:w="60"/>
        <w:gridCol w:w="60"/>
        <w:gridCol w:w="372"/>
        <w:gridCol w:w="1773"/>
        <w:gridCol w:w="60"/>
        <w:gridCol w:w="60"/>
        <w:gridCol w:w="449"/>
        <w:gridCol w:w="2867"/>
        <w:gridCol w:w="65"/>
      </w:tblGrid>
      <w:tr>
        <w:trPr/>
        <w:tc>
          <w:tcPr>
            <w:tcW w:w="3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 Outstanding</w:t>
            </w:r>
          </w:p>
        </w:tc>
        <w:tc>
          <w:tcPr>
            <w:tcW w:w="65" w:type="dxa"/>
            <w:tcBorders/>
            <w:shd w:fill="FFFFFF" w:val="clear"/>
            <w:vAlign w:val="center"/>
          </w:tcPr>
          <w:p>
            <w:pPr>
              <w:pStyle w:val="TableContents"/>
              <w:bidi w:val="0"/>
              <w:spacing w:before="0" w:after="283"/>
              <w:jc w:val="left"/>
              <w:rPr/>
            </w:pPr>
            <w:r>
              <w:rPr/>
              <w:t> </w:t>
            </w:r>
          </w:p>
        </w:tc>
      </w:tr>
      <w:tr>
        <w:trPr/>
        <w:tc>
          <w:tcPr>
            <w:tcW w:w="3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Remaining Contractual Life (years)</w:t>
            </w:r>
          </w:p>
        </w:tc>
        <w:tc>
          <w:tcPr>
            <w:tcW w:w="65" w:type="dxa"/>
            <w:tcBorders/>
            <w:shd w:fill="FFFFFF" w:val="clear"/>
            <w:vAlign w:val="center"/>
          </w:tcPr>
          <w:p>
            <w:pPr>
              <w:pStyle w:val="TableContents"/>
              <w:bidi w:val="0"/>
              <w:spacing w:before="0" w:after="283"/>
              <w:jc w:val="left"/>
              <w:rPr/>
            </w:pPr>
            <w:r>
              <w:rPr/>
              <w:t> </w:t>
            </w:r>
          </w:p>
        </w:tc>
      </w:tr>
      <w:tr>
        <w:trPr/>
        <w:tc>
          <w:tcPr>
            <w:tcW w:w="31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2025</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ind w:left="0" w:right="0" w:hanging="0"/>
              <w:jc w:val="left"/>
              <w:rPr/>
            </w:pPr>
            <w:r>
              <w:rPr/>
              <w:t> </w:t>
            </w:r>
          </w:p>
        </w:tc>
        <w:tc>
          <w:tcPr>
            <w:tcW w:w="2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65" w:type="dxa"/>
            <w:tcBorders/>
            <w:shd w:fill="CCEEFF" w:val="clear"/>
            <w:vAlign w:val="center"/>
          </w:tcPr>
          <w:p>
            <w:pPr>
              <w:pStyle w:val="TableContents"/>
              <w:bidi w:val="0"/>
              <w:spacing w:before="0" w:after="283"/>
              <w:jc w:val="left"/>
              <w:rPr/>
            </w:pPr>
            <w:r>
              <w:rPr/>
              <w:t> </w:t>
            </w:r>
          </w:p>
        </w:tc>
      </w:tr>
      <w:tr>
        <w:trPr/>
        <w:tc>
          <w:tcPr>
            <w:tcW w:w="31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ind w:left="0" w:right="0" w:hanging="0"/>
              <w:jc w:val="left"/>
              <w:rPr/>
            </w:pPr>
            <w:r>
              <w:rPr/>
              <w:t> </w:t>
            </w:r>
          </w:p>
        </w:tc>
        <w:tc>
          <w:tcPr>
            <w:tcW w:w="2867" w:type="dxa"/>
            <w:tcBorders/>
            <w:shd w:fill="FFFFFF" w:val="clear"/>
            <w:vAlign w:val="center"/>
          </w:tcPr>
          <w:p>
            <w:pPr>
              <w:pStyle w:val="TableContents"/>
              <w:bidi w:val="0"/>
              <w:spacing w:before="0" w:after="283"/>
              <w:ind w:left="0" w:right="0" w:hanging="0"/>
              <w:jc w:val="right"/>
              <w:rPr/>
            </w:pPr>
            <w:r>
              <w:rPr>
                <w:rStyle w:val="Emphasis"/>
              </w:rPr>
              <w:t>—</w:t>
            </w:r>
          </w:p>
        </w:tc>
        <w:tc>
          <w:tcPr>
            <w:tcW w:w="65" w:type="dxa"/>
            <w:tcBorders/>
            <w:shd w:fill="FFFFFF" w:val="clear"/>
            <w:vAlign w:val="center"/>
          </w:tcPr>
          <w:p>
            <w:pPr>
              <w:pStyle w:val="TableContents"/>
              <w:bidi w:val="0"/>
              <w:spacing w:before="0" w:after="283"/>
              <w:jc w:val="left"/>
              <w:rPr/>
            </w:pPr>
            <w:r>
              <w:rPr/>
              <w:t> </w:t>
            </w:r>
          </w:p>
        </w:tc>
      </w:tr>
      <w:tr>
        <w:trPr/>
        <w:tc>
          <w:tcPr>
            <w:tcW w:w="31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ind w:left="0" w:right="0" w:hanging="0"/>
              <w:jc w:val="left"/>
              <w:rPr/>
            </w:pPr>
            <w:r>
              <w:rPr/>
              <w:t> </w:t>
            </w:r>
          </w:p>
        </w:tc>
        <w:tc>
          <w:tcPr>
            <w:tcW w:w="2867"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r>
      <w:tr>
        <w:trPr/>
        <w:tc>
          <w:tcPr>
            <w:tcW w:w="31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5" w:type="dxa"/>
            <w:tcBorders/>
            <w:shd w:fill="FFFFFF" w:val="clear"/>
            <w:vAlign w:val="center"/>
          </w:tcPr>
          <w:p>
            <w:pPr>
              <w:pStyle w:val="TableContents"/>
              <w:bidi w:val="0"/>
              <w:spacing w:before="0" w:after="283"/>
              <w:jc w:val="left"/>
              <w:rPr/>
            </w:pPr>
            <w:r>
              <w:rPr/>
              <w:t> </w:t>
            </w:r>
          </w:p>
        </w:tc>
      </w:tr>
      <w:tr>
        <w:trPr/>
        <w:tc>
          <w:tcPr>
            <w:tcW w:w="31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Balance—December 31, 2025</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5" w:type="dxa"/>
            <w:tcBorders/>
            <w:shd w:fill="CCEEFF" w:val="clear"/>
            <w:vAlign w:val="center"/>
          </w:tcPr>
          <w:p>
            <w:pPr>
              <w:pStyle w:val="TableContents"/>
              <w:bidi w:val="0"/>
              <w:spacing w:before="0" w:after="283"/>
              <w:jc w:val="left"/>
              <w:rPr/>
            </w:pPr>
            <w:r>
              <w:rPr/>
              <w:t> </w:t>
            </w:r>
          </w:p>
        </w:tc>
      </w:tr>
      <w:tr>
        <w:trPr/>
        <w:tc>
          <w:tcPr>
            <w:tcW w:w="31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as of December 31, 2025</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ind w:left="0" w:right="0" w:hanging="0"/>
              <w:jc w:val="left"/>
              <w:rPr/>
            </w:pPr>
            <w:r>
              <w:rPr/>
              <w:t> </w:t>
            </w:r>
          </w:p>
        </w:tc>
        <w:tc>
          <w:tcPr>
            <w:tcW w:w="2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5" w:type="dxa"/>
            <w:tcBorders/>
            <w:shd w:fill="FFFFFF" w:val="clear"/>
            <w:vAlign w:val="center"/>
          </w:tcPr>
          <w:p>
            <w:pPr>
              <w:pStyle w:val="TableContents"/>
              <w:bidi w:val="0"/>
              <w:spacing w:before="0" w:after="283"/>
              <w:jc w:val="left"/>
              <w:rPr/>
            </w:pPr>
            <w:r>
              <w:rPr/>
              <w:t> </w:t>
            </w:r>
          </w:p>
        </w:tc>
      </w:tr>
      <w:tr>
        <w:trPr/>
        <w:tc>
          <w:tcPr>
            <w:tcW w:w="31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as of December 31, 2025</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ind w:left="0" w:right="0" w:hanging="0"/>
              <w:jc w:val="left"/>
              <w:rPr/>
            </w:pPr>
            <w:r>
              <w:rPr/>
              <w:t> </w:t>
            </w:r>
          </w:p>
        </w:tc>
        <w:tc>
          <w:tcPr>
            <w:tcW w:w="2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all options have been fully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restricted stock activity within the Company’s equity plans and changes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is as follows:</w:t>
      </w:r>
    </w:p>
    <w:p>
      <w:pPr>
        <w:pStyle w:val="TextBody"/>
        <w:bidi w:val="0"/>
        <w:spacing w:before="0" w:after="0"/>
        <w:ind w:left="0" w:right="0" w:hanging="0"/>
        <w:jc w:val="left"/>
        <w:rPr>
          <w:caps w:val="false"/>
          <w:smallCaps w:val="false"/>
        </w:rPr>
      </w:pPr>
      <w:r>
        <w:rPr>
          <w:caps w:val="false"/>
          <w:smallCaps w:val="false"/>
        </w:rPr>
        <w:t> </w:t>
      </w:r>
    </w:p>
    <w:tbl>
      <w:tblPr>
        <w:tblW w:w="5914" w:type="dxa"/>
        <w:jc w:val="left"/>
        <w:tblInd w:w="0" w:type="dxa"/>
        <w:tblLayout w:type="fixed"/>
        <w:tblCellMar>
          <w:top w:w="0" w:type="dxa"/>
          <w:left w:w="0" w:type="dxa"/>
          <w:bottom w:w="28" w:type="dxa"/>
          <w:right w:w="0" w:type="dxa"/>
        </w:tblCellMar>
      </w:tblPr>
      <w:tblGrid>
        <w:gridCol w:w="2705"/>
        <w:gridCol w:w="60"/>
        <w:gridCol w:w="60"/>
        <w:gridCol w:w="905"/>
        <w:gridCol w:w="80"/>
        <w:gridCol w:w="60"/>
        <w:gridCol w:w="490"/>
        <w:gridCol w:w="1494"/>
        <w:gridCol w:w="60"/>
      </w:tblGrid>
      <w:tr>
        <w:trPr/>
        <w:tc>
          <w:tcPr>
            <w:tcW w:w="27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 Stock Awards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 Fair Value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1,310,989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1,618,653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9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(1,249,194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(342,348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1,338,100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9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total unrecognized compensation expense related to unvested shares of restricted common stock was $1.8 million, which the Company expects to recognize over an estimated weighted-average period of 1.51 years.</w:t>
      </w:r>
    </w:p>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Stock-based compensation expense is allocated based on the cost center to which the award holder belongs. The following table summarizes the total stock-based compensation expense by function, including expense related to consultants for years-ended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0" w:type="dxa"/>
          <w:left w:w="0" w:type="dxa"/>
          <w:bottom w:w="0" w:type="dxa"/>
          <w:right w:w="0" w:type="dxa"/>
        </w:tblCellMar>
      </w:tblPr>
      <w:tblGrid>
        <w:gridCol w:w="3365"/>
        <w:gridCol w:w="60"/>
        <w:gridCol w:w="234"/>
        <w:gridCol w:w="910"/>
        <w:gridCol w:w="60"/>
        <w:gridCol w:w="60"/>
        <w:gridCol w:w="234"/>
        <w:gridCol w:w="910"/>
        <w:gridCol w:w="75"/>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910" w:type="dxa"/>
        <w:jc w:val="left"/>
        <w:tblInd w:w="0" w:type="dxa"/>
        <w:tblLayout w:type="fixed"/>
        <w:tblCellMar>
          <w:top w:w="0" w:type="dxa"/>
          <w:left w:w="0" w:type="dxa"/>
          <w:bottom w:w="0" w:type="dxa"/>
          <w:right w:w="0" w:type="dxa"/>
        </w:tblCellMar>
      </w:tblPr>
      <w:tblGrid>
        <w:gridCol w:w="275"/>
        <w:gridCol w:w="363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12.</w:t>
            </w:r>
          </w:p>
        </w:tc>
        <w:tc>
          <w:tcPr>
            <w:tcW w:w="36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COMMITMENT AND CONTINGENCIES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Inventory Purchases</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had $2.9 million and $9.2 million, respectively, of inventory purchase orders placed with vendors waiting to be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Sales or Other Similar Taxes</w:t>
      </w:r>
      <w:r>
        <w:rPr>
          <w:rFonts w:ascii="Times New Roman" w:hAnsi="Times New Roman"/>
          <w:caps w:val="false"/>
          <w:smallCaps w:val="false"/>
          <w:sz w:val="20"/>
        </w:rPr>
        <w:t xml:space="preserve">—Based on the location of the Company’s current operations, the majority of sales tax is collected and remitted either by the Company or on its behalf by e-commerce marketplaces in most states within the U.S. To date, the Company has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actual or threatened sales and use tax claims from any state where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estimates that the potential liability, including current sales tax payable is approximately $0.9 million and $1.0 million, which has been recorded in accrued and other current liabilities on the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Product Remediation Costs—</w:t>
      </w: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accrued approximately $0.4 million for estimated costs associated with addressing a product performance matter involving certain houseware appliances that the Company ceased selling 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These costs are included in cost of goods sold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w:t>
      </w:r>
      <w:r>
        <w:rPr>
          <w:rStyle w:val="Emphasis"/>
          <w:rFonts w:ascii="Times New Roman" w:hAnsi="Times New Roman"/>
          <w:caps w:val="false"/>
          <w:smallCaps w:val="false"/>
          <w:sz w:val="20"/>
        </w:rPr>
        <w:t xml:space="preserve">March 6, 2026, </w:t>
      </w:r>
      <w:r>
        <w:rPr>
          <w:rFonts w:ascii="Times New Roman" w:hAnsi="Times New Roman"/>
          <w:caps w:val="false"/>
          <w:smallCaps w:val="false"/>
          <w:sz w:val="20"/>
        </w:rPr>
        <w:t xml:space="preserve">in the U.S. District Court for the District of New Jersey. The complaint alleges various violations, including breach of implied warranty, unjust enrichment, and violations of the New Jersey Products Liability Act. While the Company ceased selling these steamers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defense of this existing litigation, and the potential for additional product liability or class action lawsuits, could result in significant legal expenses, settlements, or judgments.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Leases</w:t>
      </w:r>
      <w:r>
        <w:rPr>
          <w:rFonts w:ascii="Times New Roman" w:hAnsi="Times New Roman"/>
          <w:caps w:val="false"/>
          <w:smallCaps w:val="false"/>
          <w:sz w:val="20"/>
        </w:rPr>
        <w:t xml:space="preserve">—The Company’s minimum lease liabilities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the Company's consolidated financial statements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p>
        </w:tc>
        <w:tc>
          <w:tcPr>
            <w:tcW w:w="15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before provision for income taxes consisted of the following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3668" w:type="dxa"/>
        <w:jc w:val="left"/>
        <w:tblInd w:w="0" w:type="dxa"/>
        <w:tblLayout w:type="fixed"/>
        <w:tblCellMar>
          <w:top w:w="0" w:type="dxa"/>
          <w:left w:w="0" w:type="dxa"/>
          <w:bottom w:w="0" w:type="dxa"/>
          <w:right w:w="0" w:type="dxa"/>
        </w:tblCellMar>
      </w:tblPr>
      <w:tblGrid>
        <w:gridCol w:w="1085"/>
        <w:gridCol w:w="60"/>
        <w:gridCol w:w="184"/>
        <w:gridCol w:w="960"/>
        <w:gridCol w:w="80"/>
        <w:gridCol w:w="60"/>
        <w:gridCol w:w="184"/>
        <w:gridCol w:w="960"/>
        <w:gridCol w:w="95"/>
      </w:tblGrid>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the Company’s income tax provision were as follows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2735"/>
        <w:gridCol w:w="60"/>
        <w:gridCol w:w="371"/>
        <w:gridCol w:w="773"/>
        <w:gridCol w:w="60"/>
        <w:gridCol w:w="60"/>
        <w:gridCol w:w="344"/>
        <w:gridCol w:w="800"/>
        <w:gridCol w:w="9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income tax expense</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income tax benefit</w:t>
            </w:r>
          </w:p>
        </w:tc>
        <w:tc>
          <w:tcPr>
            <w:tcW w:w="60" w:type="dxa"/>
            <w:tcBorders/>
            <w:shd w:fill="CCEEFF" w:val="clear"/>
            <w:vAlign w:val="center"/>
          </w:tcPr>
          <w:p>
            <w:pPr>
              <w:pStyle w:val="TableContents"/>
              <w:bidi w:val="0"/>
              <w:spacing w:before="0" w:after="283"/>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For the year ended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we adopted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prospectively. A reconciliation of the U.S. federal statutory income tax rate to our effective tax rate pursuant to the disclosure requirements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for the year ended </w:t>
      </w:r>
      <w:r>
        <w:rPr>
          <w:rStyle w:val="Emphasis"/>
          <w:rFonts w:ascii="Times New Roman;Times;serif" w:hAnsi="Times New Roman;Times;serif"/>
          <w:sz w:val="20"/>
        </w:rPr>
        <w:t xml:space="preserve">December 31, 2025 </w:t>
      </w:r>
      <w:r>
        <w:rPr>
          <w:rFonts w:ascii="Times New Roman;Times;serif" w:hAnsi="Times New Roman;Times;serif"/>
          <w:sz w:val="20"/>
        </w:rPr>
        <w:t>is as follows (in thousands):</w:t>
      </w:r>
    </w:p>
    <w:p>
      <w:pPr>
        <w:pStyle w:val="TextBody"/>
        <w:bidi w:val="0"/>
        <w:spacing w:before="0" w:after="0"/>
        <w:ind w:left="0" w:right="0" w:hanging="0"/>
        <w:jc w:val="both"/>
        <w:rPr/>
      </w:pPr>
      <w:r>
        <w:rPr/>
        <w:t> </w:t>
      </w:r>
    </w:p>
    <w:tbl>
      <w:tblPr>
        <w:tblW w:w="7168" w:type="dxa"/>
        <w:jc w:val="left"/>
        <w:tblInd w:w="0" w:type="dxa"/>
        <w:tblLayout w:type="fixed"/>
        <w:tblCellMar>
          <w:top w:w="0" w:type="dxa"/>
          <w:left w:w="0" w:type="dxa"/>
          <w:bottom w:w="0" w:type="dxa"/>
          <w:right w:w="0" w:type="dxa"/>
        </w:tblCellMar>
      </w:tblPr>
      <w:tblGrid>
        <w:gridCol w:w="5225"/>
        <w:gridCol w:w="60"/>
        <w:gridCol w:w="156"/>
        <w:gridCol w:w="682"/>
        <w:gridCol w:w="100"/>
        <w:gridCol w:w="75"/>
        <w:gridCol w:w="75"/>
        <w:gridCol w:w="550"/>
        <w:gridCol w:w="245"/>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24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statutory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taxes, net of federal income tax effects(1)</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UK</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Ireland</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changes in tax laws or rates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unrecognized tax benefits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adjustments: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true up - intangibles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r>
              <w:rPr>
                <w:rStyle w:val="Emphasis"/>
              </w:rPr>
              <w:t>1</w:t>
            </w:r>
            <w:r>
              <w:rPr/>
              <w:t>)</w:t>
            </w:r>
          </w:p>
        </w:tc>
        <w:tc>
          <w:tcPr>
            <w:tcW w:w="9975" w:type="dxa"/>
            <w:tcBorders/>
            <w:vAlign w:val="center"/>
          </w:tcPr>
          <w:p>
            <w:pPr>
              <w:pStyle w:val="TableContents"/>
              <w:bidi w:val="0"/>
              <w:spacing w:before="0" w:after="283"/>
              <w:jc w:val="both"/>
              <w:rPr/>
            </w:pPr>
            <w:r>
              <w:rPr/>
              <w:t xml:space="preserve">The majority of the Company’s state and local income tax expense is attributable to operations in California, New York, New York City and Texas, which collectively represent more than </w:t>
            </w:r>
            <w:r>
              <w:rPr>
                <w:rStyle w:val="Emphasis"/>
              </w:rPr>
              <w:t>50%</w:t>
            </w:r>
            <w:r>
              <w:rPr/>
              <w:t xml:space="preserve"> of the total state and local income tax rate reconciliation category. The Company files income tax returns in multiple state jurisdictions; however, its primary state tax exposure is concentrated in these jurisdictions due to the location of its operations and apportionment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reconciliation of taxes at the federal statutory rate to our provision for (benefit from) income taxes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accordance with the guidance prior to the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was as follows:</w:t>
      </w:r>
    </w:p>
    <w:p>
      <w:pPr>
        <w:pStyle w:val="TextBody"/>
        <w:bidi w:val="0"/>
        <w:spacing w:before="0" w:after="0"/>
        <w:ind w:left="0" w:right="0" w:hanging="0"/>
        <w:jc w:val="left"/>
        <w:rPr>
          <w:caps w:val="false"/>
          <w:smallCaps w:val="false"/>
        </w:rPr>
      </w:pPr>
      <w:r>
        <w:rPr>
          <w:caps w:val="false"/>
          <w:smallCaps w:val="false"/>
        </w:rPr>
        <w:t> </w:t>
      </w:r>
    </w:p>
    <w:tbl>
      <w:tblPr>
        <w:tblW w:w="5384" w:type="dxa"/>
        <w:jc w:val="left"/>
        <w:tblInd w:w="0" w:type="dxa"/>
        <w:tblLayout w:type="fixed"/>
        <w:tblCellMar>
          <w:top w:w="0" w:type="dxa"/>
          <w:left w:w="0" w:type="dxa"/>
          <w:bottom w:w="0" w:type="dxa"/>
          <w:right w:w="0" w:type="dxa"/>
        </w:tblCellMar>
      </w:tblPr>
      <w:tblGrid>
        <w:gridCol w:w="3605"/>
        <w:gridCol w:w="60"/>
        <w:gridCol w:w="305"/>
        <w:gridCol w:w="1334"/>
        <w:gridCol w:w="80"/>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0"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at statutory rates</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permanent differences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133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rate differential</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tax benefit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13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 true-up adjustments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13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w:t>
            </w:r>
          </w:p>
        </w:tc>
        <w:tc>
          <w:tcPr>
            <w:tcW w:w="8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p>
        </w:tc>
        <w:tc>
          <w:tcPr>
            <w:tcW w:w="60" w:type="dxa"/>
            <w:tcBorders/>
            <w:shd w:fill="FFFF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effective tax rate was (0.2)% and 0.4%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effective tax rate for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principally due to tax benefits incurred related to the operations of the Company's UK business, non-deductible executive stock compensation expense, and the change in the fair value of the warrant liabilities. The effective tax rate for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principally due to tax benefits incurred related to the operations of the Company's UK business, the change in fair value of the warrant liabilities, and true-up adjustments recorded in connection with the Company’s filed tax returns, primarily offset by the impact of non-deductible executive stock compensation expense and changes in the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deferred tax assets and liabilities as of the dates indicated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748" w:type="dxa"/>
        <w:jc w:val="left"/>
        <w:tblInd w:w="0" w:type="dxa"/>
        <w:tblLayout w:type="fixed"/>
        <w:tblCellMar>
          <w:top w:w="0" w:type="dxa"/>
          <w:left w:w="0" w:type="dxa"/>
          <w:bottom w:w="0" w:type="dxa"/>
          <w:right w:w="0" w:type="dxa"/>
        </w:tblCellMar>
      </w:tblPr>
      <w:tblGrid>
        <w:gridCol w:w="4235"/>
        <w:gridCol w:w="60"/>
        <w:gridCol w:w="228"/>
        <w:gridCol w:w="1381"/>
        <w:gridCol w:w="80"/>
        <w:gridCol w:w="60"/>
        <w:gridCol w:w="228"/>
        <w:gridCol w:w="1381"/>
        <w:gridCol w:w="95"/>
      </w:tblGrid>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2024</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95" w:type="dxa"/>
            <w:tcBorders/>
            <w:shd w:fill="FFFFFF" w:val="clear"/>
            <w:vAlign w:val="center"/>
          </w:tcPr>
          <w:p>
            <w:pPr>
              <w:pStyle w:val="TableContents"/>
              <w:bidi w:val="0"/>
              <w:spacing w:before="0" w:after="0"/>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Reserve</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Accruals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95" w:type="dxa"/>
            <w:tcBorders/>
            <w:shd w:fill="FFFFFF" w:val="clear"/>
            <w:vAlign w:val="center"/>
          </w:tcPr>
          <w:p>
            <w:pPr>
              <w:pStyle w:val="TableContents"/>
              <w:bidi w:val="0"/>
              <w:spacing w:before="0" w:after="0"/>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Accrued Bonus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58,459</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limitation</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11,058</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(definite life)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8,909</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(indefinite life)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19,669</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 before valuation allowance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102,171</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(101,890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 net</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we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prospectively. The amount of cash income taxes paid by the Company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594" w:type="dxa"/>
        <w:jc w:val="left"/>
        <w:tblInd w:w="0" w:type="dxa"/>
        <w:tblLayout w:type="fixed"/>
        <w:tblCellMar>
          <w:top w:w="0" w:type="dxa"/>
          <w:left w:w="0" w:type="dxa"/>
          <w:bottom w:w="0" w:type="dxa"/>
          <w:right w:w="0" w:type="dxa"/>
        </w:tblCellMar>
      </w:tblPr>
      <w:tblGrid>
        <w:gridCol w:w="1850"/>
        <w:gridCol w:w="60"/>
        <w:gridCol w:w="522"/>
        <w:gridCol w:w="1087"/>
        <w:gridCol w:w="75"/>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2025</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Texas</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Ireland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 net</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cash income taxes paid by the company were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temporary differences due to differences in recognition of revenue and expenses for tax and financial reporting purposes, principally related to net operating losses, inventory, depreciation, and other expenses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deductible or realizable.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federal net operating loss carryforwards of approximately $269.3 million, $31 million of which,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utilized, begin to expire in </w:t>
      </w:r>
      <w:r>
        <w:rPr>
          <w:rStyle w:val="Emphasis"/>
          <w:rFonts w:ascii="Times New Roman" w:hAnsi="Times New Roman"/>
          <w:caps w:val="false"/>
          <w:smallCaps w:val="false"/>
          <w:sz w:val="20"/>
        </w:rPr>
        <w:t>2034</w:t>
      </w:r>
      <w:r>
        <w:rPr>
          <w:rFonts w:ascii="Times New Roman" w:hAnsi="Times New Roman"/>
          <w:caps w:val="false"/>
          <w:smallCaps w:val="false"/>
          <w:sz w:val="20"/>
        </w:rPr>
        <w:t xml:space="preserve"> and approximately $237.9 million can be carried forward indefinitely but are limited to </w:t>
      </w:r>
      <w:r>
        <w:rPr>
          <w:rStyle w:val="Emphasis"/>
          <w:rFonts w:ascii="Times New Roman" w:hAnsi="Times New Roman"/>
          <w:caps w:val="false"/>
          <w:smallCaps w:val="false"/>
          <w:sz w:val="20"/>
        </w:rPr>
        <w:t>80%</w:t>
      </w:r>
      <w:r>
        <w:rPr>
          <w:rFonts w:ascii="Times New Roman" w:hAnsi="Times New Roman"/>
          <w:caps w:val="false"/>
          <w:smallCaps w:val="false"/>
          <w:sz w:val="20"/>
        </w:rPr>
        <w:t xml:space="preserve"> of Federal taxable income. The Company also had state and local net operating losses of $200.8 million that expire between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2036,</w:t>
      </w:r>
      <w:r>
        <w:rPr>
          <w:rFonts w:ascii="Times New Roman" w:hAnsi="Times New Roman"/>
          <w:caps w:val="false"/>
          <w:smallCaps w:val="false"/>
          <w:sz w:val="20"/>
        </w:rPr>
        <w:t xml:space="preserve"> depending on the state,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used.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Company had federal net operating loss carryforwards of approximately $241.7 million, $31.1 million of which,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utilized, begin to expire in </w:t>
      </w:r>
      <w:r>
        <w:rPr>
          <w:rStyle w:val="Emphasis"/>
          <w:rFonts w:ascii="Times New Roman" w:hAnsi="Times New Roman"/>
          <w:caps w:val="false"/>
          <w:smallCaps w:val="false"/>
          <w:sz w:val="20"/>
        </w:rPr>
        <w:t>2034</w:t>
      </w:r>
      <w:r>
        <w:rPr>
          <w:rFonts w:ascii="Times New Roman" w:hAnsi="Times New Roman"/>
          <w:caps w:val="false"/>
          <w:smallCaps w:val="false"/>
          <w:sz w:val="20"/>
        </w:rPr>
        <w:t xml:space="preserve"> and approximately $210.6 million can be carried forward indefinitely but are limited to </w:t>
      </w:r>
      <w:r>
        <w:rPr>
          <w:rStyle w:val="Emphasis"/>
          <w:rFonts w:ascii="Times New Roman" w:hAnsi="Times New Roman"/>
          <w:caps w:val="false"/>
          <w:smallCaps w:val="false"/>
          <w:sz w:val="20"/>
        </w:rPr>
        <w:t>80%</w:t>
      </w:r>
      <w:r>
        <w:rPr>
          <w:rFonts w:ascii="Times New Roman" w:hAnsi="Times New Roman"/>
          <w:caps w:val="false"/>
          <w:smallCaps w:val="false"/>
          <w:sz w:val="20"/>
        </w:rPr>
        <w:t xml:space="preserve"> of Federal taxable income. The Company also had state and local net operating losses of $150.3 million that expire between </w:t>
      </w:r>
      <w:r>
        <w:rPr>
          <w:rStyle w:val="Emphasis"/>
          <w:rFonts w:ascii="Times New Roman" w:hAnsi="Times New Roman"/>
          <w:caps w:val="false"/>
          <w:smallCaps w:val="false"/>
          <w:sz w:val="20"/>
        </w:rPr>
        <w:t>2035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2044,</w:t>
      </w:r>
      <w:r>
        <w:rPr>
          <w:rFonts w:ascii="Times New Roman" w:hAnsi="Times New Roman"/>
          <w:caps w:val="false"/>
          <w:smallCaps w:val="false"/>
          <w:sz w:val="20"/>
        </w:rPr>
        <w:t xml:space="preserve"> depending on the state,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used. The Company’s ability to utilize its NOL carryforwards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limited pursuant to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(the “Code”), if the Company has had a change in ownership of more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its capital stock over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pursuant to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Code. These complex changes of ownership rules generally focus on ownership changes involving stockholders owning directly or indirectly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or more of a company’s stock, including certain public “groups” of stockholders as set forth by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Code, including those arising from new stock issuances and other equity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response to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various governments worldwide have enacted, or are in the process of enacting, measures to provide relief to businesses negatively affected by the pandemic. On </w:t>
      </w:r>
      <w:r>
        <w:rPr>
          <w:rStyle w:val="Emphasis"/>
          <w:rFonts w:ascii="Times New Roman" w:hAnsi="Times New Roman"/>
          <w:caps w:val="false"/>
          <w:smallCaps w:val="false"/>
          <w:sz w:val="20"/>
        </w:rPr>
        <w:t xml:space="preserve">March 27, 2021, </w:t>
      </w:r>
      <w:r>
        <w:rPr>
          <w:rFonts w:ascii="Times New Roman" w:hAnsi="Times New Roman"/>
          <w:caps w:val="false"/>
          <w:smallCaps w:val="false"/>
          <w:sz w:val="20"/>
        </w:rPr>
        <w:t xml:space="preserve">the Coronavirus Aid, Relief and Economic Security Act ("CARES Act") was signed into law in the U.S. The CARES Act provides relief to U.S. corporations through financial assistance programs and modifications to certain payroll and income tax provisions. In connection with the CARES Act and other financial relief measures worldwide, the Company received $1.3 million of payroll related credits, of which $0.6 million has been utilized during the year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with the remaining credits to be utilized over the next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The payroll related credits are recorded in accrued and other current liabilities within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regularly assesses the realizability of its deferred tax assets and establishes a valuation allowance if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some portion of the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ultimate realization of deferred tax assets is dependent upon the generation of future taxable income during the periods in which those temporary differences become deductible. Due primarily to the Company’s history of net operating losses, the Company believes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its federal, state and foreign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Accordingly, the deferred tax assets have been fully offset by a valuation allowance. The valuation allowance for the year ended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increased by $4.3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major taxing jurisdictions are New Jersey, New York, New York City, Florida, Texas, Pennsylvania, Tennessee, Virginia, California, and the United Kingdom.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audited in subsequent years when utilized. The Company is currently under examination by the Internal Revenue Service for its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federal income tax return.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audits covering a variety of tax matters by taxing authorities in any taxing jurisdiction where the Company conducts business. While the Company believes that the tax returns filed, and tax positions taken are supportable and accurate, some tax authorities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agree with the positions taken. This can give rise to tax uncertainties which, upon audit,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resolved in the Company’s favor.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has not recorded any tax contingency accruals for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had no unrecognized tax benefits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and 2024.</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rPr>
        <w:t>None.</w:t>
      </w:r>
    </w:p>
    <w:p>
      <w:pPr>
        <w:pStyle w:val="TextBody"/>
        <w:bidi w:val="0"/>
        <w:spacing w:before="0" w:after="0"/>
        <w:jc w:val="left"/>
        <w:rPr/>
      </w:pPr>
      <w:r>
        <w:rPr/>
        <w:t xml:space="preserve">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15.</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to consider the impact of the shares of restricted common stock on the calculation of basic and diluted earnings per share. The Company is currently in a net loss position and is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present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however, in the event the Company is in a net income position,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must be applied by allocating all earnings during the period to shares of common stock and shares of restricted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9983" w:type="dxa"/>
        <w:jc w:val="left"/>
        <w:tblInd w:w="0" w:type="dxa"/>
        <w:tblLayout w:type="fixed"/>
        <w:tblCellMar>
          <w:top w:w="0" w:type="dxa"/>
          <w:left w:w="0" w:type="dxa"/>
          <w:bottom w:w="0" w:type="dxa"/>
          <w:right w:w="0" w:type="dxa"/>
        </w:tblCellMar>
      </w:tblPr>
      <w:tblGrid>
        <w:gridCol w:w="7400"/>
        <w:gridCol w:w="60"/>
        <w:gridCol w:w="147"/>
        <w:gridCol w:w="997"/>
        <w:gridCol w:w="80"/>
        <w:gridCol w:w="60"/>
        <w:gridCol w:w="147"/>
        <w:gridCol w:w="997"/>
        <w:gridCol w:w="95"/>
      </w:tblGrid>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7,932,889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7,069,404</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9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shares excluded from computation of net loss per share (in shares)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2,245,766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2,007,676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16.</w:t>
            </w:r>
          </w:p>
        </w:tc>
        <w:tc>
          <w:tcPr>
            <w:tcW w:w="1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INTANGIBLES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the changes in the Company’s intangible assets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6"/>
        <w:gridCol w:w="60"/>
        <w:gridCol w:w="302"/>
        <w:gridCol w:w="1361"/>
        <w:gridCol w:w="60"/>
        <w:gridCol w:w="60"/>
        <w:gridCol w:w="279"/>
        <w:gridCol w:w="573"/>
        <w:gridCol w:w="114"/>
        <w:gridCol w:w="114"/>
        <w:gridCol w:w="279"/>
        <w:gridCol w:w="1133"/>
        <w:gridCol w:w="80"/>
        <w:gridCol w:w="60"/>
        <w:gridCol w:w="334"/>
        <w:gridCol w:w="1618"/>
        <w:gridCol w:w="80"/>
        <w:gridCol w:w="60"/>
        <w:gridCol w:w="287"/>
        <w:gridCol w:w="1119"/>
        <w:gridCol w:w="66"/>
      </w:tblGrid>
      <w:tr>
        <w:trPr/>
        <w:tc>
          <w:tcPr>
            <w:tcW w:w="21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January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6" w:type="dxa"/>
            <w:tcBorders/>
            <w:shd w:fill="FFFF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Additions</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412"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Impairments(2)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6"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Trademarks(1)</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w:t>
            </w:r>
          </w:p>
        </w:tc>
        <w:tc>
          <w:tcPr>
            <w:tcW w:w="66"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3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1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agreement</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3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573" w:type="dxa"/>
            <w:tcBorders/>
            <w:shd w:fill="CCEEFF" w:val="cle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1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relationships(1)</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3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1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w:t>
            </w:r>
          </w:p>
        </w:tc>
        <w:tc>
          <w:tcPr>
            <w:tcW w:w="66"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3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573" w:type="dxa"/>
            <w:tcBorders/>
            <w:shd w:fill="CCEEFF" w:val="cle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1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6" w:type="dxa"/>
            <w:tcBorders/>
            <w:shd w:fill="CCEEFF"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intangibles(1)</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r>
              <w:rPr>
                <w:rStyle w:val="Emphasis"/>
              </w:rPr>
              <w:t>1</w:t>
            </w:r>
            <w:r>
              <w:rPr/>
              <w:t>)</w:t>
            </w:r>
          </w:p>
        </w:tc>
        <w:tc>
          <w:tcPr>
            <w:tcW w:w="9992" w:type="dxa"/>
            <w:tcBorders/>
            <w:vAlign w:val="center"/>
          </w:tcPr>
          <w:p>
            <w:pPr>
              <w:pStyle w:val="TableContents"/>
              <w:bidi w:val="0"/>
              <w:spacing w:before="0" w:after="283"/>
              <w:jc w:val="both"/>
              <w:rPr/>
            </w:pPr>
            <w:r>
              <w:rPr/>
              <w:t xml:space="preserve">As of </w:t>
            </w:r>
            <w:r>
              <w:rPr>
                <w:rStyle w:val="Emphasis"/>
              </w:rPr>
              <w:t>December 31, 2025</w:t>
            </w:r>
            <w:r>
              <w:rPr/>
              <w:t>, the weighted-average remaining amortization period for Trademarks and Customer Relationships was 5.25 years and 5.33 years, respectively. The weighted-average remaining amortization period for total intangibles was 5.28 years.</w:t>
            </w:r>
          </w:p>
        </w:tc>
      </w:tr>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r>
              <w:rPr>
                <w:rStyle w:val="Emphasis"/>
              </w:rPr>
              <w:t>2</w:t>
            </w:r>
            <w:r>
              <w:rPr/>
              <w:t>)</w:t>
            </w:r>
          </w:p>
        </w:tc>
        <w:tc>
          <w:tcPr>
            <w:tcW w:w="9992" w:type="dxa"/>
            <w:tcBorders/>
            <w:vAlign w:val="center"/>
          </w:tcPr>
          <w:p>
            <w:pPr>
              <w:pStyle w:val="TableContents"/>
              <w:bidi w:val="0"/>
              <w:spacing w:before="0" w:after="283"/>
              <w:jc w:val="both"/>
              <w:rPr/>
            </w:pPr>
            <w:r>
              <w:rPr/>
              <w:t xml:space="preserve">In </w:t>
            </w:r>
            <w:r>
              <w:rPr>
                <w:rStyle w:val="Emphasis"/>
              </w:rPr>
              <w:t xml:space="preserve">December 2025, </w:t>
            </w:r>
            <w:r>
              <w:rPr/>
              <w:t xml:space="preserve">the Company announced that its Board of Directors had initiated a process to explore strategic alternatives to maximize shareholder value. This announcement constituted a triggering event under ASC </w:t>
            </w:r>
            <w:r>
              <w:rPr>
                <w:rStyle w:val="Emphasis"/>
              </w:rPr>
              <w:t>350,</w:t>
            </w:r>
            <w:r>
              <w:rPr/>
              <w:t xml:space="preserve"> Intangibles—Goodwill and Other, requiring the Company to perform an interim impairment assessment of its definite-lived brand intangible assets. The Company estimated the fair value of its definite-lived brand assets using market-based inputs, including indicative valuations from market participants obtained during the strategic alternative process. Based on this assessment, the Company determined that the carrying value of certain brand intangible assets exceeded their estimated fair value. Accordingly, the Company recorded a non-cash impairment charge of approximately $3.8 million during the </w:t>
            </w:r>
            <w:r>
              <w:rPr>
                <w:rStyle w:val="Emphasis"/>
              </w:rPr>
              <w:t>fourth</w:t>
            </w:r>
            <w:r>
              <w:rPr/>
              <w:t xml:space="preserve"> quarter of </w:t>
            </w:r>
            <w:r>
              <w:rPr>
                <w:rStyle w:val="Emphasis"/>
              </w:rPr>
              <w:t>2025.</w:t>
            </w:r>
            <w:r>
              <w:rPr/>
              <w:t xml:space="preserve"> The impairment charge is included within impairment loss on intangibles on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5"/>
        <w:gridCol w:w="60"/>
        <w:gridCol w:w="313"/>
        <w:gridCol w:w="1378"/>
        <w:gridCol w:w="60"/>
        <w:gridCol w:w="60"/>
        <w:gridCol w:w="379"/>
        <w:gridCol w:w="685"/>
        <w:gridCol w:w="148"/>
        <w:gridCol w:w="148"/>
        <w:gridCol w:w="379"/>
        <w:gridCol w:w="775"/>
        <w:gridCol w:w="60"/>
        <w:gridCol w:w="60"/>
        <w:gridCol w:w="339"/>
        <w:gridCol w:w="1624"/>
        <w:gridCol w:w="80"/>
        <w:gridCol w:w="60"/>
        <w:gridCol w:w="287"/>
        <w:gridCol w:w="1119"/>
        <w:gridCol w:w="66"/>
      </w:tblGrid>
      <w:tr>
        <w:trPr/>
        <w:tc>
          <w:tcPr>
            <w:tcW w:w="2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Year-Ended 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6" w:type="dxa"/>
            <w:tcBorders/>
            <w:vAlign w:val="center"/>
          </w:tcPr>
          <w:p>
            <w:pPr>
              <w:pStyle w:val="TableContents"/>
              <w:bidi w:val="0"/>
              <w:spacing w:before="0" w:after="283"/>
              <w:jc w:val="left"/>
              <w:rPr/>
            </w:pPr>
            <w:r>
              <w:rPr/>
              <w:t> </w:t>
            </w:r>
          </w:p>
        </w:tc>
      </w:tr>
      <w:tr>
        <w:trPr/>
        <w:tc>
          <w:tcPr>
            <w:tcW w:w="2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Additions</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Book Value</w:t>
            </w:r>
          </w:p>
        </w:tc>
        <w:tc>
          <w:tcPr>
            <w:tcW w:w="66" w:type="dxa"/>
            <w:tcBorders/>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6,119</w:t>
            </w:r>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ind w:left="0" w:right="0" w:hanging="0"/>
              <w:jc w:val="left"/>
              <w:rPr/>
            </w:pPr>
            <w:r>
              <w:rPr/>
              <w:t> </w:t>
            </w:r>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agreement</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ind w:left="0" w:right="0" w:hanging="0"/>
              <w:jc w:val="left"/>
              <w:rPr/>
            </w:pPr>
            <w:r>
              <w:rPr/>
              <w:t> </w:t>
            </w:r>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ind w:left="0" w:right="0" w:hanging="0"/>
              <w:jc w:val="left"/>
              <w:rPr/>
            </w:pPr>
            <w:r>
              <w:rPr/>
              <w:t> </w:t>
            </w:r>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w:t>
            </w:r>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3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ind w:left="0" w:right="0" w:hanging="0"/>
              <w:jc w:val="left"/>
              <w:rPr/>
            </w:pPr>
            <w:r>
              <w:rPr/>
              <w:t> </w:t>
            </w:r>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6" w:type="dxa"/>
            <w:tcBorders/>
            <w:shd w:fill="CCEEFF" w:val="clear"/>
            <w:vAlign w:val="center"/>
          </w:tcPr>
          <w:p>
            <w:pPr>
              <w:pStyle w:val="TableContents"/>
              <w:bidi w:val="0"/>
              <w:spacing w:before="0" w:after="283"/>
              <w:jc w:val="left"/>
              <w:rPr/>
            </w:pPr>
            <w:r>
              <w:rPr/>
              <w:t> </w:t>
            </w:r>
          </w:p>
        </w:tc>
      </w:tr>
      <w:tr>
        <w:trPr/>
        <w:tc>
          <w:tcPr>
            <w:tcW w:w="2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3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r>
      <w:tr>
        <w:trPr/>
        <w:tc>
          <w:tcPr>
            <w:tcW w:w="2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Company’s intangible assets are amortized on a straight-line basis over their estimated useful lives, which are 5 to 15 years for trademarks, 3 to 5 years for non-competition agreements, the term of the contract for transition services agreements, 5 to 15 years for customer relationships, and 3 to 5 years for software.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The Company recognized $1.6 million in intangibles amortization expense during the year ended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the estimated aggregate amortization of our in-place intangible assets and favorable intangible assets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and thereafter (amounts in thousands):</w:t>
      </w:r>
    </w:p>
    <w:p>
      <w:pPr>
        <w:pStyle w:val="TextBody"/>
        <w:bidi w:val="0"/>
        <w:spacing w:before="0" w:after="0"/>
        <w:ind w:left="0" w:right="0" w:hanging="0"/>
        <w:jc w:val="left"/>
        <w:rPr>
          <w:caps w:val="false"/>
          <w:smallCaps w:val="false"/>
        </w:rPr>
      </w:pPr>
      <w:r>
        <w:rPr>
          <w:caps w:val="false"/>
          <w:smallCaps w:val="false"/>
        </w:rPr>
        <w:t> </w:t>
      </w:r>
    </w:p>
    <w:tbl>
      <w:tblPr>
        <w:tblW w:w="1605" w:type="dxa"/>
        <w:jc w:val="left"/>
        <w:tblInd w:w="0" w:type="dxa"/>
        <w:tblLayout w:type="fixed"/>
        <w:tblCellMar>
          <w:top w:w="0" w:type="dxa"/>
          <w:left w:w="0" w:type="dxa"/>
          <w:bottom w:w="0" w:type="dxa"/>
          <w:right w:w="0" w:type="dxa"/>
        </w:tblCellMar>
      </w:tblPr>
      <w:tblGrid>
        <w:gridCol w:w="860"/>
        <w:gridCol w:w="60"/>
        <w:gridCol w:w="125"/>
        <w:gridCol w:w="485"/>
        <w:gridCol w:w="75"/>
      </w:tblGrid>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829</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237</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17.</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14, 2025, </w:t>
      </w:r>
      <w:r>
        <w:rPr>
          <w:rFonts w:ascii="Times New Roman" w:hAnsi="Times New Roman"/>
          <w:caps w:val="false"/>
          <w:smallCaps w:val="false"/>
          <w:sz w:val="20"/>
        </w:rPr>
        <w:t xml:space="preserve">the Company announced a fixed cost reduction plan, which included a workforce reduction affecting approximately 20 employees. The Company has substantially completed this reduction as of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Severance payments are expected to be made through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8, 2024, </w:t>
      </w:r>
      <w:r>
        <w:rPr>
          <w:rFonts w:ascii="Times New Roman" w:hAnsi="Times New Roman"/>
          <w:caps w:val="false"/>
          <w:smallCaps w:val="false"/>
          <w:sz w:val="20"/>
        </w:rPr>
        <w:t xml:space="preserve">the Company committed to a fixed cost-cutting plan, including a reduction in workforce which resulted in the termination of approximately 17 employees and 26 contractors globally. The Company incurred $0.6 million of restructuring charges 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accounting for the restructuring costs follows the provisions of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restructuring costs incurred:</w:t>
      </w:r>
    </w:p>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2225"/>
        <w:gridCol w:w="60"/>
        <w:gridCol w:w="243"/>
        <w:gridCol w:w="946"/>
        <w:gridCol w:w="60"/>
        <w:gridCol w:w="60"/>
        <w:gridCol w:w="286"/>
        <w:gridCol w:w="903"/>
        <w:gridCol w:w="8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severance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Other restructuring costs(1)</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Includes reversal of costs associated with a contract settlement during the year ended </w:t>
      </w:r>
      <w:r>
        <w:rPr>
          <w:rStyle w:val="Emphasis"/>
          <w:rFonts w:ascii="Times New Roman" w:hAnsi="Times New Roman"/>
          <w:caps w:val="false"/>
          <w:smallCaps w:val="false"/>
          <w:sz w:val="20"/>
        </w:rPr>
        <w:t>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w:t>
      </w:r>
    </w:p>
    <w:p>
      <w:pPr>
        <w:pStyle w:val="TextBody"/>
        <w:bidi w:val="0"/>
        <w:spacing w:before="0" w:after="0"/>
        <w:ind w:left="0" w:right="0" w:hanging="0"/>
        <w:jc w:val="left"/>
        <w:rPr>
          <w:caps w:val="false"/>
          <w:smallCaps w:val="false"/>
        </w:rPr>
      </w:pPr>
      <w:r>
        <w:rPr>
          <w:caps w:val="false"/>
          <w:smallCaps w:val="false"/>
        </w:rPr>
        <w:t> </w:t>
      </w:r>
    </w:p>
    <w:tbl>
      <w:tblPr>
        <w:tblW w:w="4319" w:type="dxa"/>
        <w:jc w:val="left"/>
        <w:tblInd w:w="0" w:type="dxa"/>
        <w:tblLayout w:type="fixed"/>
        <w:tblCellMar>
          <w:top w:w="0" w:type="dxa"/>
          <w:left w:w="0" w:type="dxa"/>
          <w:bottom w:w="0" w:type="dxa"/>
          <w:right w:w="0" w:type="dxa"/>
        </w:tblCellMar>
      </w:tblPr>
      <w:tblGrid>
        <w:gridCol w:w="2450"/>
        <w:gridCol w:w="60"/>
        <w:gridCol w:w="321"/>
        <w:gridCol w:w="1408"/>
        <w:gridCol w:w="8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Employee Severance</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Usage-noncash</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had a liability of $0.5 million for restructuring costs, which was included in accrued and other current liabilities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did not have any liability for restructuring costs.</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740" w:type="dxa"/>
        <w:jc w:val="left"/>
        <w:tblInd w:w="0" w:type="dxa"/>
        <w:tblLayout w:type="fixed"/>
        <w:tblCellMar>
          <w:top w:w="0" w:type="dxa"/>
          <w:left w:w="0" w:type="dxa"/>
          <w:bottom w:w="0" w:type="dxa"/>
          <w:right w:w="0" w:type="dxa"/>
        </w:tblCellMar>
      </w:tblPr>
      <w:tblGrid>
        <w:gridCol w:w="275"/>
        <w:gridCol w:w="246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18.</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Segment Information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determined that it has one operating segment. The Company's chief operating decision maker ("CODM") is its chief executive officer, who reviews financial information presented on a consolidated basis. The CODM uses consolidated operating margin and net income (loss)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pStyle w:val="TextBody"/>
        <w:bidi w:val="0"/>
        <w:spacing w:before="0" w:after="0"/>
        <w:ind w:left="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080"/>
        <w:gridCol w:w="60"/>
        <w:gridCol w:w="184"/>
        <w:gridCol w:w="960"/>
        <w:gridCol w:w="80"/>
        <w:gridCol w:w="60"/>
        <w:gridCol w:w="184"/>
        <w:gridCol w:w="960"/>
        <w:gridCol w:w="24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December 31,</w:t>
            </w:r>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99,045</w:t>
            </w:r>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37,550</w:t>
            </w:r>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sz w:val="20"/>
              </w:rPr>
            </w:pPr>
            <w:r>
              <w:rPr>
                <w:rFonts w:ascii="Times New Roman;Times;serif" w:hAnsi="Times New Roman;Times;serif"/>
                <w:sz w:val="20"/>
              </w:rPr>
              <w:t>Variable sales costs (1)</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44,553</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vendor and payroll expenses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19,566</w:t>
            </w:r>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1,689</w:t>
            </w:r>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Impairment loss on intangibles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7,510</w:t>
            </w:r>
          </w:p>
        </w:tc>
        <w:tc>
          <w:tcPr>
            <w:tcW w:w="24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items(2)</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r>
              <w:rPr>
                <w:rStyle w:val="Emphasis"/>
              </w:rPr>
              <w:t>1</w:t>
            </w:r>
            <w:r>
              <w:rPr/>
              <w:t>)</w:t>
            </w:r>
          </w:p>
        </w:tc>
        <w:tc>
          <w:tcPr>
            <w:tcW w:w="9900" w:type="dxa"/>
            <w:tcBorders/>
            <w:vAlign w:val="center"/>
          </w:tcPr>
          <w:p>
            <w:pPr>
              <w:pStyle w:val="TableContents"/>
              <w:bidi w:val="0"/>
              <w:spacing w:before="0" w:after="283"/>
              <w:jc w:val="both"/>
              <w:rPr/>
            </w:pPr>
            <w:r>
              <w:rPr/>
              <w:t>Variable sales costs primarily include e-commerce platform commissions, online advertising, and selling and logistics expenses.</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r>
              <w:rPr>
                <w:rStyle w:val="Emphasis"/>
              </w:rPr>
              <w:t>2</w:t>
            </w:r>
            <w:r>
              <w:rPr/>
              <w:t>)</w:t>
            </w:r>
          </w:p>
        </w:tc>
        <w:tc>
          <w:tcPr>
            <w:tcW w:w="9900" w:type="dxa"/>
            <w:tcBorders/>
            <w:vAlign w:val="center"/>
          </w:tcPr>
          <w:p>
            <w:pPr>
              <w:pStyle w:val="TableContents"/>
              <w:bidi w:val="0"/>
              <w:spacing w:before="0" w:after="283"/>
              <w:jc w:val="both"/>
              <w:rPr/>
            </w:pPr>
            <w:r>
              <w:rPr/>
              <w:t>Other segment items primarily include income taxes, interest expense, other (income) expense, and the change in fair value of warrant liabilities.</w:t>
            </w:r>
          </w:p>
        </w:tc>
      </w:tr>
    </w:tbl>
    <w:p>
      <w:pPr>
        <w:pStyle w:val="TextBody"/>
        <w:bidi w:val="0"/>
        <w:spacing w:before="0" w:after="0"/>
        <w:ind w:left="0" w:right="0" w:firstLine="180"/>
        <w:jc w:val="left"/>
        <w:rPr/>
      </w:pPr>
      <w:r>
        <w:rPr/>
        <w:t> </w:t>
      </w:r>
    </w:p>
    <w:p>
      <w:pPr>
        <w:pStyle w:val="TextBody"/>
        <w:bidi w:val="0"/>
        <w:spacing w:before="0" w:after="0"/>
        <w:ind w:left="0" w:right="0" w:hanging="0"/>
        <w:jc w:val="both"/>
        <w:rPr/>
      </w:pPr>
      <w:r>
        <w:rPr>
          <w:rFonts w:ascii="Times New Roman" w:hAnsi="Times New Roman"/>
          <w:sz w:val="20"/>
        </w:rPr>
        <w:t xml:space="preserve">The CODM does </w:t>
      </w:r>
      <w:r>
        <w:rPr>
          <w:rStyle w:val="Emphasis"/>
          <w:rFonts w:ascii="Times New Roman" w:hAnsi="Times New Roman"/>
          <w:sz w:val="20"/>
        </w:rPr>
        <w:t>not</w:t>
      </w:r>
      <w:r>
        <w:rPr>
          <w:rFonts w:ascii="Times New Roman" w:hAnsi="Times New Roman"/>
          <w:sz w:val="20"/>
        </w:rPr>
        <w:t xml:space="preserve"> use total assets as a financial metric when making key operating decisions.</w:t>
      </w:r>
    </w:p>
    <w:p>
      <w:pPr>
        <w:pStyle w:val="TextBody"/>
        <w:bidi w:val="0"/>
        <w:spacing w:before="0" w:after="0"/>
        <w:ind w:left="0" w:right="0" w:hanging="0"/>
        <w:jc w:val="both"/>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19.</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 xml:space="preserve">the Company implemented a fixed cost reduction plan that included a workforce reduction affecting approximately 16 employees and independent contractors. The Company expects to substantially complete this reduction by the end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expects to recognize restructuring charges in connection with the plan, primarily related to severance, of $0.3 million. The Company expects the charges will be recognized and paid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2026, </w:t>
      </w:r>
      <w:r>
        <w:rPr>
          <w:rFonts w:ascii="Times New Roman" w:hAnsi="Times New Roman"/>
          <w:caps w:val="false"/>
          <w:smallCaps w:val="false"/>
          <w:sz w:val="20"/>
        </w:rPr>
        <w:t xml:space="preserve">the U.S. Supreme Court ruled in Learning Resources Inc. v. Trump that the International Emergency Economic Powers Act (IEEPA)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authorize the President to impose tariffs. This ruling effectively invalidated several tariff regimes in effect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under which the Company paid significant duties. While this decision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entitle the Company to refunds for previously paid IEEPA tariffs, the timing and process for such refunds remain uncertain,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asset has been recognized as of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Furthermore, on </w:t>
      </w:r>
      <w:r>
        <w:rPr>
          <w:rStyle w:val="Emphasis"/>
          <w:rFonts w:ascii="Times New Roman" w:hAnsi="Times New Roman"/>
          <w:caps w:val="false"/>
          <w:smallCaps w:val="false"/>
          <w:sz w:val="20"/>
        </w:rPr>
        <w:t xml:space="preserve">February 24, 2026, </w:t>
      </w:r>
      <w:r>
        <w:rPr>
          <w:rFonts w:ascii="Times New Roman" w:hAnsi="Times New Roman"/>
          <w:caps w:val="false"/>
          <w:smallCaps w:val="false"/>
          <w:sz w:val="20"/>
        </w:rPr>
        <w:t xml:space="preserve">the U.S. government implemented a new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baseline global tariff under Section </w:t>
      </w:r>
      <w:r>
        <w:rPr>
          <w:rStyle w:val="Emphasis"/>
          <w:rFonts w:ascii="Times New Roman" w:hAnsi="Times New Roman"/>
          <w:caps w:val="false"/>
          <w:smallCaps w:val="false"/>
          <w:sz w:val="20"/>
        </w:rPr>
        <w:t>122</w:t>
      </w:r>
      <w:r>
        <w:rPr>
          <w:rFonts w:ascii="Times New Roman" w:hAnsi="Times New Roman"/>
          <w:caps w:val="false"/>
          <w:smallCaps w:val="false"/>
          <w:sz w:val="20"/>
        </w:rPr>
        <w:t xml:space="preserve"> of the Trade Act of </w:t>
      </w:r>
      <w:r>
        <w:rPr>
          <w:rStyle w:val="Emphasis"/>
          <w:rFonts w:ascii="Times New Roman" w:hAnsi="Times New Roman"/>
          <w:caps w:val="false"/>
          <w:smallCaps w:val="false"/>
          <w:sz w:val="20"/>
        </w:rPr>
        <w:t>1974</w:t>
      </w:r>
      <w:r>
        <w:rPr>
          <w:rFonts w:ascii="Times New Roman" w:hAnsi="Times New Roman"/>
          <w:caps w:val="false"/>
          <w:smallCaps w:val="false"/>
          <w:sz w:val="20"/>
        </w:rPr>
        <w:t xml:space="preserve"> for a period of </w:t>
      </w:r>
      <w:r>
        <w:rPr>
          <w:rStyle w:val="Emphasis"/>
          <w:rFonts w:ascii="Times New Roman" w:hAnsi="Times New Roman"/>
          <w:caps w:val="false"/>
          <w:smallCaps w:val="false"/>
          <w:sz w:val="20"/>
        </w:rPr>
        <w:t>150</w:t>
      </w:r>
      <w:r>
        <w:rPr>
          <w:rFonts w:ascii="Times New Roman" w:hAnsi="Times New Roman"/>
          <w:caps w:val="false"/>
          <w:smallCaps w:val="false"/>
          <w:sz w:val="20"/>
        </w:rPr>
        <w:t xml:space="preserve"> days, unless extended by Congress. The Company is currently evaluating the impact of these new tariffs on its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cost of goods sold and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Product Recall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the Company announced a voluntary recall in coordination with the CPSC for approximately 195,000 units of our PurSteam Mighty Lil Steamers and Elite Travel Steamers due to reports of hot water expelling from the nozzle, which has resulted in reported burn injuries.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a purported class action complaint was filed against the Company in the United States District Court for the District of New Jersey (Sarah Brannon v. Aterian, Inc.) relating to the recalled products. The complaint alleges, among other things, breach of warranty, consumer protection violations, and product liability claims and seeks unspecified damages and other relief. The Company intends to vigorously defend itself in this matter. At this time, the Company is unable to reasonably estimate a potential loss or range of loss associated with this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Midcap Credit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13, 2026, </w:t>
      </w:r>
      <w:r>
        <w:rPr>
          <w:rFonts w:ascii="Times New Roman" w:hAnsi="Times New Roman"/>
          <w:caps w:val="false"/>
          <w:smallCaps w:val="false"/>
          <w:sz w:val="20"/>
        </w:rPr>
        <w:t xml:space="preserve">the Company and its subsidiaries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w:t>
      </w:r>
      <w:r>
        <w:rPr>
          <w:rStyle w:val="Emphasis"/>
          <w:rFonts w:ascii="Times New Roman" w:hAnsi="Times New Roman"/>
          <w:caps w:val="false"/>
          <w:smallCaps w:val="false"/>
          <w:sz w:val="20"/>
        </w:rPr>
        <w:t xml:space="preserve">May 9, 2026, </w:t>
      </w:r>
      <w:r>
        <w:rPr>
          <w:rFonts w:ascii="Times New Roman" w:hAnsi="Times New Roman"/>
          <w:caps w:val="false"/>
          <w:smallCaps w:val="false"/>
          <w:sz w:val="20"/>
        </w:rPr>
        <w:t>provided it remains in compliance with certain fee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conducted a review for additional subsequent events and determined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subsequent events had occurred through the issuance date that would require additional disclosures.</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3" w:name="item9"/>
      <w:bookmarkEnd w:id="23"/>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sz w:val="20"/>
        </w:rPr>
      </w:pPr>
      <w:r>
        <w:rPr>
          <w:sz w:val="20"/>
        </w:rPr>
        <w:t xml:space="preserve">None. </w:t>
      </w:r>
    </w:p>
    <w:p>
      <w:pPr>
        <w:pStyle w:val="TextBody"/>
        <w:bidi w:val="0"/>
        <w:ind w:left="0" w:right="0" w:hanging="0"/>
        <w:jc w:val="both"/>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4" w:name="controlsandprocedures"/>
      <w:bookmarkEnd w:id="24"/>
      <w:r>
        <w:rPr>
          <w:rFonts w:ascii="Times New Roman" w:hAnsi="Times New Roman"/>
          <w:b/>
          <w:caps w:val="false"/>
          <w:smallCaps w:val="false"/>
          <w:sz w:val="20"/>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Evaluation of Disclosure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Exchange Act Rule 13a-15(f)). Our principal executive officer and principal financial officer have concluded, based on their evaluation, that our disclosure controls and procedures were effective as of December 31, 2025. This Annual Report does not include an attestation report of our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Management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Exchange Act Rule 13a-15(f)). Our management, with the participation of our CEO and CFO, evaluated the effectiveness of our disclosure controls and procedures, as defined in Rules 13a-15(e) and 15d-15(e) under the Exchange Act, as of the end of the period covered by this Annual Report.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inherent limitations to the effectiveness of any system of disclosure controls and procedures, including the possibility of human error and the circumvention or overriding of the controls and procedures. Our disclosure controls and procedures are designed to provide reasonable assurance of achieving their control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assessed the effectiveness of our internal control over financial reporting as of December 31, 2025. In making this assessment, management used the criteria set forth in 2013 by the Committee of Sponsoring Organizations of the Treadway Commission (“COSO”) in “Internal Control-Integrated Framework.” Based on management’s assessment using the COSO criteria, management has concluded that our internal control over financial reporting was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year ended December 31, 2025, that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Limitations on Effectiveness of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5" w:name="otherinfo"/>
      <w:bookmarkEnd w:id="25"/>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Insider Trading Arrangements and Related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none of our directors or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Executive Severance &amp; Change in Control Policy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21, 2025, (</w:t>
      </w:r>
      <w:r>
        <w:rPr>
          <w:rFonts w:ascii="Times New Roman" w:hAnsi="Times New Roman"/>
          <w:caps w:val="false"/>
          <w:smallCaps w:val="false"/>
          <w:sz w:val="20"/>
        </w:rPr>
        <w:t xml:space="preserve">the “Effective Date”), the Board of Directors of the Company adopted the Aterian, Inc. Executive Severance Plan (the “Plan”) to provide Participants, as defined therein, with the opportunity to receive severance benefits in the event of certain terminations of employment. The Plan is intended to be a Top Hat welfare benefit plan under the Employee Retirement Income Security Act of </w:t>
      </w:r>
      <w:r>
        <w:rPr>
          <w:rStyle w:val="Emphasis"/>
          <w:rFonts w:ascii="Times New Roman" w:hAnsi="Times New Roman"/>
          <w:caps w:val="false"/>
          <w:smallCaps w:val="false"/>
          <w:sz w:val="20"/>
        </w:rPr>
        <w:t>1974,</w:t>
      </w:r>
      <w:r>
        <w:rPr>
          <w:rFonts w:ascii="Times New Roman" w:hAnsi="Times New Roman"/>
          <w:caps w:val="false"/>
          <w:smallCaps w:val="false"/>
          <w:sz w:val="20"/>
        </w:rPr>
        <w:t xml:space="preserve"> as amended (“ERISA”) and is designed to attract and retain qualified executives. The Administrator of the Plan is the Board of Directors or a duly authorized committee thereof. The Administrator has the exclusive right, power and authority, in its sole and absolute discretion, to administer and interpret the Plan. The Administrator has the exclusive power to determine who is eligible to receive benefits under the Plan and to designate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Plan specifically provides that eligibility to receive benefits under the Plan is limited to a select group of management or highly compensated employees within the meaning of Sections </w:t>
      </w:r>
      <w:r>
        <w:rPr>
          <w:rStyle w:val="Emphasis"/>
          <w:rFonts w:ascii="Times New Roman" w:hAnsi="Times New Roman"/>
          <w:caps w:val="false"/>
          <w:smallCaps w:val="false"/>
          <w:sz w:val="20"/>
        </w:rPr>
        <w:t>201,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301,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404</w:t>
      </w:r>
      <w:r>
        <w:rPr>
          <w:rFonts w:ascii="Times New Roman" w:hAnsi="Times New Roman"/>
          <w:caps w:val="false"/>
          <w:smallCaps w:val="false"/>
          <w:sz w:val="20"/>
        </w:rPr>
        <w:t xml:space="preserve"> of ERISA, each an “Eligible Employee.” Eligible Employee is more specifically defined as a full time executive of the Company who is designated a Participant by the Administrator and identified on Appendix A of the Plan. Appendix A is to be updated from time to time and remain current at all times. As of the Effective Date, all of the named executive officers are designated as Participants under the Plan on Appendix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Plan provides for certain severance benefits to be paid to Participants when they experience a “Qualifying Termination” or a “Change in Control Qualifying Termination” (as both terms are defined in the Plan and described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Qualifying Termination means the termination of a Participant’s employment either (a) by the Company other than for Cause, the Participant’s death, or the Participant’s Disability; or (b) by the Participant for Good Reason; in each case, other than a termination of employment that qualifies as a “Change in Control Qualifying Termination.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Similarly, a Change in Control Qualifying Termination means the termination of a Participant’s employment either  (a) by the Company other than for Cause, the Participant’s death, or the Participant’s Disability; or (b) by the Participant for Good Reason that occurred either (i) after a Change in Control and on or before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thereof or (ii) at the request of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who had taken steps reasonably calculated to effect a Change in Control or in connection with or anticipation of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terms “Cause”, “Good Reason,” and “Change in Control” are all more specifically defined either in an in-force employment agreement entered into between the Company and the executive, or in the absence thereof,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a Participant experiences a Qualifying Termination after the Effective Date, that Participant is entitled to severance in an amount equal to the Participant’s annual base salary in effect immediately prior to the date of the Qualifying Termination (“Severance”), plus a prorated annual bonus equal to the product of (i) the Annual Target Bonus, if any, for the Participant for the entire fiscal year in which the Qualifying Termination occurs; and (ii) a fraction, the numerator of which is the number of days the Participant was employed by the Company during the fiscal year in which the Qualifying Termination occurs and the denominator of which is the number of days in such year (a “Pro-Rata Bonus”).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Additionally, subject to certain terms and conditions,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following the date of Qualifying Termination, the Company shall cause the Company’s welfare plans to continue medical and dental benefits to the Participant and/or the Participant’s family on the same terms applicable to similarly situated active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a Participant experiences a Change in Control Qualifying Termination, the Participant shall be entitled to receive severance in an amount equal to the Participant’s base salary in effect immediately prior to the date of the Change in Control Qualifying Termination plus the Participant’s Annual Target Bonus for the year in which the Change in Control Qualifying Termination occurs (“Change in Control Severance”), plus a prorated annual bonus equal to the product of (i) the Annual Target Bonus, if any, for the Participant for the entire fiscal year in which the Change in Control Qualifying Termination occurs; and (ii) a fraction, the numerator of which is the number of days the Participant was employed by the Company during the fiscal year in which the Change in Control Qualifying Termination occurs and the denominator of which is the number of days in such year (a “Change in Control Pro-Rata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Additionally, subject to certain terms and conditions,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following the date of the Change in Control Qualifying Termination, the Company shall cause the Company’s welfare plans to continue medical and dental benefits to the Participant and/or the Participant’s family on the same terms applicable to similarly situated active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any equity awards outstanding at the time of a Qualifying Termination, such awards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terminated but shall continue to vest during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 period following the Qualifying Termination.  Notwithstanding the foregoing, for the Participant serving as the Company’s Chief Executive Officer at the Effective Date, any outstanding equity awards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terminated and shall immediately become fully vested upon a Qualifying Termination.  If a Participant experiences a Change in Control Qualifying Termination, the Participant’s outstanding unvested time-based equity awards shall become fully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Payments under the Plan are designed, if applicable, to comply with Section </w:t>
      </w:r>
      <w:r>
        <w:rPr>
          <w:rStyle w:val="Emphasis"/>
          <w:rFonts w:ascii="Times New Roman" w:hAnsi="Times New Roman"/>
          <w:caps w:val="false"/>
          <w:smallCaps w:val="false"/>
          <w:sz w:val="20"/>
        </w:rPr>
        <w:t>280G</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4999</w:t>
      </w:r>
      <w:r>
        <w:rPr>
          <w:rFonts w:ascii="Times New Roman" w:hAnsi="Times New Roman"/>
          <w:caps w:val="false"/>
          <w:smallCaps w:val="false"/>
          <w:sz w:val="20"/>
        </w:rPr>
        <w:t xml:space="preserve"> of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(the “Code”). Nothing in the Plan provides for any “gross up” or similar payment for any excise taxes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payable in connection with a change in control, and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under certain circumstances be reduced in an effort to provide the Participant the best after-tax benefit. The Plan is intended to comply with Section </w:t>
      </w:r>
      <w:r>
        <w:rPr>
          <w:rStyle w:val="Emphasis"/>
          <w:rFonts w:ascii="Times New Roman" w:hAnsi="Times New Roman"/>
          <w:caps w:val="false"/>
          <w:smallCaps w:val="false"/>
          <w:sz w:val="20"/>
        </w:rPr>
        <w:t>409A</w:t>
      </w:r>
      <w:r>
        <w:rPr>
          <w:rFonts w:ascii="Times New Roman" w:hAnsi="Times New Roman"/>
          <w:caps w:val="false"/>
          <w:smallCaps w:val="false"/>
          <w:sz w:val="20"/>
        </w:rPr>
        <w:t xml:space="preserve"> of the Code or an exemption thereunder and shall be construed and administered accordingly. Notwithstanding any other provision of the Plan, payments provided under the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made upon an event and in a manner that complies with Section </w:t>
      </w:r>
      <w:r>
        <w:rPr>
          <w:rStyle w:val="Emphasis"/>
          <w:rFonts w:ascii="Times New Roman" w:hAnsi="Times New Roman"/>
          <w:caps w:val="false"/>
          <w:smallCaps w:val="false"/>
          <w:sz w:val="20"/>
        </w:rPr>
        <w:t>409A</w:t>
      </w:r>
      <w:r>
        <w:rPr>
          <w:rFonts w:ascii="Times New Roman" w:hAnsi="Times New Roman"/>
          <w:caps w:val="false"/>
          <w:smallCaps w:val="false"/>
          <w:sz w:val="20"/>
        </w:rPr>
        <w:t xml:space="preserve"> of the Code or an applicable exemption. Lastly, amounts payable under the Plan are also subject to any policy established by the Company at any time, providing for clawback or recovery of amounts that were paid to the Participant. All benefits provided under the Plan are further conditioned on the Participant executing customary releases of liability and restrictive covenants in favor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foregoing is only a summary of the Plan and is qualified in its entirety by reference to the full and complete terms of the Plan, a copy of which is attached to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as Exhibit </w:t>
      </w:r>
      <w:r>
        <w:rPr>
          <w:rStyle w:val="Emphasis"/>
          <w:rFonts w:ascii="Times New Roman" w:hAnsi="Times New Roman"/>
          <w:caps w:val="false"/>
          <w:smallCaps w:val="false"/>
          <w:sz w:val="20"/>
        </w:rPr>
        <w:t>10.30</w:t>
      </w:r>
      <w:r>
        <w:rPr>
          <w:rFonts w:ascii="Times New Roman" w:hAnsi="Times New Roman"/>
          <w:caps w:val="false"/>
          <w:smallCaps w:val="false"/>
          <w:sz w:val="20"/>
        </w:rPr>
        <w:t> and is incorporated herein by reference.</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6" w:name="foreignjurisdictions"/>
      <w:bookmarkEnd w:id="26"/>
      <w:r>
        <w:rPr>
          <w:rFonts w:ascii="Times New Roman" w:hAnsi="Times New Roman"/>
          <w:b/>
          <w:caps w:val="false"/>
          <w:smallCaps w:val="false"/>
          <w:sz w:val="20"/>
        </w:rPr>
        <w:t xml:space="preserve">Item 9C. Disclosure Regarding Foreign Jurisdictions that Prevent Inspections.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7" w:name="partIII"/>
      <w:bookmarkEnd w:id="27"/>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8" w:name="item10"/>
      <w:bookmarkEnd w:id="28"/>
      <w:r>
        <w:rPr>
          <w:rFonts w:ascii="Times New Roman" w:hAnsi="Times New Roman"/>
          <w:b/>
          <w:caps w:val="false"/>
          <w:smallCaps w:val="false"/>
          <w:sz w:val="20"/>
        </w:rPr>
        <w:t xml:space="preserve">Item 10. Directors, Executive Officers and Corporate 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provides information regarding our executive officers and directors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28" w:type="dxa"/>
          <w:right w:w="0" w:type="dxa"/>
        </w:tblCellMar>
      </w:tblPr>
      <w:tblGrid>
        <w:gridCol w:w="2105"/>
        <w:gridCol w:w="60"/>
        <w:gridCol w:w="350"/>
        <w:gridCol w:w="60"/>
        <w:gridCol w:w="1955"/>
      </w:tblGrid>
      <w:tr>
        <w:trPr/>
        <w:tc>
          <w:tcPr>
            <w:tcW w:w="21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Position(s)</w:t>
            </w:r>
          </w:p>
        </w:tc>
      </w:tr>
      <w:tr>
        <w:trPr/>
        <w:tc>
          <w:tcPr>
            <w:tcW w:w="21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Executive Officers</w:t>
            </w:r>
            <w:r>
              <w:rPr>
                <w:rFonts w:ascii="Times New Roman;Times;serif" w:hAnsi="Times New Roman;Times;serif"/>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Arturo Rodriguez</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r>
      <w:tr>
        <w:trPr/>
        <w:tc>
          <w:tcPr>
            <w:tcW w:w="21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left"/>
              <w:rPr/>
            </w:pPr>
            <w:r>
              <w:rPr/>
              <w:t> </w:t>
            </w:r>
          </w:p>
        </w:tc>
      </w:tr>
      <w:tr>
        <w:trPr/>
        <w:tc>
          <w:tcPr>
            <w:tcW w:w="21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Non-Employee Directors</w:t>
            </w:r>
            <w:r>
              <w:rPr>
                <w:rFonts w:ascii="Times New Roman;Times;serif" w:hAnsi="Times New Roman;Times;serif"/>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jc w:val="left"/>
              <w:rPr/>
            </w:pPr>
            <w:r>
              <w:rPr/>
              <w:t> </w:t>
            </w:r>
          </w:p>
        </w:tc>
      </w:tr>
      <w:tr>
        <w:trPr/>
        <w:tc>
          <w:tcPr>
            <w:tcW w:w="21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Bari A. Harlam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1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Kurtz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1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family relationships among any of the directors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Arturo Rodriguez</w:t>
      </w:r>
      <w:r>
        <w:rPr>
          <w:rFonts w:ascii="Times New Roman" w:hAnsi="Times New Roman"/>
          <w:caps w:val="false"/>
          <w:smallCaps w:val="false"/>
          <w:sz w:val="20"/>
        </w:rPr>
        <w:t xml:space="preserve"> has served as our Chief Executive Officer since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 xml:space="preserve">Mr. Rodriguez also served as our Co-CEO from </w:t>
      </w:r>
      <w:r>
        <w:rPr>
          <w:rStyle w:val="Emphasis"/>
          <w:rFonts w:ascii="Times New Roman" w:hAnsi="Times New Roman"/>
          <w:caps w:val="false"/>
          <w:smallCaps w:val="false"/>
          <w:sz w:val="20"/>
        </w:rPr>
        <w:t xml:space="preserve">July 2023 </w:t>
      </w:r>
      <w:r>
        <w:rPr>
          <w:rFonts w:ascii="Times New Roman" w:hAnsi="Times New Roman"/>
          <w:caps w:val="false"/>
          <w:smallCaps w:val="false"/>
          <w:sz w:val="20"/>
        </w:rPr>
        <w:t xml:space="preserve">until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 xml:space="preserve">and our Chief Financial Officer from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until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 xml:space="preserve">Prior to that, he served as our Senior Vice President of Finance since </w:t>
      </w:r>
      <w:r>
        <w:rPr>
          <w:rStyle w:val="Emphasis"/>
          <w:rFonts w:ascii="Times New Roman" w:hAnsi="Times New Roman"/>
          <w:caps w:val="false"/>
          <w:smallCaps w:val="false"/>
          <w:sz w:val="20"/>
        </w:rPr>
        <w:t xml:space="preserve">September 2017. </w:t>
      </w:r>
      <w:r>
        <w:rPr>
          <w:rFonts w:ascii="Times New Roman" w:hAnsi="Times New Roman"/>
          <w:caps w:val="false"/>
          <w:smallCaps w:val="false"/>
          <w:sz w:val="20"/>
        </w:rPr>
        <w:t xml:space="preserve">Prior to joining the Company, Mr. Rodriguez served as Chief Accounting Officer and Global Controller for Piksel, Inc. from </w:t>
      </w:r>
      <w:r>
        <w:rPr>
          <w:rStyle w:val="Emphasis"/>
          <w:rFonts w:ascii="Times New Roman" w:hAnsi="Times New Roman"/>
          <w:caps w:val="false"/>
          <w:smallCaps w:val="false"/>
          <w:sz w:val="20"/>
        </w:rPr>
        <w:t xml:space="preserve">July 2012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September 2017 </w:t>
      </w:r>
      <w:r>
        <w:rPr>
          <w:rFonts w:ascii="Times New Roman" w:hAnsi="Times New Roman"/>
          <w:caps w:val="false"/>
          <w:smallCaps w:val="false"/>
          <w:sz w:val="20"/>
        </w:rPr>
        <w:t xml:space="preserve">and also held the role of Interim Chief Operating Officer in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From </w:t>
      </w:r>
      <w:r>
        <w:rPr>
          <w:rStyle w:val="Emphasis"/>
          <w:rFonts w:ascii="Times New Roman" w:hAnsi="Times New Roman"/>
          <w:caps w:val="false"/>
          <w:smallCaps w:val="false"/>
          <w:sz w:val="20"/>
        </w:rPr>
        <w:t>2000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Mr. Rodriguez held several financial leadership roles with the Atari Group, most notably Acting Chief Financial Officer of Atari, Inc. (Nasdaq: ATAR) from </w:t>
      </w:r>
      <w:r>
        <w:rPr>
          <w:rStyle w:val="Emphasis"/>
          <w:rFonts w:ascii="Times New Roman" w:hAnsi="Times New Roman"/>
          <w:caps w:val="false"/>
          <w:smallCaps w:val="false"/>
          <w:sz w:val="20"/>
        </w:rPr>
        <w:t>2007</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2008,</w:t>
      </w:r>
      <w:r>
        <w:rPr>
          <w:rFonts w:ascii="Times New Roman" w:hAnsi="Times New Roman"/>
          <w:caps w:val="false"/>
          <w:smallCaps w:val="false"/>
          <w:sz w:val="20"/>
        </w:rPr>
        <w:t xml:space="preserve"> and Deputy CFO of Atari SA (Euronext: ATA) from </w:t>
      </w:r>
      <w:r>
        <w:rPr>
          <w:rStyle w:val="Emphasis"/>
          <w:rFonts w:ascii="Times New Roman" w:hAnsi="Times New Roman"/>
          <w:caps w:val="false"/>
          <w:smallCaps w:val="false"/>
          <w:sz w:val="20"/>
        </w:rPr>
        <w:t>2008</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2010.</w:t>
      </w:r>
      <w:r>
        <w:rPr>
          <w:rFonts w:ascii="Times New Roman" w:hAnsi="Times New Roman"/>
          <w:caps w:val="false"/>
          <w:smallCaps w:val="false"/>
          <w:sz w:val="20"/>
        </w:rPr>
        <w:t xml:space="preserve"> Mr. Rodriguez started his career at Arthur Andersen LLP in </w:t>
      </w:r>
      <w:r>
        <w:rPr>
          <w:rStyle w:val="Emphasis"/>
          <w:rFonts w:ascii="Times New Roman" w:hAnsi="Times New Roman"/>
          <w:caps w:val="false"/>
          <w:smallCaps w:val="false"/>
          <w:sz w:val="20"/>
        </w:rPr>
        <w:t>1997</w:t>
      </w:r>
      <w:r>
        <w:rPr>
          <w:rFonts w:ascii="Times New Roman" w:hAnsi="Times New Roman"/>
          <w:caps w:val="false"/>
          <w:smallCaps w:val="false"/>
          <w:sz w:val="20"/>
        </w:rPr>
        <w:t xml:space="preserve"> and is a Certified Public Accountant in the State of New York. Mr. Rodriguez holds a Bachelor of Business Administration – Accounting from Hofstra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Joshua Feldman </w:t>
      </w:r>
      <w:r>
        <w:rPr>
          <w:rFonts w:ascii="Times New Roman" w:hAnsi="Times New Roman"/>
          <w:caps w:val="false"/>
          <w:smallCaps w:val="false"/>
          <w:sz w:val="20"/>
        </w:rPr>
        <w:t xml:space="preserve">has served as our Chief Financial Officer since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 xml:space="preserve">and our Senior Vice President of Finance since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Prior to joining the Company, Mr. Feldman was the Head of Finance for Olivela Inc., a luxury goods e-commerce company, from </w:t>
      </w:r>
      <w:r>
        <w:rPr>
          <w:rStyle w:val="Emphasis"/>
          <w:rFonts w:ascii="Times New Roman" w:hAnsi="Times New Roman"/>
          <w:caps w:val="false"/>
          <w:smallCaps w:val="false"/>
          <w:sz w:val="20"/>
        </w:rPr>
        <w:t xml:space="preserve">February 2021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Previously, he served as Vice President of Financial Operations for Hugo Boss North America from </w:t>
      </w:r>
      <w:r>
        <w:rPr>
          <w:rStyle w:val="Emphasis"/>
          <w:rFonts w:ascii="Times New Roman" w:hAnsi="Times New Roman"/>
          <w:caps w:val="false"/>
          <w:smallCaps w:val="false"/>
          <w:sz w:val="20"/>
        </w:rPr>
        <w:t xml:space="preserve">January 2018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October 2020. </w:t>
      </w: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2007</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Mr. Feldman held several senior finance roles at Saks Fifth Avenue and Hudson's Bay Company. Prior to joining Saks Fifth Avenue, Mr. Feldman was an Assurance Manager at KPMG. Mr. Feldman is a Certified Public Accountant in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Bari A. Harlam</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has served as a director since </w:t>
      </w:r>
      <w:r>
        <w:rPr>
          <w:rStyle w:val="Emphasis"/>
          <w:rFonts w:ascii="Times New Roman" w:hAnsi="Times New Roman"/>
          <w:caps w:val="false"/>
          <w:smallCaps w:val="false"/>
          <w:sz w:val="20"/>
        </w:rPr>
        <w:t xml:space="preserve">February 2020, </w:t>
      </w:r>
      <w:r>
        <w:rPr>
          <w:rFonts w:ascii="Times New Roman" w:hAnsi="Times New Roman"/>
          <w:caps w:val="false"/>
          <w:smallCaps w:val="false"/>
          <w:sz w:val="20"/>
        </w:rPr>
        <w:t xml:space="preserve">and is a business leader, marketer, educator, and author. In </w:t>
      </w:r>
      <w:r>
        <w:rPr>
          <w:rStyle w:val="Emphasis"/>
          <w:rFonts w:ascii="Times New Roman" w:hAnsi="Times New Roman"/>
          <w:caps w:val="false"/>
          <w:smallCaps w:val="false"/>
          <w:sz w:val="20"/>
        </w:rPr>
        <w:t xml:space="preserve">February 2020, </w:t>
      </w:r>
      <w:r>
        <w:rPr>
          <w:rFonts w:ascii="Times New Roman" w:hAnsi="Times New Roman"/>
          <w:caps w:val="false"/>
          <w:smallCaps w:val="false"/>
          <w:sz w:val="20"/>
        </w:rPr>
        <w:t xml:space="preserve">she co-founded Trouble LLC, a pro-social, experience brand. Ms. Harlam has served on the Boards of Directors of Eastern Bank since </w:t>
      </w:r>
      <w:r>
        <w:rPr>
          <w:rStyle w:val="Emphasis"/>
          <w:rFonts w:ascii="Times New Roman" w:hAnsi="Times New Roman"/>
          <w:caps w:val="false"/>
          <w:smallCaps w:val="false"/>
          <w:sz w:val="20"/>
        </w:rPr>
        <w:t xml:space="preserve">February 2014, </w:t>
      </w:r>
      <w:r>
        <w:rPr>
          <w:rFonts w:ascii="Times New Roman" w:hAnsi="Times New Roman"/>
          <w:caps w:val="false"/>
          <w:smallCaps w:val="false"/>
          <w:sz w:val="20"/>
        </w:rPr>
        <w:t xml:space="preserve">OneWater Marine Inc. (Nasdaq: ONEW) since </w:t>
      </w:r>
      <w:r>
        <w:rPr>
          <w:rStyle w:val="Emphasis"/>
          <w:rFonts w:ascii="Times New Roman" w:hAnsi="Times New Roman"/>
          <w:caps w:val="false"/>
          <w:smallCaps w:val="false"/>
          <w:sz w:val="20"/>
        </w:rPr>
        <w:t xml:space="preserve">May 2020, </w:t>
      </w:r>
      <w:r>
        <w:rPr>
          <w:rFonts w:ascii="Times New Roman" w:hAnsi="Times New Roman"/>
          <w:caps w:val="false"/>
          <w:smallCaps w:val="false"/>
          <w:sz w:val="20"/>
        </w:rPr>
        <w:t xml:space="preserve">Mattress Warehouse since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and Rite Aid (NYSE: RAD) from </w:t>
      </w:r>
      <w:r>
        <w:rPr>
          <w:rStyle w:val="Emphasis"/>
          <w:rFonts w:ascii="Times New Roman" w:hAnsi="Times New Roman"/>
          <w:caps w:val="false"/>
          <w:smallCaps w:val="false"/>
          <w:sz w:val="20"/>
        </w:rPr>
        <w:t xml:space="preserve">September 2020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August 2024.Ms.</w:t>
      </w:r>
      <w:r>
        <w:rPr>
          <w:rFonts w:ascii="Times New Roman" w:hAnsi="Times New Roman"/>
          <w:caps w:val="false"/>
          <w:smallCaps w:val="false"/>
          <w:sz w:val="20"/>
        </w:rPr>
        <w:t xml:space="preserve"> Harlam currently serves as the chair of the Compensation Committee for OneWater Marine Inc., as the chair of the Trust, and a member of the Nominating &amp; Governance, Innovation, and Charitable Foundation Committees of Eastern Bank, and a member of the Nominating &amp; Governance Committee of Rite Aid until the end of her tenure in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April 2018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 xml:space="preserve">she served as EVP, Chief Marketing Officer North America at Hudson’s Bay Company (TSX: HBC). Prior to her time at Hudson’s Bay Company, she was EVP, Membership, Marketing &amp; Analytics at BJ’s Wholesale Club (NYSE: BJ) from </w:t>
      </w:r>
      <w:r>
        <w:rPr>
          <w:rStyle w:val="Emphasis"/>
          <w:rFonts w:ascii="Times New Roman" w:hAnsi="Times New Roman"/>
          <w:caps w:val="false"/>
          <w:smallCaps w:val="false"/>
          <w:sz w:val="20"/>
        </w:rPr>
        <w:t xml:space="preserve">July 2012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December 2016. </w:t>
      </w:r>
      <w:r>
        <w:rPr>
          <w:rFonts w:ascii="Times New Roman" w:hAnsi="Times New Roman"/>
          <w:caps w:val="false"/>
          <w:smallCaps w:val="false"/>
          <w:sz w:val="20"/>
        </w:rPr>
        <w:t xml:space="preserve">Before joining BJ’s Wholesale Club, she served as Chief Marketing Officer at Swipely, now called Upserve, from </w:t>
      </w:r>
      <w:r>
        <w:rPr>
          <w:rStyle w:val="Emphasis"/>
          <w:rFonts w:ascii="Times New Roman" w:hAnsi="Times New Roman"/>
          <w:caps w:val="false"/>
          <w:smallCaps w:val="false"/>
          <w:sz w:val="20"/>
        </w:rPr>
        <w:t xml:space="preserve">August 2011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2012, </w:t>
      </w:r>
      <w:r>
        <w:rPr>
          <w:rFonts w:ascii="Times New Roman" w:hAnsi="Times New Roman"/>
          <w:caps w:val="false"/>
          <w:smallCaps w:val="false"/>
          <w:sz w:val="20"/>
        </w:rPr>
        <w:t xml:space="preserve">and prior to that, she served as SVP, Marketing at CVS Health (NYSE: CVS) from </w:t>
      </w:r>
      <w:r>
        <w:rPr>
          <w:rStyle w:val="Emphasis"/>
          <w:rFonts w:ascii="Times New Roman" w:hAnsi="Times New Roman"/>
          <w:caps w:val="false"/>
          <w:smallCaps w:val="false"/>
          <w:sz w:val="20"/>
        </w:rPr>
        <w:t>2000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 xml:space="preserve">August 2011. </w:t>
      </w:r>
      <w:r>
        <w:rPr>
          <w:rFonts w:ascii="Times New Roman" w:hAnsi="Times New Roman"/>
          <w:caps w:val="false"/>
          <w:smallCaps w:val="false"/>
          <w:sz w:val="20"/>
        </w:rPr>
        <w:t xml:space="preserve">Early in her career, she was a Professor at Columbia University from </w:t>
      </w:r>
      <w:r>
        <w:rPr>
          <w:rStyle w:val="Emphasis"/>
          <w:rFonts w:ascii="Times New Roman" w:hAnsi="Times New Roman"/>
          <w:caps w:val="false"/>
          <w:smallCaps w:val="false"/>
          <w:sz w:val="20"/>
        </w:rPr>
        <w:t xml:space="preserve">July 1989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1992 </w:t>
      </w:r>
      <w:r>
        <w:rPr>
          <w:rFonts w:ascii="Times New Roman" w:hAnsi="Times New Roman"/>
          <w:caps w:val="false"/>
          <w:smallCaps w:val="false"/>
          <w:sz w:val="20"/>
        </w:rPr>
        <w:t xml:space="preserve">and The University of Rhode Island from </w:t>
      </w:r>
      <w:r>
        <w:rPr>
          <w:rStyle w:val="Emphasis"/>
          <w:rFonts w:ascii="Times New Roman" w:hAnsi="Times New Roman"/>
          <w:caps w:val="false"/>
          <w:smallCaps w:val="false"/>
          <w:sz w:val="20"/>
        </w:rPr>
        <w:t xml:space="preserve">July 1992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2000. </w:t>
      </w:r>
      <w:r>
        <w:rPr>
          <w:rFonts w:ascii="Times New Roman" w:hAnsi="Times New Roman"/>
          <w:caps w:val="false"/>
          <w:smallCaps w:val="false"/>
          <w:sz w:val="20"/>
        </w:rPr>
        <w:t xml:space="preserve">In addition, she was an Adjunct Professor at The Wharton School at The University of Pennsylvania from </w:t>
      </w:r>
      <w:r>
        <w:rPr>
          <w:rStyle w:val="Emphasis"/>
          <w:rFonts w:ascii="Times New Roman" w:hAnsi="Times New Roman"/>
          <w:caps w:val="false"/>
          <w:smallCaps w:val="false"/>
          <w:sz w:val="20"/>
        </w:rPr>
        <w:t xml:space="preserve">January 2015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2018. </w:t>
      </w:r>
      <w:r>
        <w:rPr>
          <w:rFonts w:ascii="Times New Roman" w:hAnsi="Times New Roman"/>
          <w:caps w:val="false"/>
          <w:smallCaps w:val="false"/>
          <w:sz w:val="20"/>
        </w:rPr>
        <w:t>She received a Bachelor of Science, a Master of Science, and a Ph.D. in Marketing from the University of Pennsylvania, The Wharton School. We believe Ms. Harlam is qualified to serve as a member of our Board due to her experience in the consumer packaged goods and retail industries as well as her expertise in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William Kurtz</w:t>
      </w:r>
      <w:r>
        <w:rPr>
          <w:rFonts w:ascii="Times New Roman" w:hAnsi="Times New Roman"/>
          <w:caps w:val="false"/>
          <w:smallCaps w:val="false"/>
          <w:sz w:val="20"/>
        </w:rPr>
        <w:t xml:space="preserve"> has served as a director since </w:t>
      </w:r>
      <w:r>
        <w:rPr>
          <w:rStyle w:val="Emphasis"/>
          <w:rFonts w:ascii="Times New Roman" w:hAnsi="Times New Roman"/>
          <w:caps w:val="false"/>
          <w:smallCaps w:val="false"/>
          <w:sz w:val="20"/>
        </w:rPr>
        <w:t xml:space="preserve">August 2019. </w:t>
      </w:r>
      <w:r>
        <w:rPr>
          <w:rFonts w:ascii="Times New Roman" w:hAnsi="Times New Roman"/>
          <w:caps w:val="false"/>
          <w:smallCaps w:val="false"/>
          <w:sz w:val="20"/>
        </w:rPr>
        <w:t xml:space="preserve">Mr. Kurtz is a senior financial and operations executive with over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years of experience operating as chief financial officer or chief operating officer at several private and public technology companies on the East Coast and in Silicon Valley. From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Nov 2025,  </w:t>
      </w:r>
      <w:r>
        <w:rPr>
          <w:rFonts w:ascii="Times New Roman" w:hAnsi="Times New Roman"/>
          <w:caps w:val="false"/>
          <w:smallCaps w:val="false"/>
          <w:sz w:val="20"/>
        </w:rPr>
        <w:t xml:space="preserve">he has served as a member of the board of directors of Verint Systems Inc., a customer experience software SaaS company, and served as its lead independent director from </w:t>
      </w:r>
      <w:r>
        <w:rPr>
          <w:rStyle w:val="Emphasis"/>
          <w:rFonts w:ascii="Times New Roman" w:hAnsi="Times New Roman"/>
          <w:caps w:val="false"/>
          <w:smallCaps w:val="false"/>
          <w:sz w:val="20"/>
        </w:rPr>
        <w:t xml:space="preserve">July 2024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 xml:space="preserve">and as a member of the Audit Committee and the Nominating &amp; Governance Committee from </w:t>
      </w:r>
      <w:r>
        <w:rPr>
          <w:rStyle w:val="Emphasis"/>
          <w:rFonts w:ascii="Times New Roman" w:hAnsi="Times New Roman"/>
          <w:caps w:val="false"/>
          <w:smallCaps w:val="false"/>
          <w:sz w:val="20"/>
        </w:rPr>
        <w:t xml:space="preserve">Oct 2016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 xml:space="preserve">Since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he has served as a member of the board of directors of Sportradar Group, AG, a data analytics and content provider to sports betting operators, and he currently serves as the chairman of the Audit Committee. Mr. Kurtz has served as the interim Chief Financial Officer of LightForce Orthodontics Inc since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and has served as a member of the board of directors of LightForce Orthodontics Inc since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and is chairman of its Audit Committee.  Mr. Kurtz has served as the Chief Financial and Commercial Officer for Ripcord, Inc., since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 xml:space="preserve">and as its Chief Commercial Officer since </w:t>
      </w:r>
      <w:r>
        <w:rPr>
          <w:rStyle w:val="Emphasis"/>
          <w:rFonts w:ascii="Times New Roman" w:hAnsi="Times New Roman"/>
          <w:caps w:val="false"/>
          <w:smallCaps w:val="false"/>
          <w:sz w:val="20"/>
        </w:rPr>
        <w:t xml:space="preserve">April 2021, </w:t>
      </w:r>
      <w:r>
        <w:rPr>
          <w:rFonts w:ascii="Times New Roman" w:hAnsi="Times New Roman"/>
          <w:caps w:val="false"/>
          <w:smallCaps w:val="false"/>
          <w:sz w:val="20"/>
        </w:rPr>
        <w:t xml:space="preserve">and served as its interim Chief Executive Officer from </w:t>
      </w:r>
      <w:r>
        <w:rPr>
          <w:rStyle w:val="Emphasis"/>
          <w:rFonts w:ascii="Times New Roman" w:hAnsi="Times New Roman"/>
          <w:caps w:val="false"/>
          <w:smallCaps w:val="false"/>
          <w:sz w:val="20"/>
        </w:rPr>
        <w:t xml:space="preserve">June 2021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while the company conducted a search for a chief executive officer. He is also a member of the Board of Ripcord Inc. Mr. Kurtz also served as a Strategic Advisor for Bloom Energy Corporation, a manufacturer of on-site power generation platforms, from </w:t>
      </w:r>
      <w:r>
        <w:rPr>
          <w:rStyle w:val="Emphasis"/>
          <w:rFonts w:ascii="Times New Roman" w:hAnsi="Times New Roman"/>
          <w:caps w:val="false"/>
          <w:smallCaps w:val="false"/>
          <w:sz w:val="20"/>
        </w:rPr>
        <w:t xml:space="preserve">January 2019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 xml:space="preserve">and previously served as its Chief Commercial Officer (from </w:t>
      </w:r>
      <w:r>
        <w:rPr>
          <w:rStyle w:val="Emphasis"/>
          <w:rFonts w:ascii="Times New Roman" w:hAnsi="Times New Roman"/>
          <w:caps w:val="false"/>
          <w:smallCaps w:val="false"/>
          <w:sz w:val="20"/>
        </w:rPr>
        <w:t xml:space="preserve">May 2015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December 2018) </w:t>
      </w:r>
      <w:r>
        <w:rPr>
          <w:rFonts w:ascii="Times New Roman" w:hAnsi="Times New Roman"/>
          <w:caps w:val="false"/>
          <w:smallCaps w:val="false"/>
          <w:sz w:val="20"/>
        </w:rPr>
        <w:t xml:space="preserve">and Chief Commercial &amp; Financial Officer (from </w:t>
      </w:r>
      <w:r>
        <w:rPr>
          <w:rStyle w:val="Emphasis"/>
          <w:rFonts w:ascii="Times New Roman" w:hAnsi="Times New Roman"/>
          <w:caps w:val="false"/>
          <w:smallCaps w:val="false"/>
          <w:sz w:val="20"/>
        </w:rPr>
        <w:t xml:space="preserve">March 2008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2015). </w:t>
      </w:r>
      <w:r>
        <w:rPr>
          <w:rFonts w:ascii="Times New Roman" w:hAnsi="Times New Roman"/>
          <w:caps w:val="false"/>
          <w:smallCaps w:val="false"/>
          <w:sz w:val="20"/>
        </w:rPr>
        <w:t xml:space="preserve">Mr. Kurtz has also held several CFO or other senior finance and operations roles at a variety of organizations, including Novellus Systems, Inc. (from </w:t>
      </w:r>
      <w:r>
        <w:rPr>
          <w:rStyle w:val="Emphasis"/>
          <w:rFonts w:ascii="Times New Roman" w:hAnsi="Times New Roman"/>
          <w:caps w:val="false"/>
          <w:smallCaps w:val="false"/>
          <w:sz w:val="20"/>
        </w:rPr>
        <w:t xml:space="preserve">September 2005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February 2008), </w:t>
      </w:r>
      <w:r>
        <w:rPr>
          <w:rFonts w:ascii="Times New Roman" w:hAnsi="Times New Roman"/>
          <w:caps w:val="false"/>
          <w:smallCaps w:val="false"/>
          <w:sz w:val="20"/>
        </w:rPr>
        <w:t xml:space="preserve">Engenio Information Technologies, Inc. (from </w:t>
      </w:r>
      <w:r>
        <w:rPr>
          <w:rStyle w:val="Emphasis"/>
          <w:rFonts w:ascii="Times New Roman" w:hAnsi="Times New Roman"/>
          <w:caps w:val="false"/>
          <w:smallCaps w:val="false"/>
          <w:sz w:val="20"/>
        </w:rPr>
        <w:t xml:space="preserve">March 2004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August 2005), 3PARdata,</w:t>
      </w:r>
      <w:r>
        <w:rPr>
          <w:rFonts w:ascii="Times New Roman" w:hAnsi="Times New Roman"/>
          <w:caps w:val="false"/>
          <w:smallCaps w:val="false"/>
          <w:sz w:val="20"/>
        </w:rPr>
        <w:t xml:space="preserve"> Inc. (from </w:t>
      </w:r>
      <w:r>
        <w:rPr>
          <w:rStyle w:val="Emphasis"/>
          <w:rFonts w:ascii="Times New Roman" w:hAnsi="Times New Roman"/>
          <w:caps w:val="false"/>
          <w:smallCaps w:val="false"/>
          <w:sz w:val="20"/>
        </w:rPr>
        <w:t xml:space="preserve">July 2001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February 2004), </w:t>
      </w:r>
      <w:r>
        <w:rPr>
          <w:rFonts w:ascii="Times New Roman" w:hAnsi="Times New Roman"/>
          <w:caps w:val="false"/>
          <w:smallCaps w:val="false"/>
          <w:sz w:val="20"/>
        </w:rPr>
        <w:t xml:space="preserve">Scient Corporation (from </w:t>
      </w:r>
      <w:r>
        <w:rPr>
          <w:rStyle w:val="Emphasis"/>
          <w:rFonts w:ascii="Times New Roman" w:hAnsi="Times New Roman"/>
          <w:caps w:val="false"/>
          <w:smallCaps w:val="false"/>
          <w:sz w:val="20"/>
        </w:rPr>
        <w:t xml:space="preserve">August 1998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June 2001), </w:t>
      </w:r>
      <w:r>
        <w:rPr>
          <w:rFonts w:ascii="Times New Roman" w:hAnsi="Times New Roman"/>
          <w:caps w:val="false"/>
          <w:smallCaps w:val="false"/>
          <w:sz w:val="20"/>
        </w:rPr>
        <w:t xml:space="preserve">AT&amp;T Corporation (from </w:t>
      </w:r>
      <w:r>
        <w:rPr>
          <w:rStyle w:val="Emphasis"/>
          <w:rFonts w:ascii="Times New Roman" w:hAnsi="Times New Roman"/>
          <w:caps w:val="false"/>
          <w:smallCaps w:val="false"/>
          <w:sz w:val="20"/>
        </w:rPr>
        <w:t xml:space="preserve">July 1983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1998) </w:t>
      </w:r>
      <w:r>
        <w:rPr>
          <w:rFonts w:ascii="Times New Roman" w:hAnsi="Times New Roman"/>
          <w:caps w:val="false"/>
          <w:smallCaps w:val="false"/>
          <w:sz w:val="20"/>
        </w:rPr>
        <w:t xml:space="preserve">and Price Waterhouse &amp; Co./Brout &amp; Company (from </w:t>
      </w:r>
      <w:r>
        <w:rPr>
          <w:rStyle w:val="Emphasis"/>
          <w:rFonts w:ascii="Times New Roman" w:hAnsi="Times New Roman"/>
          <w:caps w:val="false"/>
          <w:smallCaps w:val="false"/>
          <w:sz w:val="20"/>
        </w:rPr>
        <w:t xml:space="preserve">June 1979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1983). </w:t>
      </w:r>
      <w:r>
        <w:rPr>
          <w:rFonts w:ascii="Times New Roman" w:hAnsi="Times New Roman"/>
          <w:caps w:val="false"/>
          <w:smallCaps w:val="false"/>
          <w:sz w:val="20"/>
        </w:rPr>
        <w:t xml:space="preserve">Mr. Kurtz also served as a member of the board of directors and chair of the audit committee of Violin Memory Inc. (from </w:t>
      </w:r>
      <w:r>
        <w:rPr>
          <w:rStyle w:val="Emphasis"/>
          <w:rFonts w:ascii="Times New Roman" w:hAnsi="Times New Roman"/>
          <w:caps w:val="false"/>
          <w:smallCaps w:val="false"/>
          <w:sz w:val="20"/>
        </w:rPr>
        <w:t xml:space="preserve">November 2014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February 2017), </w:t>
      </w:r>
      <w:r>
        <w:rPr>
          <w:rFonts w:ascii="Times New Roman" w:hAnsi="Times New Roman"/>
          <w:caps w:val="false"/>
          <w:smallCaps w:val="false"/>
          <w:sz w:val="20"/>
        </w:rPr>
        <w:t xml:space="preserve">PMC-Sierra, Inc. (from </w:t>
      </w:r>
      <w:r>
        <w:rPr>
          <w:rStyle w:val="Emphasis"/>
          <w:rFonts w:ascii="Times New Roman" w:hAnsi="Times New Roman"/>
          <w:caps w:val="false"/>
          <w:smallCaps w:val="false"/>
          <w:sz w:val="20"/>
        </w:rPr>
        <w:t xml:space="preserve">April 2003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January 2016), </w:t>
      </w:r>
      <w:r>
        <w:rPr>
          <w:rFonts w:ascii="Times New Roman" w:hAnsi="Times New Roman"/>
          <w:caps w:val="false"/>
          <w:smallCaps w:val="false"/>
          <w:sz w:val="20"/>
        </w:rPr>
        <w:t xml:space="preserve">AuraSound, Inc. (from </w:t>
      </w:r>
      <w:r>
        <w:rPr>
          <w:rStyle w:val="Emphasis"/>
          <w:rFonts w:ascii="Times New Roman" w:hAnsi="Times New Roman"/>
          <w:caps w:val="false"/>
          <w:smallCaps w:val="false"/>
          <w:sz w:val="20"/>
        </w:rPr>
        <w:t xml:space="preserve">August 2010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April 2012), </w:t>
      </w:r>
      <w:r>
        <w:rPr>
          <w:rFonts w:ascii="Times New Roman" w:hAnsi="Times New Roman"/>
          <w:caps w:val="false"/>
          <w:smallCaps w:val="false"/>
          <w:sz w:val="20"/>
        </w:rPr>
        <w:t xml:space="preserve">ONStor, Inc. (from </w:t>
      </w:r>
      <w:r>
        <w:rPr>
          <w:rStyle w:val="Emphasis"/>
          <w:rFonts w:ascii="Times New Roman" w:hAnsi="Times New Roman"/>
          <w:caps w:val="false"/>
          <w:smallCaps w:val="false"/>
          <w:sz w:val="20"/>
        </w:rPr>
        <w:t xml:space="preserve">January 2008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2009) </w:t>
      </w:r>
      <w:r>
        <w:rPr>
          <w:rFonts w:ascii="Times New Roman" w:hAnsi="Times New Roman"/>
          <w:caps w:val="false"/>
          <w:smallCaps w:val="false"/>
          <w:sz w:val="20"/>
        </w:rPr>
        <w:t xml:space="preserve">and Redback Networks Inc. (from </w:t>
      </w:r>
      <w:r>
        <w:rPr>
          <w:rStyle w:val="Emphasis"/>
          <w:rFonts w:ascii="Times New Roman" w:hAnsi="Times New Roman"/>
          <w:caps w:val="false"/>
          <w:smallCaps w:val="false"/>
          <w:sz w:val="20"/>
        </w:rPr>
        <w:t xml:space="preserve">October 1999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January 2007). </w:t>
      </w:r>
      <w:r>
        <w:rPr>
          <w:rFonts w:ascii="Times New Roman" w:hAnsi="Times New Roman"/>
          <w:caps w:val="false"/>
          <w:smallCaps w:val="false"/>
          <w:sz w:val="20"/>
        </w:rPr>
        <w:t>Mr. Kurtz holds a Bachelor of Science in Commerce from Rider University and a Master of Science in Management Sciences from Stanford University. We believe Mr. Kurtz is qualified to serve as a member of our Board due to his experience as chief financial officer and chief operating officer and his experience in private and public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Susan Lattmann</w:t>
      </w:r>
      <w:r>
        <w:rPr>
          <w:rFonts w:ascii="Times New Roman" w:hAnsi="Times New Roman"/>
          <w:caps w:val="false"/>
          <w:smallCaps w:val="false"/>
          <w:sz w:val="20"/>
        </w:rPr>
        <w:t xml:space="preserve"> has served as a director since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 xml:space="preserve">She currently serves on the Boards of Superior Group of Companies (Nasdaq: SGC) since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and Farmer Focus, a privately held organic poultry company, since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At SGC, she is a member of the Nominating and Governance, Compensation, and Audit Committees, and she serves as Chair of the Audit Committee at Farmer Focus. Ms. Lattmann previously served on the Board of Landsea Homes Corporation (Nasdaq: LSEA) from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 xml:space="preserve">and again from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where she was Co-Chair of the Compensation Committee. Since </w:t>
      </w:r>
      <w:r>
        <w:rPr>
          <w:rStyle w:val="Emphasis"/>
          <w:rFonts w:ascii="Times New Roman" w:hAnsi="Times New Roman"/>
          <w:caps w:val="false"/>
          <w:smallCaps w:val="false"/>
          <w:sz w:val="20"/>
        </w:rPr>
        <w:t xml:space="preserve">July 2021, </w:t>
      </w:r>
      <w:r>
        <w:rPr>
          <w:rFonts w:ascii="Times New Roman" w:hAnsi="Times New Roman"/>
          <w:caps w:val="false"/>
          <w:smallCaps w:val="false"/>
          <w:sz w:val="20"/>
        </w:rPr>
        <w:t xml:space="preserve">Ms. Lattmann has been the Chief Financial Officer of The Row, an international luxury apparel retailer. From </w:t>
      </w:r>
      <w:r>
        <w:rPr>
          <w:rStyle w:val="Emphasis"/>
          <w:rFonts w:ascii="Times New Roman" w:hAnsi="Times New Roman"/>
          <w:caps w:val="false"/>
          <w:smallCaps w:val="false"/>
          <w:sz w:val="20"/>
        </w:rPr>
        <w:t>1996</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she held senior leadership roles at Bed Bath &amp; Beyond Inc., including Chief Financial Officer and Chief Administrative Officer. She began her career with Arthur Andersen LLP. Ms. Lattmann holds a Bachelor of Science degree with honors from Bucknell University and is a Certified Public Accountant. We believe she is qualified to serve on our Board due to her extensive financial acumen and leadership experience across both public and private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Proceedings with Directors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legal proceedings related to any of our directors or executive officers that require disclosure pursuant to Items </w:t>
      </w:r>
      <w:r>
        <w:rPr>
          <w:rStyle w:val="Emphasis"/>
          <w:rFonts w:ascii="Times New Roman" w:hAnsi="Times New Roman"/>
          <w:caps w:val="false"/>
          <w:smallCaps w:val="false"/>
          <w:sz w:val="20"/>
        </w:rPr>
        <w:t>103</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401</w:t>
      </w:r>
      <w:r>
        <w:rPr>
          <w:rFonts w:ascii="Times New Roman" w:hAnsi="Times New Roman"/>
          <w:caps w:val="false"/>
          <w:smallCaps w:val="false"/>
          <w:sz w:val="20"/>
        </w:rPr>
        <w:t>(f)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Board has adopted a Code of Conduct and Ethics that applies to all of our employees, officers and directors, including our Chief Executive Officer and other employees. We have posted the Code of Conduct and Ethics on our website at https://ir.aterian.io/corporate-governance/governance-highlights under “Governance Documents”. The Code of Conduct and Ethics can only be amended by the approval of our audit committee of the Board (the “Audit Committee”) and any waiver to the Code of Conduct and Ethics for an executive officer or director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only be granted by the Audit Committee and must be timely disclosed as required by applicable law. We expect that any amendments to the Code of Conduct and Ethics, or any waivers of its requirements, will be disclosed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 Ownership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believes that it is in the best interests of the Company and its shareholders that directors and executive officers have a meaningful proprietary stake in the Company so that their interests are aligned with the interests of shareholders. Accordingly, the Compensation Committee of the Board has adopted Stock Ownership Guidelines applicable to our non-employee directors and our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executive officers (the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our Stock Ownership Guidelines, the Participants are expected to hold stock in accordance with the below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0"/>
        <w:gridCol w:w="8605"/>
      </w:tblGrid>
      <w:tr>
        <w:trPr/>
        <w:tc>
          <w:tcPr>
            <w:tcW w:w="16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8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Three times the individual’s annual base salary</w:t>
            </w:r>
          </w:p>
        </w:tc>
      </w:tr>
      <w:tr>
        <w:trPr/>
        <w:tc>
          <w:tcPr>
            <w:tcW w:w="16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Board Members</w:t>
            </w:r>
          </w:p>
        </w:tc>
        <w:tc>
          <w:tcPr>
            <w:tcW w:w="8605" w:type="dxa"/>
            <w:tcBorders/>
            <w:shd w:fill="FFFFFF" w:val="clear"/>
            <w:vAlign w:val="center"/>
          </w:tcPr>
          <w:p>
            <w:pPr>
              <w:pStyle w:val="TableContents"/>
              <w:bidi w:val="0"/>
              <w:spacing w:before="0" w:after="0"/>
              <w:ind w:left="0" w:right="0" w:hanging="0"/>
              <w:jc w:val="left"/>
              <w:rPr/>
            </w:pPr>
            <w:r>
              <w:rPr>
                <w:rFonts w:ascii="Times New Roman" w:hAnsi="Times New Roman"/>
                <w:caps w:val="false"/>
                <w:smallCaps w:val="false"/>
                <w:sz w:val="20"/>
              </w:rPr>
              <w:t>Two times the individual’s annual cash retainer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including any chair, lead independent director, committee or committee chair service retainers) </w:t>
            </w:r>
          </w:p>
        </w:tc>
      </w:tr>
      <w:tr>
        <w:trPr/>
        <w:tc>
          <w:tcPr>
            <w:tcW w:w="16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 Officers</w:t>
            </w:r>
          </w:p>
        </w:tc>
        <w:tc>
          <w:tcPr>
            <w:tcW w:w="86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Two times the individual’s annual base salary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our Stock Ownership Guidelines, the Participants are required to achieve the applicable stock ownership level within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becoming subject to the Stock Ownership Guidelines. If an individual becomes subject to a greater ownership amount due to promotion or an increase in base salary, such individual is expected to meet the higher ownership amount within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from the effective date of such promotion or increase in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a separately designated standing Audit Committee established in accordance with Section </w:t>
      </w:r>
      <w:r>
        <w:rPr>
          <w:rStyle w:val="Emphasis"/>
          <w:rFonts w:ascii="Times New Roman" w:hAnsi="Times New Roman"/>
          <w:caps w:val="false"/>
          <w:smallCaps w:val="false"/>
          <w:sz w:val="20"/>
        </w:rPr>
        <w:t>3</w:t>
      </w:r>
      <w:r>
        <w:rPr>
          <w:rFonts w:ascii="Times New Roman" w:hAnsi="Times New Roman"/>
          <w:caps w:val="false"/>
          <w:smallCaps w:val="false"/>
          <w:sz w:val="20"/>
        </w:rPr>
        <w:t>(a)(</w:t>
      </w:r>
      <w:r>
        <w:rPr>
          <w:rStyle w:val="Emphasis"/>
          <w:rFonts w:ascii="Times New Roman" w:hAnsi="Times New Roman"/>
          <w:caps w:val="false"/>
          <w:smallCaps w:val="false"/>
          <w:sz w:val="20"/>
        </w:rPr>
        <w:t>58</w:t>
      </w:r>
      <w:r>
        <w:rPr>
          <w:rFonts w:ascii="Times New Roman" w:hAnsi="Times New Roman"/>
          <w:caps w:val="false"/>
          <w:smallCaps w:val="false"/>
          <w:sz w:val="20"/>
        </w:rPr>
        <w:t>)(A) of the Exchange Act. Our Audit Committee is comprised of Mr. Kurtz, Ms. Lattmann and Ms. Harlam. Ms. Lattmann serves as Chairperson of the committee. Each member of the Audit Committee must be independent as defined under the applicable rules and listings standards of The Nasdaq Stock Market LLC (the “Nasdaq Rules”) and SEC rules and financially literate under the Nasdaq Rules. Our Board has determined that each member of the Audit Committee is “independent” and “financially literate” under the Nasdaq Rules and the SEC rules and that Ms. Lattmann is an “audit committee financial expert” under the rules of the SEC. The responsibilities of the Audit Committee are included in a written charter. The Audit Committee acts on behalf of our Board in fulfilling our Board’s oversight responsibilities with respect to our accounting and financial reporting processes, the systems of internal control over financial reporting and audits of financial statements and reports, and also assists our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appointing, determining the compensation of, retaining, overseeing and evaluating our independent registered public accounting firm and any other registered public accounting firm engaged for the purpose of performing other review or attest services for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and approving engagements of the independent registered public accounting firm, prior to commencement of the engagement, and the scope of and plans for the audit;</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10"/>
        <w:gridCol w:w="9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monitoring the rotation of partners of the independent registered public accounting firm on our audit engagement;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with management and the independent registered public accounting firm any fraud that includes management or other employees who have a significant role in our internal control over financial reporting and any significant changes in internal controls;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the results of management’s efforts to monitor compliance with our programs and policies designed to ensure compliance with laws and rules;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Typically, the Audit Committee meets at least quarterly and with greater frequency if necessary. Our Board has adopted a written charter of the Audit Committee that is available to stockholders on our internet website at https://ir.aterian.io/corporate-governance/governance-highlights under “Governance Charters”.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have been made to the procedures by which security 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recommend nominees to our Board from those that were described in our Definitive Proxy Statement for our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Meeting of Stockholders that was filed with the SEC on </w:t>
      </w:r>
      <w:r>
        <w:rPr>
          <w:rStyle w:val="Emphasis"/>
          <w:rFonts w:ascii="Times New Roman" w:hAnsi="Times New Roman"/>
          <w:caps w:val="false"/>
          <w:smallCaps w:val="false"/>
          <w:sz w:val="20"/>
        </w:rPr>
        <w:t>June 25,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Insider Trading Arrangements and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adopted an Insider Trading Policy governing the purchase, sale, and other dispositions of its securities by its directors, officers, and employees. We believe this policy is reasonably designed to promote compliance with insider trading laws, rules, and regulations, as well as the standards of the Nasdaq Stock Exchange. A copy of the policy is attached hereto as Exhibit </w:t>
      </w:r>
      <w:r>
        <w:rPr>
          <w:rStyle w:val="Emphasis"/>
          <w:rFonts w:ascii="Times New Roman" w:hAnsi="Times New Roman"/>
          <w:caps w:val="false"/>
          <w:smallCaps w:val="false"/>
          <w:sz w:val="20"/>
        </w:rPr>
        <w:t>19.1.</w:t>
      </w:r>
      <w:r>
        <w:rPr>
          <w:rFonts w:ascii="Times New Roman" w:hAnsi="Times New Roman"/>
          <w:caps w:val="false"/>
          <w:smallCaps w:val="false"/>
          <w:sz w:val="20"/>
        </w:rPr>
        <w:t xml:space="preserve"> Additionally, it is our policy to comply with applicable securities laws when engaging in transactions involving our own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9" w:name="item11"/>
      <w:bookmarkEnd w:id="29"/>
      <w:r>
        <w:rPr>
          <w:rFonts w:ascii="Times New Roman" w:hAnsi="Times New Roman"/>
          <w:b/>
          <w:caps w:val="false"/>
          <w:smallCaps w:val="false"/>
          <w:sz w:val="20"/>
        </w:rPr>
        <w:t xml:space="preserve">Item 11.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overview describes the material elements of compensation for the following individuals who served as our named executive officers for the year that ended on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(“Named Executive Officer”), which consists of our Chief Executive Officer, up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other most highly compensated executive officers who were serving as executive officers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up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additional individuals who would have been most highly compensated executive officers but for the fact that such individual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serving as an executive officer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are:</w:t>
      </w:r>
    </w:p>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1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Arturo Rodriguez, our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11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Feldman, our Chief Financial Officer; and</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10"/>
        <w:gridCol w:w="3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Roi Zahut, our Former Chief Technology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certain information with respect to the compensation paid to our Named Executive Officers for the fiscal years-ended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hanging="0"/>
        <w:jc w:val="both"/>
        <w:rPr>
          <w:caps w:val="false"/>
          <w:smallCaps w:val="false"/>
        </w:rPr>
      </w:pPr>
      <w:r>
        <w:rPr>
          <w:caps w:val="false"/>
          <w:smallCaps w:val="false"/>
        </w:rPr>
        <w:t> </w:t>
      </w:r>
    </w:p>
    <w:tbl>
      <w:tblPr>
        <w:tblW w:w="9707" w:type="dxa"/>
        <w:jc w:val="left"/>
        <w:tblInd w:w="0" w:type="dxa"/>
        <w:tblLayout w:type="fixed"/>
        <w:tblCellMar>
          <w:top w:w="0" w:type="dxa"/>
          <w:left w:w="0" w:type="dxa"/>
          <w:bottom w:w="0" w:type="dxa"/>
          <w:right w:w="0" w:type="dxa"/>
        </w:tblCellMar>
      </w:tblPr>
      <w:tblGrid>
        <w:gridCol w:w="2735"/>
        <w:gridCol w:w="440"/>
        <w:gridCol w:w="60"/>
        <w:gridCol w:w="81"/>
        <w:gridCol w:w="943"/>
        <w:gridCol w:w="60"/>
        <w:gridCol w:w="60"/>
        <w:gridCol w:w="60"/>
        <w:gridCol w:w="695"/>
        <w:gridCol w:w="60"/>
        <w:gridCol w:w="60"/>
        <w:gridCol w:w="93"/>
        <w:gridCol w:w="1081"/>
        <w:gridCol w:w="60"/>
        <w:gridCol w:w="60"/>
        <w:gridCol w:w="191"/>
        <w:gridCol w:w="1883"/>
        <w:gridCol w:w="60"/>
        <w:gridCol w:w="60"/>
        <w:gridCol w:w="60"/>
        <w:gridCol w:w="845"/>
        <w:gridCol w:w="60"/>
      </w:tblGrid>
      <w:tr>
        <w:trPr/>
        <w:tc>
          <w:tcPr>
            <w:tcW w:w="273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Salary/Fees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Name and principal position</w:t>
            </w:r>
          </w:p>
        </w:tc>
        <w:tc>
          <w:tcPr>
            <w:tcW w:w="4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Year</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p>
        </w:tc>
        <w:tc>
          <w:tcPr>
            <w:tcW w:w="44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378,778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405,417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784,954</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Chief Executive Officer </w:t>
            </w:r>
          </w:p>
        </w:tc>
        <w:tc>
          <w:tcPr>
            <w:tcW w:w="44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342,916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264,308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774,400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1,382,383</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44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310,018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193,056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23,905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526,979</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w:t>
            </w:r>
          </w:p>
        </w:tc>
        <w:tc>
          <w:tcPr>
            <w:tcW w:w="44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296,124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151,733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271,895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741,195</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lineRule="auto" w:line="288" w:before="0" w:after="0"/>
              <w:ind w:left="0" w:right="0" w:hanging="0"/>
              <w:jc w:val="left"/>
              <w:rPr/>
            </w:pPr>
            <w:r>
              <w:rPr>
                <w:rFonts w:ascii="Times New Roman;Times;serif" w:hAnsi="Times New Roman;Times;serif"/>
                <w:caps w:val="false"/>
                <w:smallCaps w:val="false"/>
                <w:sz w:val="20"/>
              </w:rPr>
              <w:t>Roi Zahut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44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259,508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125,486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388,285</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Former Chief Technology Officer</w:t>
            </w:r>
          </w:p>
        </w:tc>
        <w:tc>
          <w:tcPr>
            <w:tcW w:w="44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8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59"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amounts in this column represent the aggregate grant date fair value of the restricted stock awards computed in accordance with Financial Accounting Standards Board (“FASB”) Accounting Standard Codification (“ASC”) Topic </w:t>
            </w:r>
            <w:r>
              <w:rPr>
                <w:rStyle w:val="Emphasis"/>
                <w:rFonts w:ascii="Times New Roman;Times;serif" w:hAnsi="Times New Roman;Times;serif"/>
                <w:caps w:val="false"/>
                <w:smallCaps w:val="false"/>
                <w:sz w:val="20"/>
              </w:rPr>
              <w:t>718.</w:t>
            </w:r>
            <w:r>
              <w:rPr>
                <w:rFonts w:ascii="Times New Roman;Times;serif" w:hAnsi="Times New Roman;Times;serif"/>
                <w:caps w:val="false"/>
                <w:smallCaps w:val="false"/>
                <w:sz w:val="20"/>
              </w:rPr>
              <w:t xml:space="preserve"> Assumptions used in the calculation of these amounts are included in Note </w:t>
            </w:r>
            <w:r>
              <w:rPr>
                <w:rStyle w:val="Emphasis"/>
                <w:rFonts w:ascii="Times New Roman;Times;serif" w:hAnsi="Times New Roman;Times;serif"/>
                <w:caps w:val="false"/>
                <w:smallCaps w:val="false"/>
                <w:sz w:val="20"/>
              </w:rPr>
              <w:t>11</w:t>
            </w:r>
            <w:r>
              <w:rPr>
                <w:rFonts w:ascii="Times New Roman;Times;serif" w:hAnsi="Times New Roman;Times;serif"/>
                <w:caps w:val="false"/>
                <w:smallCaps w:val="false"/>
                <w:sz w:val="20"/>
              </w:rPr>
              <w:t xml:space="preserve"> to our Consolidated Financial Statements included in this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These amounts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reflect the actual economic value that will be realized by the Named Executive Officer upon the vesting of the restricted stock awards or the sale of the common stock underlying such restricted stock awards.</w:t>
            </w:r>
          </w:p>
        </w:tc>
      </w:tr>
      <w:tr>
        <w:trPr/>
        <w:tc>
          <w:tcPr>
            <w:tcW w:w="146"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10059" w:type="dxa"/>
            <w:tcBorders/>
            <w:vAlign w:val="center"/>
          </w:tcPr>
          <w:p>
            <w:pPr>
              <w:pStyle w:val="TableContents"/>
              <w:bidi w:val="0"/>
              <w:spacing w:before="0" w:after="283"/>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October 30, 2025, </w:t>
            </w:r>
            <w:r>
              <w:rPr>
                <w:rFonts w:ascii="Times New Roman;Times;serif" w:hAnsi="Times New Roman;Times;serif"/>
                <w:sz w:val="20"/>
              </w:rPr>
              <w:t xml:space="preserve">Roi Zahut resigned as Chief Technology Officer of the Company, effective as of </w:t>
            </w:r>
            <w:r>
              <w:rPr>
                <w:rStyle w:val="Emphasis"/>
                <w:rFonts w:ascii="Times New Roman;Times;serif" w:hAnsi="Times New Roman;Times;serif"/>
                <w:sz w:val="20"/>
              </w:rPr>
              <w:t>November 3, 2025.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Narrative Disclosure to Summary Compensation Table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Employment and Severance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Arturo Rodriguez</w:t>
      </w:r>
      <w:r>
        <w:rPr>
          <w:rFonts w:ascii="Times New Roman" w:hAnsi="Times New Roman"/>
          <w:caps w:val="false"/>
          <w:smallCaps w:val="false"/>
          <w:sz w:val="20"/>
        </w:rPr>
        <w:t xml:space="preserve"> —We entered into an offer letter with Mr. Rodriguez, dated </w:t>
      </w:r>
      <w:r>
        <w:rPr>
          <w:rStyle w:val="Emphasis"/>
          <w:rFonts w:ascii="Times New Roman" w:hAnsi="Times New Roman"/>
          <w:caps w:val="false"/>
          <w:smallCaps w:val="false"/>
          <w:sz w:val="20"/>
        </w:rPr>
        <w:t xml:space="preserve">September 18, 2017. </w:t>
      </w:r>
      <w:r>
        <w:rPr>
          <w:rFonts w:ascii="Times New Roman" w:hAnsi="Times New Roman"/>
          <w:caps w:val="false"/>
          <w:smallCaps w:val="false"/>
          <w:sz w:val="20"/>
        </w:rPr>
        <w:t xml:space="preserve">Pursuant to the offer letter, Mr. Rodriguez’s base salary was initially </w:t>
      </w:r>
      <w:r>
        <w:rPr>
          <w:rStyle w:val="Emphasis"/>
          <w:rFonts w:ascii="Times New Roman" w:hAnsi="Times New Roman"/>
          <w:caps w:val="false"/>
          <w:smallCaps w:val="false"/>
          <w:sz w:val="20"/>
        </w:rPr>
        <w:t>$250,000</w:t>
      </w:r>
      <w:r>
        <w:rPr>
          <w:rFonts w:ascii="Times New Roman" w:hAnsi="Times New Roman"/>
          <w:caps w:val="false"/>
          <w:smallCaps w:val="false"/>
          <w:sz w:val="20"/>
        </w:rPr>
        <w:t xml:space="preserve"> per year. During his employment, Mr. Rodriguez has received various base salary adjustments and his salary at the beginning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w:t>
      </w:r>
      <w:r>
        <w:rPr>
          <w:rStyle w:val="Emphasis"/>
          <w:rFonts w:ascii="Times New Roman" w:hAnsi="Times New Roman"/>
          <w:caps w:val="false"/>
          <w:smallCaps w:val="false"/>
          <w:sz w:val="20"/>
        </w:rPr>
        <w:t>$360,000</w:t>
      </w:r>
      <w:r>
        <w:rPr>
          <w:rFonts w:ascii="Times New Roman" w:hAnsi="Times New Roman"/>
          <w:caps w:val="false"/>
          <w:smallCaps w:val="false"/>
          <w:sz w:val="20"/>
        </w:rPr>
        <w:t xml:space="preserve"> annually.  Effective </w:t>
      </w:r>
      <w:r>
        <w:rPr>
          <w:rStyle w:val="Emphasis"/>
          <w:rFonts w:ascii="Times New Roman" w:hAnsi="Times New Roman"/>
          <w:caps w:val="false"/>
          <w:smallCaps w:val="false"/>
          <w:sz w:val="20"/>
        </w:rPr>
        <w:t xml:space="preserve">April 1, 2025, </w:t>
      </w:r>
      <w:r>
        <w:rPr>
          <w:rFonts w:ascii="Times New Roman" w:hAnsi="Times New Roman"/>
          <w:caps w:val="false"/>
          <w:smallCaps w:val="false"/>
          <w:sz w:val="20"/>
        </w:rPr>
        <w:t xml:space="preserve">Mr. Rodriguez received an increase in base salary to </w:t>
      </w:r>
      <w:r>
        <w:rPr>
          <w:rStyle w:val="Emphasis"/>
          <w:rFonts w:ascii="Times New Roman" w:hAnsi="Times New Roman"/>
          <w:caps w:val="false"/>
          <w:smallCaps w:val="false"/>
          <w:sz w:val="20"/>
        </w:rPr>
        <w:t>$385,000.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Joshua Feldman </w:t>
      </w:r>
      <w:r>
        <w:rPr>
          <w:rFonts w:ascii="Times New Roman" w:hAnsi="Times New Roman"/>
          <w:caps w:val="false"/>
          <w:smallCaps w:val="false"/>
          <w:sz w:val="20"/>
        </w:rPr>
        <w:t xml:space="preserve">—We entered into an offer letter with Mr. Feldman, dated </w:t>
      </w:r>
      <w:r>
        <w:rPr>
          <w:rStyle w:val="Emphasis"/>
          <w:rFonts w:ascii="Times New Roman" w:hAnsi="Times New Roman"/>
          <w:caps w:val="false"/>
          <w:smallCaps w:val="false"/>
          <w:sz w:val="20"/>
        </w:rPr>
        <w:t xml:space="preserve">March 30, 2022. </w:t>
      </w:r>
      <w:r>
        <w:rPr>
          <w:rFonts w:ascii="Times New Roman" w:hAnsi="Times New Roman"/>
          <w:caps w:val="false"/>
          <w:smallCaps w:val="false"/>
          <w:sz w:val="20"/>
        </w:rPr>
        <w:t xml:space="preserve">Pursuant to the offer letter, Mr. Feldman’s base salary was initially </w:t>
      </w:r>
      <w:r>
        <w:rPr>
          <w:rStyle w:val="Emphasis"/>
          <w:rFonts w:ascii="Times New Roman" w:hAnsi="Times New Roman"/>
          <w:caps w:val="false"/>
          <w:smallCaps w:val="false"/>
          <w:sz w:val="20"/>
        </w:rPr>
        <w:t>$270,000</w:t>
      </w:r>
      <w:r>
        <w:rPr>
          <w:rFonts w:ascii="Times New Roman" w:hAnsi="Times New Roman"/>
          <w:caps w:val="false"/>
          <w:smallCaps w:val="false"/>
          <w:sz w:val="20"/>
        </w:rPr>
        <w:t xml:space="preserve"> per year. During his employment, Mr. Feldman has received various base salary adjustments and his salary at the beginning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w:t>
      </w:r>
      <w:r>
        <w:rPr>
          <w:rStyle w:val="Emphasis"/>
          <w:rFonts w:ascii="Times New Roman" w:hAnsi="Times New Roman"/>
          <w:caps w:val="false"/>
          <w:smallCaps w:val="false"/>
          <w:sz w:val="20"/>
        </w:rPr>
        <w:t>$310,000</w:t>
      </w:r>
      <w:r>
        <w:rPr>
          <w:rFonts w:ascii="Times New Roman" w:hAnsi="Times New Roman"/>
          <w:caps w:val="false"/>
          <w:smallCaps w:val="false"/>
          <w:sz w:val="20"/>
        </w:rPr>
        <w:t xml:space="preserve"> annually.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Roi Zahut </w:t>
      </w:r>
      <w:r>
        <w:rPr>
          <w:rFonts w:ascii="Times New Roman" w:hAnsi="Times New Roman"/>
          <w:caps w:val="false"/>
          <w:smallCaps w:val="false"/>
          <w:sz w:val="20"/>
        </w:rPr>
        <w:t xml:space="preserve">—We entered into an offer letter with Mr. Zahut, dated </w:t>
      </w:r>
      <w:r>
        <w:rPr>
          <w:rStyle w:val="Emphasis"/>
          <w:rFonts w:ascii="Times New Roman" w:hAnsi="Times New Roman"/>
          <w:caps w:val="false"/>
          <w:smallCaps w:val="false"/>
          <w:sz w:val="20"/>
        </w:rPr>
        <w:t xml:space="preserve">January 14, 2019. </w:t>
      </w:r>
      <w:r>
        <w:rPr>
          <w:rFonts w:ascii="Times New Roman" w:hAnsi="Times New Roman"/>
          <w:caps w:val="false"/>
          <w:smallCaps w:val="false"/>
          <w:sz w:val="20"/>
        </w:rPr>
        <w:t xml:space="preserve">Pursuant to the offer letter, Mr. Zahut's base salary was initially </w:t>
      </w:r>
      <w:r>
        <w:rPr>
          <w:rStyle w:val="Emphasis"/>
          <w:rFonts w:ascii="Times New Roman" w:hAnsi="Times New Roman"/>
          <w:caps w:val="false"/>
          <w:smallCaps w:val="false"/>
          <w:sz w:val="20"/>
        </w:rPr>
        <w:t>$225,000</w:t>
      </w:r>
      <w:r>
        <w:rPr>
          <w:rFonts w:ascii="Times New Roman" w:hAnsi="Times New Roman"/>
          <w:caps w:val="false"/>
          <w:smallCaps w:val="false"/>
          <w:sz w:val="20"/>
        </w:rPr>
        <w:t xml:space="preserve"> per year. During his employment, Mr. Zahut received various base salary adjustments and his salary at the beginning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w:t>
      </w:r>
      <w:r>
        <w:rPr>
          <w:rStyle w:val="Emphasis"/>
          <w:rFonts w:ascii="Times New Roman" w:hAnsi="Times New Roman"/>
          <w:caps w:val="false"/>
          <w:smallCaps w:val="false"/>
          <w:sz w:val="20"/>
        </w:rPr>
        <w:t>$310,000</w:t>
      </w:r>
      <w:r>
        <w:rPr>
          <w:rFonts w:ascii="Times New Roman" w:hAnsi="Times New Roman"/>
          <w:caps w:val="false"/>
          <w:smallCaps w:val="false"/>
          <w:sz w:val="20"/>
        </w:rPr>
        <w:t xml:space="preserve">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Base Salaries/Compensation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salaries recognize the experience, skills, knowledge, and responsibilities required of all employees, including our Named Executive Officers. Base salaries and base compensation are reviewed annually, typically in connection with our annual performance review process, and adjusted from time to time to realign salaries and compensation with market levels after taking into account individual responsibilities, performance and experience.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Although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periodically reviews the equity incentive compensation of our Named Executive Officers and from time to time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grant equity incentive awards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2025, </w:t>
      </w:r>
      <w:r>
        <w:rPr>
          <w:rFonts w:ascii="Times New Roman" w:hAnsi="Times New Roman"/>
          <w:caps w:val="false"/>
          <w:smallCaps w:val="false"/>
          <w:sz w:val="20"/>
        </w:rPr>
        <w:t xml:space="preserve">we granted </w:t>
      </w:r>
      <w:r>
        <w:rPr>
          <w:rStyle w:val="Emphasis"/>
          <w:rFonts w:ascii="Times New Roman" w:hAnsi="Times New Roman"/>
          <w:caps w:val="false"/>
          <w:smallCaps w:val="false"/>
          <w:sz w:val="20"/>
        </w:rPr>
        <w:t>291,667</w:t>
      </w:r>
      <w:r>
        <w:rPr>
          <w:rFonts w:ascii="Times New Roman" w:hAnsi="Times New Roman"/>
          <w:caps w:val="false"/>
          <w:smallCaps w:val="false"/>
          <w:sz w:val="20"/>
        </w:rPr>
        <w:t xml:space="preserve"> restricted shares to Mr. Rodriguez, </w:t>
      </w:r>
      <w:r>
        <w:rPr>
          <w:rStyle w:val="Emphasis"/>
          <w:rFonts w:ascii="Times New Roman" w:hAnsi="Times New Roman"/>
          <w:caps w:val="false"/>
          <w:smallCaps w:val="false"/>
          <w:sz w:val="20"/>
        </w:rPr>
        <w:t>138,889</w:t>
      </w:r>
      <w:r>
        <w:rPr>
          <w:rFonts w:ascii="Times New Roman" w:hAnsi="Times New Roman"/>
          <w:caps w:val="false"/>
          <w:smallCaps w:val="false"/>
          <w:sz w:val="20"/>
        </w:rPr>
        <w:t xml:space="preserve"> restricted shares to Mr. Feldman, and </w:t>
      </w:r>
      <w:r>
        <w:rPr>
          <w:rStyle w:val="Emphasis"/>
          <w:rFonts w:ascii="Times New Roman" w:hAnsi="Times New Roman"/>
          <w:caps w:val="false"/>
          <w:smallCaps w:val="false"/>
          <w:sz w:val="20"/>
        </w:rPr>
        <w:t>90,278</w:t>
      </w:r>
      <w:r>
        <w:rPr>
          <w:rFonts w:ascii="Times New Roman" w:hAnsi="Times New Roman"/>
          <w:caps w:val="false"/>
          <w:smallCaps w:val="false"/>
          <w:sz w:val="20"/>
        </w:rPr>
        <w:t xml:space="preserve"> restricted shares to Mr. Zahut pursuant to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One-</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of the restricted shares shall vest on </w:t>
      </w:r>
      <w:r>
        <w:rPr>
          <w:rStyle w:val="Emphasis"/>
          <w:rFonts w:ascii="Times New Roman" w:hAnsi="Times New Roman"/>
          <w:caps w:val="false"/>
          <w:smallCaps w:val="false"/>
          <w:sz w:val="20"/>
        </w:rPr>
        <w:t xml:space="preserve">June 11,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1/12th</w:t>
      </w:r>
      <w:r>
        <w:rPr>
          <w:rFonts w:ascii="Times New Roman" w:hAnsi="Times New Roman"/>
          <w:caps w:val="false"/>
          <w:smallCaps w:val="false"/>
          <w:sz w:val="20"/>
        </w:rPr>
        <w:t xml:space="preserve"> of the restricted shares shall vest each quarterly period thereafter, as described in more detail in the “Outstanding Equity Awards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table below. All </w:t>
      </w:r>
      <w:r>
        <w:rPr>
          <w:rStyle w:val="Emphasis"/>
          <w:rFonts w:ascii="Times New Roman" w:hAnsi="Times New Roman"/>
          <w:caps w:val="false"/>
          <w:smallCaps w:val="false"/>
          <w:sz w:val="20"/>
        </w:rPr>
        <w:t>90,278</w:t>
      </w:r>
      <w:r>
        <w:rPr>
          <w:rFonts w:ascii="Times New Roman" w:hAnsi="Times New Roman"/>
          <w:caps w:val="false"/>
          <w:smallCaps w:val="false"/>
          <w:sz w:val="20"/>
        </w:rPr>
        <w:t xml:space="preserve"> shares granted to Mr. Zahut were forfeited on </w:t>
      </w:r>
      <w:r>
        <w:rPr>
          <w:rStyle w:val="Emphasis"/>
          <w:rFonts w:ascii="Times New Roman" w:hAnsi="Times New Roman"/>
          <w:caps w:val="false"/>
          <w:smallCaps w:val="false"/>
          <w:sz w:val="20"/>
        </w:rPr>
        <w:t>November 3, 2025 </w:t>
      </w:r>
      <w:r>
        <w:rPr>
          <w:rFonts w:ascii="Times New Roman" w:hAnsi="Times New Roman"/>
          <w:caps w:val="false"/>
          <w:smallCaps w:val="false"/>
          <w:sz w:val="20"/>
        </w:rPr>
        <w:t>when he resigned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2025, </w:t>
      </w:r>
      <w:r>
        <w:rPr>
          <w:rFonts w:ascii="Times New Roman" w:hAnsi="Times New Roman"/>
          <w:caps w:val="false"/>
          <w:smallCaps w:val="false"/>
          <w:sz w:val="20"/>
        </w:rPr>
        <w:t xml:space="preserve">in settlement of the executive's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performance bonus, we granted </w:t>
      </w:r>
      <w:r>
        <w:rPr>
          <w:rStyle w:val="Emphasis"/>
          <w:rFonts w:ascii="Times New Roman" w:hAnsi="Times New Roman"/>
          <w:caps w:val="false"/>
          <w:smallCaps w:val="false"/>
          <w:sz w:val="20"/>
        </w:rPr>
        <w:t>190,150</w:t>
      </w:r>
      <w:r>
        <w:rPr>
          <w:rFonts w:ascii="Times New Roman" w:hAnsi="Times New Roman"/>
          <w:caps w:val="false"/>
          <w:smallCaps w:val="false"/>
          <w:sz w:val="20"/>
        </w:rPr>
        <w:t xml:space="preserve"> restricted shares to Mr. Rodriguez pursuant to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All </w:t>
      </w:r>
      <w:r>
        <w:rPr>
          <w:rStyle w:val="Emphasis"/>
          <w:rFonts w:ascii="Times New Roman" w:hAnsi="Times New Roman"/>
          <w:caps w:val="false"/>
          <w:smallCaps w:val="false"/>
          <w:sz w:val="20"/>
        </w:rPr>
        <w:t>190,150</w:t>
      </w:r>
      <w:r>
        <w:rPr>
          <w:rFonts w:ascii="Times New Roman" w:hAnsi="Times New Roman"/>
          <w:caps w:val="false"/>
          <w:smallCaps w:val="false"/>
          <w:sz w:val="20"/>
        </w:rPr>
        <w:t xml:space="preserve"> of the restricted shares vested on </w:t>
      </w:r>
      <w:r>
        <w:rPr>
          <w:rStyle w:val="Emphasis"/>
          <w:rFonts w:ascii="Times New Roman" w:hAnsi="Times New Roman"/>
          <w:caps w:val="false"/>
          <w:smallCaps w:val="false"/>
          <w:sz w:val="20"/>
        </w:rPr>
        <w:t>March 11, 2026, </w:t>
      </w:r>
      <w:r>
        <w:rPr>
          <w:rFonts w:ascii="Times New Roman" w:hAnsi="Times New Roman"/>
          <w:caps w:val="false"/>
          <w:smallCaps w:val="false"/>
          <w:sz w:val="20"/>
        </w:rPr>
        <w:t xml:space="preserve">as described in more detail in the “Outstanding Equity Awards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2025, </w:t>
      </w:r>
      <w:r>
        <w:rPr>
          <w:rFonts w:ascii="Times New Roman" w:hAnsi="Times New Roman"/>
          <w:caps w:val="false"/>
          <w:smallCaps w:val="false"/>
          <w:sz w:val="20"/>
        </w:rPr>
        <w:t xml:space="preserve">in settlement of the executive's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performance bonus, we granted </w:t>
      </w:r>
      <w:r>
        <w:rPr>
          <w:rStyle w:val="Emphasis"/>
          <w:rFonts w:ascii="Times New Roman" w:hAnsi="Times New Roman"/>
          <w:caps w:val="false"/>
          <w:smallCaps w:val="false"/>
          <w:sz w:val="20"/>
        </w:rPr>
        <w:t>109,160</w:t>
      </w:r>
      <w:r>
        <w:rPr>
          <w:rFonts w:ascii="Times New Roman" w:hAnsi="Times New Roman"/>
          <w:caps w:val="false"/>
          <w:smallCaps w:val="false"/>
          <w:sz w:val="20"/>
        </w:rPr>
        <w:t xml:space="preserve"> restricted shares to Mr. Feldman pursuant to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All </w:t>
      </w:r>
      <w:r>
        <w:rPr>
          <w:rStyle w:val="Emphasis"/>
          <w:rFonts w:ascii="Times New Roman" w:hAnsi="Times New Roman"/>
          <w:caps w:val="false"/>
          <w:smallCaps w:val="false"/>
          <w:sz w:val="20"/>
        </w:rPr>
        <w:t>109,160</w:t>
      </w:r>
      <w:r>
        <w:rPr>
          <w:rFonts w:ascii="Times New Roman" w:hAnsi="Times New Roman"/>
          <w:caps w:val="false"/>
          <w:smallCaps w:val="false"/>
          <w:sz w:val="20"/>
        </w:rPr>
        <w:t xml:space="preserve"> of the restricted shares vested on </w:t>
      </w:r>
      <w:r>
        <w:rPr>
          <w:rStyle w:val="Emphasis"/>
          <w:rFonts w:ascii="Times New Roman" w:hAnsi="Times New Roman"/>
          <w:caps w:val="false"/>
          <w:smallCaps w:val="false"/>
          <w:sz w:val="20"/>
        </w:rPr>
        <w:t>December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2025, </w:t>
      </w:r>
      <w:r>
        <w:rPr>
          <w:rFonts w:ascii="Times New Roman" w:hAnsi="Times New Roman"/>
          <w:caps w:val="false"/>
          <w:smallCaps w:val="false"/>
          <w:sz w:val="20"/>
        </w:rPr>
        <w:t xml:space="preserve">in settlement of the executive's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performance bonus, we granted </w:t>
      </w:r>
      <w:r>
        <w:rPr>
          <w:rStyle w:val="Emphasis"/>
          <w:rFonts w:ascii="Times New Roman" w:hAnsi="Times New Roman"/>
          <w:caps w:val="false"/>
          <w:smallCaps w:val="false"/>
          <w:sz w:val="20"/>
        </w:rPr>
        <w:t>109,160</w:t>
      </w:r>
      <w:r>
        <w:rPr>
          <w:rFonts w:ascii="Times New Roman" w:hAnsi="Times New Roman"/>
          <w:caps w:val="false"/>
          <w:smallCaps w:val="false"/>
          <w:sz w:val="20"/>
        </w:rPr>
        <w:t xml:space="preserve"> restricted shares to Mr. Zahut pursuant to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All </w:t>
      </w:r>
      <w:r>
        <w:rPr>
          <w:rStyle w:val="Emphasis"/>
          <w:rFonts w:ascii="Times New Roman" w:hAnsi="Times New Roman"/>
          <w:caps w:val="false"/>
          <w:smallCaps w:val="false"/>
          <w:sz w:val="20"/>
        </w:rPr>
        <w:t>109,160</w:t>
      </w:r>
      <w:r>
        <w:rPr>
          <w:rFonts w:ascii="Times New Roman" w:hAnsi="Times New Roman"/>
          <w:caps w:val="false"/>
          <w:smallCaps w:val="false"/>
          <w:sz w:val="20"/>
        </w:rPr>
        <w:t xml:space="preserve"> of the restricted shares vested on </w:t>
      </w:r>
      <w:r>
        <w:rPr>
          <w:rStyle w:val="Emphasis"/>
          <w:rFonts w:ascii="Times New Roman" w:hAnsi="Times New Roman"/>
          <w:caps w:val="false"/>
          <w:smallCaps w:val="false"/>
          <w:sz w:val="20"/>
        </w:rPr>
        <w:t xml:space="preserve">December 11, 2025, </w:t>
      </w:r>
      <w:r>
        <w:rPr>
          <w:rFonts w:ascii="Times New Roman" w:hAnsi="Times New Roman"/>
          <w:caps w:val="false"/>
          <w:smallCaps w:val="false"/>
          <w:sz w:val="20"/>
        </w:rPr>
        <w:t>pursuant to Mr. Zahut's separation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Perquisites, Health, Welfare and Retirement Plans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provide healthcare coverage to our employees. In addition, we have adopted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for eligible employees. However,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match any portion of the contributions made by our employees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 xml:space="preserve">Outstanding Equity Awards at </w:t>
      </w:r>
      <w:r>
        <w:rPr>
          <w:rStyle w:val="Emphasis"/>
          <w:rFonts w:ascii="Times New Roman" w:hAnsi="Times New Roman"/>
          <w:b/>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certain information concerning outstanding equity awards held by each of the Named Executive Officers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1"/>
        <w:gridCol w:w="574"/>
        <w:gridCol w:w="60"/>
        <w:gridCol w:w="185"/>
        <w:gridCol w:w="1505"/>
        <w:gridCol w:w="60"/>
        <w:gridCol w:w="60"/>
        <w:gridCol w:w="355"/>
        <w:gridCol w:w="1545"/>
        <w:gridCol w:w="60"/>
        <w:gridCol w:w="60"/>
        <w:gridCol w:w="85"/>
        <w:gridCol w:w="844"/>
        <w:gridCol w:w="60"/>
        <w:gridCol w:w="60"/>
        <w:gridCol w:w="188"/>
        <w:gridCol w:w="819"/>
        <w:gridCol w:w="60"/>
        <w:gridCol w:w="60"/>
        <w:gridCol w:w="92"/>
        <w:gridCol w:w="1068"/>
        <w:gridCol w:w="60"/>
        <w:gridCol w:w="60"/>
        <w:gridCol w:w="196"/>
        <w:gridCol w:w="1093"/>
        <w:gridCol w:w="65"/>
      </w:tblGrid>
      <w:tr>
        <w:trPr/>
        <w:tc>
          <w:tcPr>
            <w:tcW w:w="93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8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574"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underlying unexercised options (#) unexercisable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exercise price per share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expiration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Fonts w:ascii="Times New Roman;Times;serif" w:hAnsi="Times New Roman;Times;serif"/>
                <w:b/>
                <w:caps w:val="false"/>
                <w:smallCaps w:val="false"/>
                <w:sz w:val="20"/>
              </w:rPr>
              <w:t xml:space="preserve">Number of shares or units of stock that have </w:t>
            </w:r>
            <w:r>
              <w:rPr>
                <w:rStyle w:val="Emphasis"/>
                <w:rFonts w:ascii="Times New Roman;Times;serif" w:hAnsi="Times New Roman;Times;serif"/>
                <w:b/>
                <w:caps w:val="false"/>
                <w:smallCaps w:val="false"/>
                <w:sz w:val="20"/>
              </w:rPr>
              <w:t>not</w:t>
            </w:r>
            <w:r>
              <w:rPr>
                <w:rFonts w:ascii="Times New Roman;Times;serif" w:hAnsi="Times New Roman;Times;serif"/>
                <w:b/>
                <w:caps w:val="false"/>
                <w:smallCaps w:val="false"/>
                <w:sz w:val="20"/>
              </w:rPr>
              <w:t xml:space="preserve"> vested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pPr>
            <w:r>
              <w:rPr>
                <w:rFonts w:ascii="Times New Roman;Times;serif" w:hAnsi="Times New Roman;Times;serif"/>
                <w:b/>
                <w:caps w:val="false"/>
                <w:smallCaps w:val="false"/>
                <w:sz w:val="20"/>
              </w:rPr>
              <w:t xml:space="preserve">Market value of shares or units of stock that have </w:t>
            </w:r>
            <w:r>
              <w:rPr>
                <w:rStyle w:val="Emphasis"/>
                <w:rFonts w:ascii="Times New Roman;Times;serif" w:hAnsi="Times New Roman;Times;serif"/>
                <w:b/>
                <w:caps w:val="false"/>
                <w:smallCaps w:val="false"/>
                <w:sz w:val="20"/>
              </w:rPr>
              <w:t>not</w:t>
            </w:r>
            <w:r>
              <w:rPr>
                <w:rFonts w:ascii="Times New Roman;Times;serif" w:hAnsi="Times New Roman;Times;serif"/>
                <w:b/>
                <w:caps w:val="false"/>
                <w:smallCaps w:val="false"/>
                <w:sz w:val="20"/>
              </w:rPr>
              <w:t xml:space="preserve"> vested (</w:t>
            </w: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 ($)</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Arturo Rodriguez</w:t>
            </w:r>
          </w:p>
        </w:tc>
        <w:tc>
          <w:tcPr>
            <w:tcW w:w="574"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9/15/2018</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81.48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7" w:type="dxa"/>
            <w:gridSpan w:val="2"/>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9/15/2028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3"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12/28/2018</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8,547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15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116.64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7" w:type="dxa"/>
            <w:gridSpan w:val="2"/>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12/28/2028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93"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6/12/2023</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5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12,840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8,937</w:t>
            </w:r>
          </w:p>
        </w:tc>
        <w:tc>
          <w:tcPr>
            <w:tcW w:w="65" w:type="dxa"/>
            <w:tcBorders/>
            <w:shd w:fill="CCEE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9/13/2023</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5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15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19,708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13,717</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4/26/2024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5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88,000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61,248</w:t>
            </w:r>
          </w:p>
        </w:tc>
        <w:tc>
          <w:tcPr>
            <w:tcW w:w="65" w:type="dxa"/>
            <w:tcBorders/>
            <w:shd w:fill="CCEE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6/26/2024</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88,000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61,248</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6/11/2025</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5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291,667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203,000</w:t>
            </w:r>
          </w:p>
        </w:tc>
        <w:tc>
          <w:tcPr>
            <w:tcW w:w="65" w:type="dxa"/>
            <w:tcBorders/>
            <w:shd w:fill="CCEE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6/11/2025</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5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15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190,150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132,344</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574"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6/12/2023</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5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2,176</w:t>
            </w:r>
          </w:p>
        </w:tc>
        <w:tc>
          <w:tcPr>
            <w:tcW w:w="65" w:type="dxa"/>
            <w:tcBorders/>
            <w:shd w:fill="CCEE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10/16/2023</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5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15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2,428</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5/6/2024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5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14,500</w:t>
            </w:r>
          </w:p>
        </w:tc>
        <w:tc>
          <w:tcPr>
            <w:tcW w:w="65" w:type="dxa"/>
            <w:tcBorders/>
            <w:shd w:fill="CCEE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6/26/2024</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5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15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30,667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21,344</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6/11/2025</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5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138,889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96,667</w:t>
            </w:r>
          </w:p>
        </w:tc>
        <w:tc>
          <w:tcPr>
            <w:tcW w:w="65" w:type="dxa"/>
            <w:tcBorders/>
            <w:shd w:fill="CCEE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lineRule="auto" w:line="288" w:before="0" w:after="0"/>
              <w:ind w:left="0" w:right="0" w:hanging="0"/>
              <w:jc w:val="left"/>
              <w:rPr/>
            </w:pPr>
            <w:r>
              <w:rPr>
                <w:rFonts w:ascii="Times New Roman;Times;serif" w:hAnsi="Times New Roman;Times;serif"/>
                <w:caps w:val="false"/>
                <w:smallCaps w:val="false"/>
                <w:sz w:val="20"/>
              </w:rPr>
              <w:t>Roi Zahut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574"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6/12/2023</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5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15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6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93"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93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4/26/2024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5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5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3"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6/11/2025</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5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Represents the market value of the unvested shares underlying the restricted stock awards as of </w:t>
            </w:r>
            <w:r>
              <w:rPr>
                <w:rStyle w:val="Emphasis"/>
                <w:rFonts w:ascii="Times New Roman;Times;serif" w:hAnsi="Times New Roman;Times;serif"/>
                <w:caps w:val="false"/>
                <w:smallCaps w:val="false"/>
                <w:sz w:val="20"/>
              </w:rPr>
              <w:t>December 31, 2025</w:t>
            </w:r>
            <w:r>
              <w:rPr>
                <w:rFonts w:ascii="Times New Roman;Times;serif" w:hAnsi="Times New Roman;Times;serif"/>
                <w:caps w:val="false"/>
                <w:smallCaps w:val="false"/>
                <w:sz w:val="20"/>
              </w:rPr>
              <w:t xml:space="preserve">, based on the closing price of our common stock on such date, as reported on the Nasdaq Capital Market, which was </w:t>
            </w:r>
            <w:r>
              <w:rPr>
                <w:rStyle w:val="Emphasis"/>
                <w:rFonts w:ascii="Times New Roman;Times;serif" w:hAnsi="Times New Roman;Times;serif"/>
                <w:caps w:val="false"/>
                <w:smallCaps w:val="false"/>
                <w:sz w:val="20"/>
              </w:rPr>
              <w:t>$0.70</w:t>
            </w:r>
            <w:r>
              <w:rPr>
                <w:rFonts w:ascii="Times New Roman;Times;serif" w:hAnsi="Times New Roman;Times;serif"/>
                <w:caps w:val="false"/>
                <w:smallCaps w:val="false"/>
                <w:sz w:val="20"/>
              </w:rPr>
              <w:t xml:space="preserve"> per share. These amounts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reflect the actual economic value that will be realized by the Named Executive Officer upon the vesting of the restricted stock awards or the sale of the common stock underlying such restricted stock awards.</w:t>
            </w:r>
          </w:p>
        </w:tc>
      </w:tr>
      <w:tr>
        <w:trPr/>
        <w:tc>
          <w:tcPr>
            <w:tcW w:w="153" w:type="dxa"/>
            <w:tcBorders/>
            <w:vAlign w:val="center"/>
          </w:tcPr>
          <w:p>
            <w:pPr>
              <w:pStyle w:val="TableContents"/>
              <w:bidi w:val="0"/>
              <w:spacing w:before="0" w:after="283"/>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10052" w:type="dxa"/>
            <w:tcBorders/>
            <w:vAlign w:val="center"/>
          </w:tcPr>
          <w:p>
            <w:pPr>
              <w:pStyle w:val="TableContents"/>
              <w:bidi w:val="0"/>
              <w:spacing w:before="0" w:after="283"/>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October 30, 2025, </w:t>
            </w:r>
            <w:r>
              <w:rPr>
                <w:rFonts w:ascii="Times New Roman;Times;serif" w:hAnsi="Times New Roman;Times;serif"/>
                <w:sz w:val="20"/>
              </w:rPr>
              <w:t xml:space="preserve">Roi Zahut resigned as Chief Technology Officer of the Company, effective as of </w:t>
            </w:r>
            <w:r>
              <w:rPr>
                <w:rStyle w:val="Emphasis"/>
                <w:rFonts w:ascii="Times New Roman;Times;serif" w:hAnsi="Times New Roman;Times;serif"/>
                <w:sz w:val="20"/>
              </w:rPr>
              <w:t>November 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August 1, 2021, </w:t>
      </w:r>
      <w:r>
        <w:rPr>
          <w:rFonts w:ascii="Times New Roman" w:hAnsi="Times New Roman"/>
          <w:caps w:val="false"/>
          <w:smallCaps w:val="false"/>
          <w:sz w:val="20"/>
        </w:rPr>
        <w:t xml:space="preserve">our compensation committee of the Board (the “Compensation Committee”) approved a formal non-employee director compensation policy, which was amended on </w:t>
      </w:r>
      <w:r>
        <w:rPr>
          <w:rStyle w:val="Emphasis"/>
          <w:rFonts w:ascii="Times New Roman" w:hAnsi="Times New Roman"/>
          <w:caps w:val="false"/>
          <w:smallCaps w:val="false"/>
          <w:sz w:val="20"/>
        </w:rPr>
        <w:t xml:space="preserve">August 16, 2024. </w:t>
      </w:r>
      <w:r>
        <w:rPr>
          <w:rFonts w:ascii="Times New Roman" w:hAnsi="Times New Roman"/>
          <w:caps w:val="false"/>
          <w:smallCaps w:val="false"/>
          <w:sz w:val="20"/>
        </w:rPr>
        <w:t xml:space="preserve">Pursuant to such policy, our non-employee directors were paid the amounts in the table below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As revised on </w:t>
      </w:r>
      <w:r>
        <w:rPr>
          <w:rStyle w:val="Emphasis"/>
          <w:rFonts w:ascii="Times New Roman" w:hAnsi="Times New Roman"/>
          <w:caps w:val="false"/>
          <w:smallCaps w:val="false"/>
          <w:sz w:val="20"/>
        </w:rPr>
        <w:t xml:space="preserve">August 16, 2024, </w:t>
      </w:r>
      <w:r>
        <w:rPr>
          <w:rFonts w:ascii="Times New Roman" w:hAnsi="Times New Roman"/>
          <w:caps w:val="false"/>
          <w:smallCaps w:val="false"/>
          <w:sz w:val="20"/>
        </w:rPr>
        <w:t xml:space="preserve">non-employee director compensation (prorated for service for a partial year), which, at each director’s election was payable </w:t>
      </w:r>
      <w:r>
        <w:rPr>
          <w:rStyle w:val="Emphasis"/>
          <w:rFonts w:ascii="Times New Roman" w:hAnsi="Times New Roman"/>
          <w:caps w:val="false"/>
          <w:smallCaps w:val="false"/>
          <w:sz w:val="20"/>
        </w:rPr>
        <w:t>one</w:t>
      </w:r>
      <w:r>
        <w:rPr>
          <w:rFonts w:ascii="Times New Roman" w:hAnsi="Times New Roman"/>
          <w:caps w:val="false"/>
          <w:smallCaps w:val="false"/>
          <w:sz w:val="20"/>
        </w:rPr>
        <w:t>-</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in cash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-thirds in shares of restricted common stock, was as follows: (i) </w:t>
      </w:r>
      <w:r>
        <w:rPr>
          <w:rStyle w:val="Emphasis"/>
          <w:rFonts w:ascii="Times New Roman" w:hAnsi="Times New Roman"/>
          <w:caps w:val="false"/>
          <w:smallCaps w:val="false"/>
          <w:sz w:val="20"/>
        </w:rPr>
        <w:t>$150,000</w:t>
      </w:r>
      <w:r>
        <w:rPr>
          <w:rFonts w:ascii="Times New Roman" w:hAnsi="Times New Roman"/>
          <w:caps w:val="false"/>
          <w:smallCaps w:val="false"/>
          <w:sz w:val="20"/>
        </w:rPr>
        <w:t xml:space="preserve"> per year to each director; (ii) </w:t>
      </w:r>
      <w:r>
        <w:rPr>
          <w:rStyle w:val="Emphasis"/>
          <w:rFonts w:ascii="Times New Roman" w:hAnsi="Times New Roman"/>
          <w:caps w:val="false"/>
          <w:smallCaps w:val="false"/>
          <w:sz w:val="20"/>
        </w:rPr>
        <w:t>$55,000</w:t>
      </w:r>
      <w:r>
        <w:rPr>
          <w:rFonts w:ascii="Times New Roman" w:hAnsi="Times New Roman"/>
          <w:caps w:val="false"/>
          <w:smallCaps w:val="false"/>
          <w:sz w:val="20"/>
        </w:rPr>
        <w:t xml:space="preserve"> per year to the chairperson of the Board; (iii) </w:t>
      </w:r>
      <w:r>
        <w:rPr>
          <w:rStyle w:val="Emphasis"/>
          <w:rFonts w:ascii="Times New Roman" w:hAnsi="Times New Roman"/>
          <w:caps w:val="false"/>
          <w:smallCaps w:val="false"/>
          <w:sz w:val="20"/>
        </w:rPr>
        <w:t>$20,000</w:t>
      </w:r>
      <w:r>
        <w:rPr>
          <w:rFonts w:ascii="Times New Roman" w:hAnsi="Times New Roman"/>
          <w:caps w:val="false"/>
          <w:smallCaps w:val="false"/>
          <w:sz w:val="20"/>
        </w:rPr>
        <w:t xml:space="preserve"> per year to the chairperson of the Audit Committee; (iv) </w:t>
      </w:r>
      <w:r>
        <w:rPr>
          <w:rStyle w:val="Emphasis"/>
          <w:rFonts w:ascii="Times New Roman" w:hAnsi="Times New Roman"/>
          <w:caps w:val="false"/>
          <w:smallCaps w:val="false"/>
          <w:sz w:val="20"/>
        </w:rPr>
        <w:t>$15,000</w:t>
      </w:r>
      <w:r>
        <w:rPr>
          <w:rFonts w:ascii="Times New Roman" w:hAnsi="Times New Roman"/>
          <w:caps w:val="false"/>
          <w:smallCaps w:val="false"/>
          <w:sz w:val="20"/>
        </w:rPr>
        <w:t xml:space="preserve"> per year to the chairperson of the Compensation Committee ; (v) </w:t>
      </w:r>
      <w:r>
        <w:rPr>
          <w:rStyle w:val="Emphasis"/>
          <w:rFonts w:ascii="Times New Roman" w:hAnsi="Times New Roman"/>
          <w:caps w:val="false"/>
          <w:smallCaps w:val="false"/>
          <w:sz w:val="20"/>
        </w:rPr>
        <w:t>$10,000</w:t>
      </w:r>
      <w:r>
        <w:rPr>
          <w:rFonts w:ascii="Times New Roman" w:hAnsi="Times New Roman"/>
          <w:caps w:val="false"/>
          <w:smallCaps w:val="false"/>
          <w:sz w:val="20"/>
        </w:rPr>
        <w:t xml:space="preserve"> per year to other members of the Audit Committee; and (vi) </w:t>
      </w:r>
      <w:r>
        <w:rPr>
          <w:rStyle w:val="Emphasis"/>
          <w:rFonts w:ascii="Times New Roman" w:hAnsi="Times New Roman"/>
          <w:caps w:val="false"/>
          <w:smallCaps w:val="false"/>
          <w:sz w:val="20"/>
        </w:rPr>
        <w:t>$7,500</w:t>
      </w:r>
      <w:r>
        <w:rPr>
          <w:rFonts w:ascii="Times New Roman" w:hAnsi="Times New Roman"/>
          <w:caps w:val="false"/>
          <w:smallCaps w:val="false"/>
          <w:sz w:val="20"/>
        </w:rPr>
        <w:t xml:space="preserve"> to other members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16, 2024, </w:t>
      </w:r>
      <w:r>
        <w:rPr>
          <w:rFonts w:ascii="Times New Roman" w:hAnsi="Times New Roman"/>
          <w:caps w:val="false"/>
          <w:smallCaps w:val="false"/>
          <w:sz w:val="20"/>
        </w:rPr>
        <w:t xml:space="preserve">Mr. William Kurtz and the Company entered into an Advisor Agreement effective </w:t>
      </w:r>
      <w:r>
        <w:rPr>
          <w:rStyle w:val="Emphasis"/>
          <w:rFonts w:ascii="Times New Roman" w:hAnsi="Times New Roman"/>
          <w:caps w:val="false"/>
          <w:smallCaps w:val="false"/>
          <w:sz w:val="20"/>
        </w:rPr>
        <w:t>August 1, 2024 (</w:t>
      </w:r>
      <w:r>
        <w:rPr>
          <w:rFonts w:ascii="Times New Roman" w:hAnsi="Times New Roman"/>
          <w:caps w:val="false"/>
          <w:smallCaps w:val="false"/>
          <w:sz w:val="20"/>
        </w:rPr>
        <w:t xml:space="preserve">the “Advisor Agreement”), pursuant to which Mr. Kurtz acts as an advisor to senior management of the Company. The initial term of the Advisor Agreement was for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and, subject to the agreement of the Company and Mr. Kurtz,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extended for an additional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 Mr. Kurtz is paid </w:t>
      </w:r>
      <w:r>
        <w:rPr>
          <w:rStyle w:val="Emphasis"/>
          <w:rFonts w:ascii="Times New Roman" w:hAnsi="Times New Roman"/>
          <w:caps w:val="false"/>
          <w:smallCaps w:val="false"/>
          <w:sz w:val="20"/>
        </w:rPr>
        <w:t>$8,750</w:t>
      </w:r>
      <w:r>
        <w:rPr>
          <w:rFonts w:ascii="Times New Roman" w:hAnsi="Times New Roman"/>
          <w:caps w:val="false"/>
          <w:smallCaps w:val="false"/>
          <w:sz w:val="20"/>
        </w:rPr>
        <w:t xml:space="preserve"> per month for his services pursuant to the Advisor Agreement. Upon expiration of the initial term, the Advisor Agreement was extended on a month-to-month basis.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summary information concerning compensation paid or accrued to the members of our Board for services rendered to us for the fiscal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871" w:type="dxa"/>
        <w:jc w:val="left"/>
        <w:tblInd w:w="0" w:type="dxa"/>
        <w:tblLayout w:type="fixed"/>
        <w:tblCellMar>
          <w:top w:w="0" w:type="dxa"/>
          <w:left w:w="0" w:type="dxa"/>
          <w:bottom w:w="0" w:type="dxa"/>
          <w:right w:w="0" w:type="dxa"/>
        </w:tblCellMar>
      </w:tblPr>
      <w:tblGrid>
        <w:gridCol w:w="1490"/>
        <w:gridCol w:w="60"/>
        <w:gridCol w:w="368"/>
        <w:gridCol w:w="2051"/>
        <w:gridCol w:w="60"/>
        <w:gridCol w:w="60"/>
        <w:gridCol w:w="241"/>
        <w:gridCol w:w="1053"/>
        <w:gridCol w:w="60"/>
        <w:gridCol w:w="60"/>
        <w:gridCol w:w="205"/>
        <w:gridCol w:w="969"/>
        <w:gridCol w:w="60"/>
        <w:gridCol w:w="60"/>
        <w:gridCol w:w="388"/>
        <w:gridCol w:w="1686"/>
        <w:gridCol w:w="60"/>
        <w:gridCol w:w="60"/>
        <w:gridCol w:w="125"/>
        <w:gridCol w:w="695"/>
        <w:gridCol w:w="6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 Earned or Paid in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lineRule="auto" w:line="288" w:before="0" w:after="0"/>
              <w:ind w:left="0" w:right="0" w:hanging="0"/>
              <w:jc w:val="left"/>
              <w:rPr/>
            </w:pPr>
            <w:r>
              <w:rPr>
                <w:rFonts w:ascii="Times New Roman;Times;serif" w:hAnsi="Times New Roman;Times;serif"/>
                <w:b/>
                <w:caps w:val="false"/>
                <w:smallCaps w:val="false"/>
                <w:sz w:val="20"/>
              </w:rPr>
              <w:t>Name(</w:t>
            </w: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ind w:left="0" w:right="0" w:hanging="0"/>
              <w:jc w:val="left"/>
              <w:rPr/>
            </w:pPr>
            <w:r>
              <w:rPr/>
              <w:t> </w:t>
            </w:r>
          </w:p>
        </w:tc>
        <w:tc>
          <w:tcPr>
            <w:tcW w:w="24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2</w:t>
            </w: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H. Kurtz</w:t>
            </w:r>
          </w:p>
        </w:tc>
        <w:tc>
          <w:tcPr>
            <w:tcW w:w="60" w:type="dxa"/>
            <w:tcBorders/>
            <w:shd w:fill="CCEEFF" w:val="clear"/>
            <w:vAlign w:val="center"/>
          </w:tcPr>
          <w:p>
            <w:pPr>
              <w:pStyle w:val="TableContents"/>
              <w:bidi w:val="0"/>
              <w:spacing w:before="0" w:after="283"/>
              <w:ind w:left="0" w:right="0" w:hanging="0"/>
              <w:jc w:val="left"/>
              <w:rPr/>
            </w:pPr>
            <w:r>
              <w:rPr/>
              <w:t> </w:t>
            </w:r>
          </w:p>
        </w:tc>
        <w:tc>
          <w:tcPr>
            <w:tcW w:w="3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227,500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99,884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ind w:left="0" w:right="0" w:hanging="0"/>
              <w:jc w:val="left"/>
              <w:rPr/>
            </w:pPr>
            <w:r>
              <w:rPr/>
              <w:t> </w:t>
            </w:r>
          </w:p>
        </w:tc>
        <w:tc>
          <w:tcPr>
            <w:tcW w:w="16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327,384</w:t>
            </w:r>
          </w:p>
        </w:tc>
        <w:tc>
          <w:tcPr>
            <w:tcW w:w="6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lineRule="auto" w:line="288" w:before="0" w:after="0"/>
              <w:ind w:left="0" w:right="0" w:hanging="0"/>
              <w:jc w:val="left"/>
              <w:rPr/>
            </w:pPr>
            <w:r>
              <w:rPr>
                <w:rFonts w:ascii="Times New Roman;Times;serif" w:hAnsi="Times New Roman;Times;serif"/>
                <w:caps w:val="false"/>
                <w:smallCaps w:val="false"/>
                <w:sz w:val="20"/>
              </w:rPr>
              <w:t>Bari A. Harlam (</w:t>
            </w:r>
            <w:r>
              <w:rPr>
                <w:rStyle w:val="Emphasis"/>
                <w:rFonts w:ascii="Times New Roman;Times;serif" w:hAnsi="Times New Roman;Times;serif"/>
                <w:caps w:val="false"/>
                <w:smallCaps w:val="false"/>
                <w:sz w:val="20"/>
              </w:rPr>
              <w:t>4</w:t>
            </w: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73,859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99,884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68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173,743</w:t>
            </w:r>
          </w:p>
        </w:tc>
        <w:tc>
          <w:tcPr>
            <w:tcW w:w="6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lineRule="auto" w:line="288" w:before="0" w:after="0"/>
              <w:ind w:left="0" w:right="0" w:hanging="0"/>
              <w:jc w:val="left"/>
              <w:rPr/>
            </w:pPr>
            <w:r>
              <w:rPr>
                <w:rFonts w:ascii="Times New Roman;Times;serif" w:hAnsi="Times New Roman;Times;serif"/>
                <w:caps w:val="false"/>
                <w:smallCaps w:val="false"/>
                <w:sz w:val="20"/>
              </w:rPr>
              <w:t>Sarah Liebel(</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37,011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ind w:left="0" w:right="0" w:hanging="0"/>
              <w:jc w:val="left"/>
              <w:rPr/>
            </w:pPr>
            <w:r>
              <w:rPr/>
              <w:t> </w:t>
            </w:r>
          </w:p>
        </w:tc>
        <w:tc>
          <w:tcPr>
            <w:tcW w:w="16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37,011</w:t>
            </w:r>
          </w:p>
        </w:tc>
        <w:tc>
          <w:tcPr>
            <w:tcW w:w="6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p>
        </w:tc>
        <w:tc>
          <w:tcPr>
            <w:tcW w:w="60" w:type="dxa"/>
            <w:tcBorders/>
            <w:shd w:fill="FFFFFF" w:val="clear"/>
            <w:vAlign w:val="center"/>
          </w:tcPr>
          <w:p>
            <w:pPr>
              <w:pStyle w:val="TableContents"/>
              <w:bidi w:val="0"/>
              <w:spacing w:before="0" w:after="283"/>
              <w:ind w:left="0" w:right="0" w:hanging="0"/>
              <w:jc w:val="left"/>
              <w:rPr/>
            </w:pPr>
            <w:r>
              <w:rPr/>
              <w:t> </w:t>
            </w:r>
          </w:p>
        </w:tc>
        <w:tc>
          <w:tcPr>
            <w:tcW w:w="3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99,884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68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177,384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38"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Arturo Rodriguez, our Chief Executive Officer did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receive compensation for services as a director as he was an employee of the Company while serving on the Board. Mr. Rodriguez’s compensation is included in the section entitled “Summary Compensation Table” of this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-K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1006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amounts in this column represent the aggregate grant date fair value of the restricted stock awards computed in accordance with FASB ASC Topic </w:t>
            </w:r>
            <w:r>
              <w:rPr>
                <w:rStyle w:val="Emphasis"/>
                <w:rFonts w:ascii="Times New Roman;Times;serif" w:hAnsi="Times New Roman;Times;serif"/>
                <w:caps w:val="false"/>
                <w:smallCaps w:val="false"/>
                <w:sz w:val="20"/>
              </w:rPr>
              <w:t>718.</w:t>
            </w:r>
            <w:r>
              <w:rPr>
                <w:rFonts w:ascii="Times New Roman;Times;serif" w:hAnsi="Times New Roman;Times;serif"/>
                <w:caps w:val="false"/>
                <w:smallCaps w:val="false"/>
                <w:sz w:val="20"/>
              </w:rPr>
              <w:t xml:space="preserve"> Assumptions used in the calculation of these amounts are included in Note </w:t>
            </w:r>
            <w:r>
              <w:rPr>
                <w:rStyle w:val="Emphasis"/>
                <w:rFonts w:ascii="Times New Roman;Times;serif" w:hAnsi="Times New Roman;Times;serif"/>
                <w:caps w:val="false"/>
                <w:smallCaps w:val="false"/>
                <w:sz w:val="20"/>
              </w:rPr>
              <w:t>11</w:t>
            </w:r>
            <w:r>
              <w:rPr>
                <w:rFonts w:ascii="Times New Roman;Times;serif" w:hAnsi="Times New Roman;Times;serif"/>
                <w:caps w:val="false"/>
                <w:smallCaps w:val="false"/>
                <w:sz w:val="20"/>
              </w:rPr>
              <w:t xml:space="preserve"> to our Consolidated Financial Statements included in this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These amounts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reflect the actual economic value that will be realized by the director upon the vesting of the restricted stock awards or the sale of the common stock underlying such restricted stock awards. As of </w:t>
            </w:r>
            <w:r>
              <w:rPr>
                <w:rStyle w:val="Emphasis"/>
                <w:rFonts w:ascii="Times New Roman;Times;serif" w:hAnsi="Times New Roman;Times;serif"/>
                <w:caps w:val="false"/>
                <w:smallCaps w:val="false"/>
                <w:sz w:val="20"/>
              </w:rPr>
              <w:t>December 31, 2025</w:t>
            </w:r>
            <w:r>
              <w:rPr>
                <w:rFonts w:ascii="Times New Roman;Times;serif" w:hAnsi="Times New Roman;Times;serif"/>
                <w:caps w:val="false"/>
                <w:smallCaps w:val="false"/>
                <w:sz w:val="20"/>
              </w:rPr>
              <w:t xml:space="preserve">, our non-employee directors held the following number of shares of restricted common stock: Ms. Harlam </w:t>
            </w:r>
            <w:r>
              <w:rPr>
                <w:rStyle w:val="Emphasis"/>
                <w:rFonts w:ascii="Times New Roman;Times;serif" w:hAnsi="Times New Roman;Times;serif"/>
                <w:caps w:val="false"/>
                <w:smallCaps w:val="false"/>
                <w:sz w:val="20"/>
              </w:rPr>
              <w:t>137,260</w:t>
            </w:r>
            <w:r>
              <w:rPr>
                <w:rFonts w:ascii="Times New Roman;Times;serif" w:hAnsi="Times New Roman;Times;serif"/>
                <w:caps w:val="false"/>
                <w:smallCaps w:val="false"/>
                <w:sz w:val="20"/>
              </w:rPr>
              <w:t xml:space="preserve"> shares; Ms. Lattmann </w:t>
            </w:r>
            <w:r>
              <w:rPr>
                <w:rStyle w:val="Emphasis"/>
                <w:rFonts w:ascii="Times New Roman;Times;serif" w:hAnsi="Times New Roman;Times;serif"/>
                <w:caps w:val="false"/>
                <w:smallCaps w:val="false"/>
                <w:sz w:val="20"/>
              </w:rPr>
              <w:t>136,910</w:t>
            </w:r>
            <w:r>
              <w:rPr>
                <w:rFonts w:ascii="Times New Roman;Times;serif" w:hAnsi="Times New Roman;Times;serif"/>
                <w:caps w:val="false"/>
                <w:smallCaps w:val="false"/>
                <w:sz w:val="20"/>
              </w:rPr>
              <w:t> shares; and Mr. Kurtz </w:t>
            </w:r>
            <w:r>
              <w:rPr>
                <w:rStyle w:val="Emphasis"/>
                <w:rFonts w:ascii="Times New Roman;Times;serif" w:hAnsi="Times New Roman;Times;serif"/>
                <w:caps w:val="false"/>
                <w:smallCaps w:val="false"/>
                <w:sz w:val="20"/>
              </w:rPr>
              <w:t>115,528</w:t>
            </w:r>
            <w:r>
              <w:rPr>
                <w:rFonts w:ascii="Times New Roman;Times;serif" w:hAnsi="Times New Roman;Times;serif"/>
                <w:caps w:val="false"/>
                <w:smallCaps w:val="false"/>
                <w:sz w:val="20"/>
              </w:rPr>
              <w:t xml:space="preserve"> shares.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10012" w:type="dxa"/>
            <w:tcBorders/>
            <w:vAlign w:val="center"/>
          </w:tcPr>
          <w:p>
            <w:pPr>
              <w:pStyle w:val="TableContents"/>
              <w:bidi w:val="0"/>
              <w:spacing w:before="0" w:after="283"/>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June 24, 2025, </w:t>
            </w:r>
            <w:r>
              <w:rPr>
                <w:rFonts w:ascii="Times New Roman;Times;serif" w:hAnsi="Times New Roman;Times;serif"/>
                <w:sz w:val="20"/>
              </w:rPr>
              <w:t xml:space="preserve">Sarah Liebel notified the Board of Directors of her intent to </w:t>
            </w:r>
            <w:r>
              <w:rPr>
                <w:rStyle w:val="Emphasis"/>
                <w:rFonts w:ascii="Times New Roman;Times;serif" w:hAnsi="Times New Roman;Times;serif"/>
                <w:sz w:val="20"/>
              </w:rPr>
              <w:t>not</w:t>
            </w:r>
            <w:r>
              <w:rPr>
                <w:rFonts w:ascii="Times New Roman;Times;serif" w:hAnsi="Times New Roman;Times;serif"/>
                <w:sz w:val="20"/>
              </w:rPr>
              <w:t xml:space="preserve"> stand for reelection at the Company’s </w:t>
            </w:r>
            <w:r>
              <w:rPr>
                <w:rStyle w:val="Emphasis"/>
                <w:rFonts w:ascii="Times New Roman;Times;serif" w:hAnsi="Times New Roman;Times;serif"/>
                <w:sz w:val="20"/>
              </w:rPr>
              <w:t>2025</w:t>
            </w:r>
            <w:r>
              <w:rPr>
                <w:rFonts w:ascii="Times New Roman;Times;serif" w:hAnsi="Times New Roman;Times;serif"/>
                <w:sz w:val="20"/>
              </w:rPr>
              <w:t xml:space="preserve"> Annual Meeting of Stockholders and to retire from the Board effective as of the conclusion of the Annual Meeting on </w:t>
            </w:r>
            <w:r>
              <w:rPr>
                <w:rStyle w:val="Emphasis"/>
                <w:rFonts w:ascii="Times New Roman;Times;serif" w:hAnsi="Times New Roman;Times;serif"/>
                <w:sz w:val="20"/>
              </w:rPr>
              <w:t>August 12,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w:t>
            </w:r>
            <w:r>
              <w:rPr>
                <w:rFonts w:ascii="Times New Roman;Times;serif" w:hAnsi="Times New Roman;Times;serif"/>
                <w:caps w:val="false"/>
                <w:smallCaps w:val="false"/>
                <w:sz w:val="20"/>
              </w:rPr>
              <w:t>)</w:t>
            </w:r>
          </w:p>
        </w:tc>
        <w:tc>
          <w:tcPr>
            <w:tcW w:w="9990" w:type="dxa"/>
            <w:tcBorders/>
            <w:vAlign w:val="center"/>
          </w:tcPr>
          <w:p>
            <w:pPr>
              <w:pStyle w:val="TableContents"/>
              <w:bidi w:val="0"/>
              <w:spacing w:before="0" w:after="283"/>
              <w:jc w:val="left"/>
              <w:rPr/>
            </w:pPr>
            <w:r>
              <w:rPr>
                <w:rFonts w:ascii="Times New Roman;Times;serif" w:hAnsi="Times New Roman;Times;serif"/>
                <w:sz w:val="20"/>
              </w:rPr>
              <w:t xml:space="preserve">Director fees for Ms. Harlam include an excess payment of approximately </w:t>
            </w:r>
            <w:r>
              <w:rPr>
                <w:rStyle w:val="Emphasis"/>
                <w:rFonts w:ascii="Times New Roman;Times;serif" w:hAnsi="Times New Roman;Times;serif"/>
                <w:sz w:val="20"/>
              </w:rPr>
              <w:t>$3</w:t>
            </w:r>
            <w:r>
              <w:rPr>
                <w:rFonts w:ascii="Times New Roman;Times;serif" w:hAnsi="Times New Roman;Times;serif"/>
                <w:sz w:val="20"/>
              </w:rPr>
              <w:t xml:space="preserve"> thousand, which the Company will offset against her scheduled compensation for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Compensation Committee consists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directors, each of whom is a non-employee director: Ms. Harlam, Mr. Kurtz and Ms. Lattmann with Ms. Harlam serving as the Chairperson of the Compensation Committee.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foregoing were an officer or employee of ours, was formerly an officer of ours or had any relationship requiring disclosure by us under Item </w:t>
      </w:r>
      <w:r>
        <w:rPr>
          <w:rStyle w:val="Emphasis"/>
          <w:rFonts w:ascii="Times New Roman" w:hAnsi="Times New Roman"/>
          <w:caps w:val="false"/>
          <w:smallCaps w:val="false"/>
          <w:sz w:val="20"/>
        </w:rPr>
        <w:t>404</w:t>
      </w:r>
      <w:r>
        <w:rPr>
          <w:rFonts w:ascii="Times New Roman" w:hAnsi="Times New Roman"/>
          <w:caps w:val="false"/>
          <w:smallCaps w:val="false"/>
          <w:sz w:val="20"/>
        </w:rPr>
        <w:t xml:space="preserve"> of Regulation S-K.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interlocking relationship as described in Item </w:t>
      </w:r>
      <w:r>
        <w:rPr>
          <w:rStyle w:val="Emphasis"/>
          <w:rFonts w:ascii="Times New Roman" w:hAnsi="Times New Roman"/>
          <w:caps w:val="false"/>
          <w:smallCaps w:val="false"/>
          <w:sz w:val="20"/>
        </w:rPr>
        <w:t>407</w:t>
      </w:r>
      <w:r>
        <w:rPr>
          <w:rFonts w:ascii="Times New Roman" w:hAnsi="Times New Roman"/>
          <w:caps w:val="false"/>
          <w:smallCaps w:val="false"/>
          <w:sz w:val="20"/>
        </w:rPr>
        <w:t>(e)(</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of Regulation S-K exists between any of our executive officers or Compensation Committee members,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hand, and the executive officers or compensation committee members of any other entity, on the other hand, nor has any such interlocking relationship existed in the past.</w:t>
        <w:b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0" w:name="item12"/>
      <w:bookmarkEnd w:id="30"/>
      <w:r>
        <w:rPr>
          <w:rFonts w:ascii="Times New Roman" w:hAnsi="Times New Roman"/>
          <w:b/>
          <w:caps w:val="false"/>
          <w:smallCaps w:val="false"/>
          <w:sz w:val="20"/>
        </w:rPr>
        <w:t xml:space="preserve">Item 12. Security Ownership of Certain Beneficial Owners and Management and Related Stockholder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additional information as of December 31, 2025 with respect to the shares of common stock that may be issued upon the exercise of options and other rights under our existing equity compensation plans and arrangements in effect as of December 31, 2025. The information includes the number of shares covered by, and the weighted average exercise price of, outstanding options and the number of shares remaining available for future grant, excluding the shares to be issued upon exercise of outstanding options.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9"/>
        <w:gridCol w:w="60"/>
        <w:gridCol w:w="207"/>
        <w:gridCol w:w="2043"/>
        <w:gridCol w:w="60"/>
        <w:gridCol w:w="60"/>
        <w:gridCol w:w="444"/>
        <w:gridCol w:w="2101"/>
        <w:gridCol w:w="60"/>
        <w:gridCol w:w="60"/>
        <w:gridCol w:w="206"/>
        <w:gridCol w:w="2952"/>
        <w:gridCol w:w="63"/>
      </w:tblGrid>
      <w:tr>
        <w:trPr/>
        <w:tc>
          <w:tcPr>
            <w:tcW w:w="18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to be issued upon exercise of outstanding options, warrants and rights(a)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5"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 of outstanding options, warrants and rights(b)(1)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remaining available for future issuance under equity compensation plans (excluding securities reflected in column(a)(c)(2)</w:t>
            </w:r>
          </w:p>
        </w:tc>
        <w:tc>
          <w:tcPr>
            <w:tcW w:w="63" w:type="dxa"/>
            <w:tcBorders/>
            <w:shd w:fill="FFFFFF" w:val="clear"/>
            <w:vAlign w:val="center"/>
          </w:tcPr>
          <w:p>
            <w:pPr>
              <w:pStyle w:val="TableContents"/>
              <w:bidi w:val="0"/>
              <w:spacing w:before="0" w:after="283"/>
              <w:jc w:val="left"/>
              <w:rPr/>
            </w:pPr>
            <w:r>
              <w:rPr/>
              <w:t> </w:t>
            </w:r>
          </w:p>
        </w:tc>
      </w:tr>
      <w:tr>
        <w:trPr/>
        <w:tc>
          <w:tcPr>
            <w:tcW w:w="1889"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holders(3)(4)</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20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2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828,316</w:t>
            </w:r>
          </w:p>
        </w:tc>
        <w:tc>
          <w:tcPr>
            <w:tcW w:w="63" w:type="dxa"/>
            <w:tcBorders/>
            <w:shd w:fill="CCEEFF" w:val="clear"/>
            <w:vAlign w:val="center"/>
          </w:tcPr>
          <w:p>
            <w:pPr>
              <w:pStyle w:val="TableContents"/>
              <w:bidi w:val="0"/>
              <w:spacing w:before="0" w:after="283"/>
              <w:jc w:val="left"/>
              <w:rPr/>
            </w:pPr>
            <w:r>
              <w:rPr/>
              <w:t> </w:t>
            </w:r>
          </w:p>
        </w:tc>
      </w:tr>
      <w:tr>
        <w:trPr/>
        <w:tc>
          <w:tcPr>
            <w:tcW w:w="1889"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holders(5)</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193,476</w:t>
            </w:r>
          </w:p>
        </w:tc>
        <w:tc>
          <w:tcPr>
            <w:tcW w:w="63" w:type="dxa"/>
            <w:tcBorders/>
            <w:shd w:fill="FFFFFF" w:val="clear"/>
            <w:vAlign w:val="center"/>
          </w:tcPr>
          <w:p>
            <w:pPr>
              <w:pStyle w:val="TableContents"/>
              <w:bidi w:val="0"/>
              <w:spacing w:before="0" w:after="283"/>
              <w:jc w:val="left"/>
              <w:rPr/>
            </w:pPr>
            <w:r>
              <w:rPr/>
              <w:t> </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1,021,792</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245"/>
        <w:gridCol w:w="78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the weighted average exercise price of outstanding options as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entirely of shares of common stock that remain available for future issuance under the 2018 Plan as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options outstanding as of December 31, 2025 under the 2018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our common stock available for issuance under the 2018 Plan will automatically increase on January 1st of each year, for a period of not more than nine years, beginning January 1, 2020 and ending on (and including) January 1, 2028 by the lesser of (i) 15% of the shares deemed outstanding as of the preceding December 31, minus the number of shares in the share reserve (which for this purpose includes shares issued and issuable pursuant to the Aterian Group, Inc. Amended and Restated 2014 Equity Incentive Plan (the “2014 Plan”) as of immediately prior to the increase, or (ii) such number of shares as determined by our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7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options outstanding as of December 31, 2025 under the 2014 Plan and securities remaining available for future issuance for the Inducement 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as of March 12, 2026, with respect to the beneficial ownership of shares of our common stock by:</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60"/>
        <w:gridCol w:w="110"/>
        <w:gridCol w:w="17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of our directors;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60"/>
        <w:gridCol w:w="110"/>
        <w:gridCol w:w="31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of the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0"/>
        <w:gridCol w:w="110"/>
        <w:gridCol w:w="52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of our current directors and executive officers as a group;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or group of affiliated persons, known to us to be the beneficial owner of more than five percent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table is based upon information supplied by officers, directors and principal stockholders and a review of Section 16 filings and/or Schedules 13D and 13G, if any, filed with the SEC. Other than as set forth below, we are not aware of any beneficial owner of more than five percent of our common stock as of March 12, 2026.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determined beneficial ownership in accordance with the rules of the SEC. We have deemed shares of our common stock subject to warrants and options that are currently exercisable or exercisable within 60 days of March 12, 2026 to be outstanding and to be beneficially owned by the person holding the option for the purpose of computing the percentage ownership of that person but have not treated them as outstanding for the purpose of computing the percentage ownership of any other person. Percentage ownership of our common stock is based on 10,823,802 shares of our common stock outstanding as of March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noted below, the address of each beneficial owner listed in the table is c/o Aterian, Inc., 350 Springfield Avenue, Suite 200, Summit, NJ 07901.</w:t>
      </w:r>
    </w:p>
    <w:p>
      <w:pPr>
        <w:pStyle w:val="TextBody"/>
        <w:bidi w:val="0"/>
        <w:spacing w:before="0" w:after="0"/>
        <w:ind w:left="0" w:right="0" w:hanging="0"/>
        <w:jc w:val="both"/>
        <w:rPr>
          <w:caps w:val="false"/>
          <w:smallCaps w:val="false"/>
        </w:rPr>
      </w:pPr>
      <w:r>
        <w:rPr>
          <w:caps w:val="false"/>
          <w:smallCaps w:val="false"/>
        </w:rPr>
        <w:t> </w:t>
      </w:r>
    </w:p>
    <w:tbl>
      <w:tblPr>
        <w:tblW w:w="8892" w:type="dxa"/>
        <w:jc w:val="left"/>
        <w:tblInd w:w="0" w:type="dxa"/>
        <w:tblLayout w:type="fixed"/>
        <w:tblCellMar>
          <w:top w:w="0" w:type="dxa"/>
          <w:left w:w="0" w:type="dxa"/>
          <w:bottom w:w="0" w:type="dxa"/>
          <w:right w:w="0" w:type="dxa"/>
        </w:tblCellMar>
      </w:tblPr>
      <w:tblGrid>
        <w:gridCol w:w="5270"/>
        <w:gridCol w:w="60"/>
        <w:gridCol w:w="115"/>
        <w:gridCol w:w="1627"/>
        <w:gridCol w:w="674"/>
        <w:gridCol w:w="115"/>
        <w:gridCol w:w="115"/>
        <w:gridCol w:w="731"/>
        <w:gridCol w:w="18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Beneficial Ownership of Common Stock</w:t>
            </w:r>
          </w:p>
        </w:tc>
        <w:tc>
          <w:tcPr>
            <w:tcW w:w="18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74"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18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Greater than 5% Stockholders: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Armistice Capital Master Fund Ltd.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1,173,359</w:t>
            </w:r>
          </w:p>
        </w:tc>
        <w:tc>
          <w:tcPr>
            <w:tcW w:w="674"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(2)</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Named Executive Officers and Directors: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27"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1,022,780</w:t>
            </w:r>
          </w:p>
        </w:tc>
        <w:tc>
          <w:tcPr>
            <w:tcW w:w="674"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(3)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497,442</w:t>
            </w:r>
          </w:p>
        </w:tc>
        <w:tc>
          <w:tcPr>
            <w:tcW w:w="674"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Kurtz</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155,922</w:t>
            </w:r>
          </w:p>
        </w:tc>
        <w:tc>
          <w:tcPr>
            <w:tcW w:w="674"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Bari A. Harlam</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161,991</w:t>
            </w:r>
          </w:p>
        </w:tc>
        <w:tc>
          <w:tcPr>
            <w:tcW w:w="674"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162,465</w:t>
            </w:r>
          </w:p>
        </w:tc>
        <w:tc>
          <w:tcPr>
            <w:tcW w:w="674"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current executive officers and directors as a group (5 persons)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2,000,601</w:t>
            </w:r>
          </w:p>
        </w:tc>
        <w:tc>
          <w:tcPr>
            <w:tcW w:w="674"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(8)</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each person and group included in this table, percentage ownership is calculated by dividing the number of shares beneficially owned by such person or group by the sum of the number of shares of common stock outstanding as of March 12, 2026, plus the number of shares of common stock that such person or group had the right to acquire within 60 days after March 12,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Comprises 1,173,359 warrants that are exercisable within 60 days after March 12, 2026. The securities are directly held by Armistice Capital Master Fund Ltd. (the “Master Fund”), a Cayman Islands exempted company, and may be deemed to be indirectly beneficially owned by (i) Armistice Capital, LLC (“Armistice”), as the investment manager of the Master Fund; and (ii) Steven Boyd, as the Managing Member of Armistice Capital. Armistice and Steven Boyd disclaim beneficial ownership of the reported securities except to the extent of their respective pecuniary interest therein.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Rodriguez’s holdings consist of (i) 503,254 shares of common stock held directly, (ii) 10,442 shares of common stock issuable pursuant to stock options that are exercisable within 60 days after March 12, 2026, (iii) 507,894 shares of restricted common stock that are subject to vesting, and (iv) 1,190 of warrants that are exercisable within 60 days after March 12, 2026.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Feldman's holdings consist of (i) 222,759 shares of common stock held directly, and (ii) 274,683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Kurtz’s holdings consist of (i) 97,397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Harlam’s holdings consist of (i) 103,466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Lattmann's holdings consist of (i) 103,940 shares of common stock held directly, and (ii) 58,525 shares of restricted common stock that are subject to vesting. The shares of restricted common stock have voting rights irrespective of any vesting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245"/>
        <w:gridCol w:w="644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Comprised of shares included under “Named Executive Officers and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Changes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not aware of any arrangements, including by pledge by any person of securities of the Company, of any operation which may at a subsequent date result in a change in control of the Company.</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1" w:name="item13"/>
      <w:bookmarkEnd w:id="31"/>
      <w:r>
        <w:rPr>
          <w:rFonts w:ascii="Times New Roman" w:hAnsi="Times New Roman"/>
          <w:b/>
          <w:caps w:val="false"/>
          <w:smallCaps w:val="false"/>
          <w:sz w:val="20"/>
        </w:rPr>
        <w:t xml:space="preserve">Item 13. Certain Relationships and Related Transactions, and Director 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than the director and executive officer compensation arrangements discussed in Part II, Item 8 of this Annual Report on Form 10-K, there have not been any transactions since January 1, 2025 that need to be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Policies and Procedures for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has adopted a written related person transaction policy, effective as of June 14, 2019, administered by the Audit Committee. This policy applies, with certain exceptions set forth in Item 404 of Regulation S-K under the Securities Act of 1933, as amended (the “Securities Act”), to any transaction or series of transactions in which the Company is a participant, the amount involved exceeds the lesser of $120,000 and the average of our total assets at year-end for the last two completed fiscal years, and a related person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individual who is, or who has been at any time since the beginning of our last fiscal year, one of our directors or executive officers, or a nominee to become one of our directors, any person known to be the beneficial owner of more than 5% of any class of our voting securities or any immediate family member of any of the foregoing persons. Additionally, any firm, corporation or other entity by which any of the foregoing persons is employed or in which such person is a general partner or principal, or in a similar position, or in which such person has a 10% or greater beneficial ownership interest, will also be deemed to be a related person. Transactions involving compensation for services provided to us as an employee, consultant or director are not considered related-person transactions under this policy. As provided by our audit committee charter, our Audit Committee is responsible for reviewing and approving in advance any related party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requiring review are referred to the Audit Committee for approval, ratification or other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Nasdaq Rules, a majority of the members of our Board must satisfy the Nasdaq criteria for “independence.” No director qualifies as independent under the Nasdaq Rules unless our Board affirmatively determines that the director does not have a relationship with us that would impair independence (directly or as a partner, stockholder or officer of an organization that has a relationship with us). Our Board has determined that Mses. Harlam, Lattmann, and Mr. Kurtz are independent directors as defined under the Nasdaq Rules. Mr. Rodriguez is not independent under the Nasdaq Rules as a result of his position as our Chief Executive Officer.</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bookmarkStart w:id="32" w:name="item14"/>
      <w:bookmarkEnd w:id="32"/>
      <w:r>
        <w:rPr>
          <w:rFonts w:ascii="Times New Roman" w:hAnsi="Times New Roman"/>
          <w:b/>
          <w:caps w:val="false"/>
          <w:smallCaps w:val="false"/>
          <w:sz w:val="20"/>
        </w:rPr>
        <w:t>Item 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26, 2024, the Audit Committee of the Board of Directors of Aterian, Inc. (the "Company") approved the dismissal of Deloitte LLP (“Deloitte”) as the Company's independent registered public accounting firm and engaged UHY LLP (“UHY”) as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aggregate fees billed to us for the fiscal years-ended December 31, 2025 and December 31, 2024 by Deloitte and UHY, our independent registered public accounting firms for such periods, as well as CBIZ, Inc, our tax consultant. All fees described below were approved by the Audit Committee.</w:t>
      </w:r>
    </w:p>
    <w:p>
      <w:pPr>
        <w:pStyle w:val="TextBody"/>
        <w:bidi w:val="0"/>
        <w:spacing w:before="0" w:after="0"/>
        <w:ind w:left="0" w:right="0" w:hanging="0"/>
        <w:jc w:val="left"/>
        <w:rPr>
          <w:caps w:val="false"/>
          <w:smallCaps w:val="false"/>
        </w:rPr>
      </w:pPr>
      <w:r>
        <w:rPr>
          <w:caps w:val="false"/>
          <w:smallCaps w:val="false"/>
        </w:rPr>
        <w:t> </w:t>
      </w:r>
    </w:p>
    <w:tbl>
      <w:tblPr>
        <w:tblW w:w="4011" w:type="dxa"/>
        <w:jc w:val="left"/>
        <w:tblInd w:w="0" w:type="dxa"/>
        <w:tblLayout w:type="fixed"/>
        <w:tblCellMar>
          <w:top w:w="0" w:type="dxa"/>
          <w:left w:w="0" w:type="dxa"/>
          <w:bottom w:w="0" w:type="dxa"/>
          <w:right w:w="0" w:type="dxa"/>
        </w:tblCellMar>
      </w:tblPr>
      <w:tblGrid>
        <w:gridCol w:w="1115"/>
        <w:gridCol w:w="60"/>
        <w:gridCol w:w="197"/>
        <w:gridCol w:w="1097"/>
        <w:gridCol w:w="94"/>
        <w:gridCol w:w="94"/>
        <w:gridCol w:w="197"/>
        <w:gridCol w:w="1097"/>
        <w:gridCol w:w="60"/>
      </w:tblGrid>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December 31,</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Audit Fees(1)</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703,888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678,764</w:t>
            </w:r>
          </w:p>
        </w:tc>
        <w:tc>
          <w:tcPr>
            <w:tcW w:w="6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Tax Fees(2)</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142,821</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48,675</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846,709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727,439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consist of actual fees for professional services performed by UHY LLP and Deloitte LLP for the audit of our 2025 and 2024 annual financial statements and the review of quarterly financial statements for 2025 and 2024. During year ended December 31, 2025, we incurred $583,606 in audit fees related to professional services performed by UHY LLP and $100,282 in audit fees related to professional services performed by Deloitte LLP. For the year ended December 31, 2024, we incurred $528,250 in audit fees related to professional services performed by UHY LLP and $90,514 in audit fees related to professional services performed by Deloitte LLP. For the year ended December 31, 2025, audit fees also include $20,000 of 2025 fees for professional services performed by UHY LLP for reviews of registration statements and issuances of consents, comfort letters and services that are normally provided in connection with regulatory filings or engagements. For the year ended December 31, 2024, audit fees also include $60,000 of 2024 fees for professional services performed by Deloitte LLP for reviews of registration statements and issuances of consents, comfort letters and services that are normally provided in connection with regulatory filings or engagements. </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45"/>
        <w:gridCol w:w="414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41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fees for tax compliance and consulting.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Audit Committee</w:t>
      </w:r>
      <w:r>
        <w:rPr>
          <w:rFonts w:ascii="Times New Roman" w:hAnsi="Times New Roman"/>
          <w:caps w:val="false"/>
          <w:smallCaps w:val="false"/>
          <w:sz w:val="20"/>
        </w:rPr>
        <w:t>’</w:t>
      </w:r>
      <w:r>
        <w:rPr>
          <w:rFonts w:ascii="Times New Roman" w:hAnsi="Times New Roman"/>
          <w:b/>
          <w:caps w:val="false"/>
          <w:smallCaps w:val="false"/>
          <w:sz w:val="20"/>
        </w:rPr>
        <w:t>s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has adopted a policy for the pre-approval of audit and non-audit services rendered by our independent registered public accounting firm, UHY LLP. The policy generally allows for pre-approval of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By the adoption of this policy, the Audit Committee has delegated the authority to pre-approve services to the Chairperson of the Audit Committee,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has determined that the rendering of the services other than audit services by UHY LLP is compatible with maintaining the independent registered public accounting firm’s independence.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3" w:name="partIV"/>
      <w:bookmarkEnd w:id="33"/>
      <w:r>
        <w:rPr>
          <w:rFonts w:ascii="Times New Roman;Times;serif" w:hAnsi="Times New Roman;Times;serif"/>
          <w:b/>
          <w:sz w:val="20"/>
        </w:rPr>
        <w:t>PART IV</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4" w:name="item15"/>
      <w:bookmarkEnd w:id="34"/>
      <w:r>
        <w:rPr>
          <w:rFonts w:ascii="Times New Roman" w:hAnsi="Times New Roman"/>
          <w:b/>
          <w:caps w:val="false"/>
          <w:smallCaps w:val="false"/>
          <w:sz w:val="20"/>
        </w:rPr>
        <w:t xml:space="preserve">Item 15. Exhibits, Financial Statement Schedules.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sz w:val="20"/>
        </w:rPr>
      </w:pPr>
      <w:r>
        <w:rPr>
          <w:sz w:val="20"/>
        </w:rPr>
        <w:t xml:space="preserve">The Company’s consolidated financial statements are included beginning on page F-1.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 schedules have been omitted because they are not applicable, not required or the information required is included in the Company’s consolidated financial statements or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exhibits have been filed or are being filed herewith and are numbered in accordance with Item 601 of Regulation S-K: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636"/>
        <w:gridCol w:w="60"/>
        <w:gridCol w:w="500"/>
        <w:gridCol w:w="60"/>
        <w:gridCol w:w="774"/>
        <w:gridCol w:w="60"/>
        <w:gridCol w:w="604"/>
        <w:gridCol w:w="60"/>
        <w:gridCol w:w="666"/>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caps w:val="false"/>
                  <w:smallCaps w:val="false"/>
                  <w:sz w:val="20"/>
                </w:rPr>
                <w:t>Asset Purchase Agreement, dated December 1, 2020, by and among (i) Aterian, Inc. and Truweo, LLC, as Purchaser, (ii) 9830 Macarthur LLC, Reliance Equities Group, LLC and ZN Direct LLC, as Sellers and (iii) Jelena Puzovic, as Founder.</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12/1/2020</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Asset Purchase Agreement, dated February 2, 2021, by and among (i) Aterian, Inc. and Truweo, LLC, as Purchaser, (ii) Healing Solutions, LLC, (iii) Jason R. Hope, and (iv) for the purposes of Section 5.11 and Article VII, Super Transcontinental Holdings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2/3/2021</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caps w:val="false"/>
                  <w:smallCaps w:val="false"/>
                  <w:sz w:val="20"/>
                </w:rPr>
                <w:t>Asset Purchase Agreement, dated May 5, 2021, by and among (i) the Company and Truweo, LLC, as Purchaser, (ii) Squatty Potty, LLC, and (iii) for the purposes of Section 5.7, Section 5.8, Section 5.11, Section 5.13 and Article VII, Edwards SP Holdings, LLC, Team Lindsey, LLC, SLEKT Investments, LLC, Sachs Capital Fund II, LLC, Sachs Capital-Squatty, LLC and Bevel Acquisition II,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5/11/2021</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caps w:val="false"/>
                  <w:smallCaps w:val="false"/>
                  <w:sz w:val="20"/>
                </w:rPr>
                <w:t>Stock Purchase Agreement, dated May 5, 2021, by and among (i) the Company and Truweo, LLC, as Purchaser, (ii) Photo Paper Direct Ltd, (iii) Josef Eitan, and (iv) Ran Nir.</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5/11/2021</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caps w:val="false"/>
                  <w:smallCaps w:val="false"/>
                  <w:sz w:val="20"/>
                </w:rPr>
                <w:t>Certificate of Correction of Certificate of Amendment to the Amended and Restated Certificate of Incorporation of Aterian,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4/30/2021</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caps w:val="false"/>
                  <w:smallCaps w:val="false"/>
                  <w:sz w:val="20"/>
                </w:rPr>
                <w:t>Amended and Restated Certificate of Incorporation of Aterian,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4/30/2021</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caps w:val="false"/>
                  <w:smallCaps w:val="false"/>
                  <w:sz w:val="20"/>
                </w:rPr>
                <w:t>Third Amended and Restated Bylaws of Aterian,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6/1/2022</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caps w:val="false"/>
                  <w:smallCaps w:val="false"/>
                  <w:sz w:val="20"/>
                </w:rPr>
                <w:t>Form of Common Stock Certificate.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S-1/A</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5/24/2020</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caps w:val="false"/>
                  <w:smallCaps w:val="false"/>
                  <w:sz w:val="20"/>
                </w:rPr>
                <w:t>Form of Registration Rights Agreement, dated as of April 6, 2018, among Aterian, Inc. and the purchasers party thereto.</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caps w:val="false"/>
                  <w:smallCaps w:val="false"/>
                  <w:sz w:val="20"/>
                </w:rPr>
                <w:t>Warrant to Purchase Stock, issued to MidCap Financial Trust on September 4, 2018.</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caps w:val="false"/>
                  <w:smallCaps w:val="false"/>
                  <w:sz w:val="20"/>
                </w:rPr>
                <w:t>Form of Warrant, issued to Katalyst Securities LLC and its assigns on September 4, 2018.</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caps w:val="false"/>
                  <w:smallCaps w:val="false"/>
                  <w:sz w:val="20"/>
                </w:rPr>
                <w:t>Form of Warrant, issued to Horizon Technology Finance Corporation on December 31, 2018.</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60" w:type="dxa"/>
            <w:tcBorders/>
            <w:vAlign w:val="center"/>
          </w:tcPr>
          <w:p>
            <w:pPr>
              <w:pStyle w:val="TableContents"/>
              <w:bidi w:val="0"/>
              <w:spacing w:before="0" w:after="283"/>
              <w:jc w:val="left"/>
              <w:rPr/>
            </w:pPr>
            <w:r>
              <w:rPr/>
              <w:t> </w:t>
            </w:r>
          </w:p>
        </w:tc>
        <w:tc>
          <w:tcPr>
            <w:tcW w:w="6636"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caps w:val="false"/>
                  <w:smallCaps w:val="false"/>
                  <w:sz w:val="20"/>
                </w:rPr>
                <w:t>Amendment No. 1 to Registration Rights Agreement, dated as of March 2, 2019, among Aterian, Inc. and the investors party thereto.</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6338"/>
        <w:gridCol w:w="60"/>
        <w:gridCol w:w="500"/>
        <w:gridCol w:w="60"/>
        <w:gridCol w:w="908"/>
        <w:gridCol w:w="60"/>
        <w:gridCol w:w="767"/>
        <w:gridCol w:w="60"/>
        <w:gridCol w:w="667"/>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3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caps w:val="false"/>
                  <w:smallCaps w:val="false"/>
                  <w:sz w:val="20"/>
                </w:rPr>
                <w:t>Warrant to Purchase Shares of Common Stock, issued to Third Creek Advisors, LLC on August 18, 2020.</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10-Q</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11/9/2021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caps w:val="false"/>
                  <w:smallCaps w:val="false"/>
                  <w:sz w:val="20"/>
                </w:rPr>
                <w:t>Form of Warrant to Purchase Stock, dated December 22,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12/27/2021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caps w:val="false"/>
                  <w:smallCaps w:val="false"/>
                  <w:sz w:val="20"/>
                </w:rPr>
                <w:t>Description of Securities of Aterian,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03/16/2023</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caps w:val="false"/>
                  <w:smallCaps w:val="false"/>
                  <w:sz w:val="20"/>
                </w:rPr>
                <w:t>Form of Indemnification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S-1/A</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5/24/2019</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caps w:val="false"/>
                  <w:smallCaps w:val="false"/>
                  <w:sz w:val="20"/>
                </w:rPr>
                <w:t>2014 Amended and Restated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caps w:val="false"/>
                  <w:smallCaps w:val="false"/>
                  <w:sz w:val="20"/>
                </w:rPr>
                <w:t>Form of Stock Option Grant Notice and Form of Stock Option Agreement (2014 Amended and Restated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caps w:val="false"/>
                  <w:smallCaps w:val="false"/>
                  <w:sz w:val="20"/>
                </w:rPr>
                <w:t>Amended and Restated 2018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S-8</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333-232087</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5/28/2021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caps w:val="false"/>
                  <w:smallCaps w:val="false"/>
                  <w:sz w:val="20"/>
                </w:rPr>
                <w:t>Form of Notice of Stock Option Grant and Form of Stock Option Award Agreement (2018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10.17</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caps w:val="false"/>
                  <w:smallCaps w:val="false"/>
                  <w:sz w:val="20"/>
                </w:rPr>
                <w:t>Form of Notice of Grant of Restricted Shares and Form of Restricted Share Award Agreement (2018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333-232087</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u w:val="single"/>
                </w:rPr>
                <w:t>Aterian, Inc. 2022 Inducement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05/27/2022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10.10</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hyperlink r:id="rId25">
              <w:r>
                <w:rPr>
                  <w:rStyle w:val="InternetLink"/>
                  <w:rFonts w:ascii="Times New Roman;Times;serif" w:hAnsi="Times New Roman;Times;serif"/>
                  <w:sz w:val="20"/>
                  <w:u w:val="single"/>
                </w:rPr>
                <w:t>Form of Stock Option Agreement under the Aterian, Inc. 2022 Inducement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333-265298</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05/27/2022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10.11</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u w:val="single"/>
                </w:rPr>
                <w:t>Form of Restricted Stock Unit Agreement under the Aterian, Inc. 2022 Inducement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333-265298</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05/27/2022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10.12</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hyperlink r:id="rId27">
              <w:r>
                <w:rPr>
                  <w:rStyle w:val="InternetLink"/>
                  <w:rFonts w:ascii="Times New Roman;Times;serif" w:hAnsi="Times New Roman;Times;serif"/>
                  <w:sz w:val="20"/>
                  <w:u w:val="single"/>
                </w:rPr>
                <w:t>Form of Restricted Stock Award Agreement under the Aterian, Inc. 2022 Inducement Equity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333-265298</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05/27/2022</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10.14#+</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caps w:val="false"/>
                  <w:smallCaps w:val="false"/>
                  <w:sz w:val="20"/>
                </w:rPr>
                <w:t>Employment Agreement dated November 27, 2018, by and between Aterian Group, Inc. and Roi Zahut.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10.16</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10.15</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caps w:val="false"/>
                  <w:smallCaps w:val="false"/>
                  <w:sz w:val="20"/>
                </w:rPr>
                <w:t>Restated Voting Agreement dated March 13, 2020, by and among MV II, LLC, Maximus Yaney, Larisa Storozhenko and Aterian,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S-1</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333-231381</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5/10/2019</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10.19</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10.16</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caps w:val="false"/>
                  <w:smallCaps w:val="false"/>
                  <w:sz w:val="20"/>
                </w:rPr>
                <w:t>Lock-Up, Voting and Standstill Agreement, dated December 1, 2020, by and between Aterian, Inc. and 9830 Macarthur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12/1/2020</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10.17+</w:t>
            </w:r>
          </w:p>
        </w:tc>
        <w:tc>
          <w:tcPr>
            <w:tcW w:w="60" w:type="dxa"/>
            <w:tcBorders/>
            <w:vAlign w:val="center"/>
          </w:tcPr>
          <w:p>
            <w:pPr>
              <w:pStyle w:val="TableContents"/>
              <w:bidi w:val="0"/>
              <w:spacing w:before="0" w:after="283"/>
              <w:jc w:val="left"/>
              <w:rPr/>
            </w:pPr>
            <w:r>
              <w:rPr/>
              <w:t> </w:t>
            </w:r>
          </w:p>
        </w:tc>
        <w:tc>
          <w:tcPr>
            <w:tcW w:w="6338"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caps w:val="false"/>
                  <w:smallCaps w:val="false"/>
                  <w:sz w:val="20"/>
                </w:rPr>
                <w:t>Non-Negotiable Promissory Note, dated December 1, 2020, from Aterian, Inc. to 9830 Macarthur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12/1/2020</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6553"/>
        <w:gridCol w:w="60"/>
        <w:gridCol w:w="500"/>
        <w:gridCol w:w="60"/>
        <w:gridCol w:w="810"/>
        <w:gridCol w:w="60"/>
        <w:gridCol w:w="650"/>
        <w:gridCol w:w="60"/>
        <w:gridCol w:w="667"/>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5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10.18+</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caps w:val="false"/>
                  <w:smallCaps w:val="false"/>
                  <w:sz w:val="20"/>
                </w:rPr>
                <w:t>Transition Services Agreement, dated February 2, 2021, by and between Healing Solutions, LLC and Truweo,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10.19</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caps w:val="false"/>
                  <w:smallCaps w:val="false"/>
                  <w:sz w:val="20"/>
                </w:rPr>
                <w:t>Voting and Standstill Agreement, dated May 5, 2021, by and between Aterian, Inc. and Squatty Potty,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5/11/2021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10.20+</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caps w:val="false"/>
                  <w:smallCaps w:val="false"/>
                  <w:sz w:val="20"/>
                </w:rPr>
                <w:t>Transition Services Agreement, dated May 5, 2021, by and between Squatty Potty, LLC and Truweo,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5/11/2021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10.21</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caps w:val="false"/>
                  <w:smallCaps w:val="false"/>
                  <w:sz w:val="20"/>
                </w:rPr>
                <w:t>Shareholder Agreement, dated May 5, 2021, by and between Aterian, Inc. and Josef Eitan.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5/11/2021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10.22</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caps w:val="false"/>
                  <w:smallCaps w:val="false"/>
                  <w:sz w:val="20"/>
                </w:rPr>
                <w:t>Shareholder Agreement, dated May 5, 2021, by and between Aterian, Inc. and Ran Nir.</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5/11/2021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10.23</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caps w:val="false"/>
                  <w:smallCaps w:val="false"/>
                  <w:sz w:val="20"/>
                </w:rPr>
                <w:t>Amendment to Lock-Up, Voting and Standstill Agreement, dated as of May 31, 2021, by and between Aterian, Inc. and Healing Solutions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10-Q</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8/9/2021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10.15</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10.24</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caps w:val="false"/>
                  <w:smallCaps w:val="false"/>
                  <w:sz w:val="20"/>
                </w:rPr>
                <w:t>Amendment to Lock-Up, Voting and Standstill Agreement, dated as of May 31, 2021, by and between Aterian, Inc. and 9830 Macarthur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10-Q</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8/9/2021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10.16</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10.25+</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caps w:val="false"/>
                  <w:smallCaps w:val="false"/>
                  <w:sz w:val="20"/>
                </w:rPr>
                <w:t>Credit and Security Agreement, dated as December 22, 2021, by and Aterian, Inc. and its subsidiaries party thereto as “Credit Parties”, the lenders party thereto from time to time and Midcap Funding IV Trust, as administrative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12/27/2021</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hyperlink r:id="rId40">
              <w:r>
                <w:rPr>
                  <w:rStyle w:val="InternetLink"/>
                  <w:rFonts w:ascii="Times New Roman;Times;serif" w:hAnsi="Times New Roman;Times;serif"/>
                  <w:sz w:val="20"/>
                </w:rPr>
                <w:t>Amendment to Arturo Rodriguez Employment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11/08/2023</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10.29</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hyperlink r:id="rId41">
              <w:r>
                <w:rPr>
                  <w:rStyle w:val="InternetLink"/>
                  <w:rFonts w:ascii="Times New Roman;Times;serif" w:hAnsi="Times New Roman;Times;serif"/>
                  <w:sz w:val="20"/>
                </w:rPr>
                <w:t>Advisor Agreement, dated August 16, 2024, by and between Aterian, Inc. and William Kurtz.</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08/16/2024</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10.30</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hyperlink r:id="rId42">
              <w:r>
                <w:rPr>
                  <w:rStyle w:val="InternetLink"/>
                  <w:rFonts w:ascii="Times New Roman;Times;serif" w:hAnsi="Times New Roman;Times;serif"/>
                  <w:sz w:val="20"/>
                </w:rPr>
                <w:t>Executive Severance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03/25/2025</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10.30</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10.31</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hyperlink r:id="rId43">
              <w:r>
                <w:rPr>
                  <w:rStyle w:val="InternetLink"/>
                  <w:rFonts w:ascii="Times New Roman;Times;serif" w:hAnsi="Times New Roman;Times;serif"/>
                  <w:sz w:val="20"/>
                </w:rPr>
                <w:t>Amendment No. 3 to that certain Credit and Security Agreement, dated as March 25, 2025, by and Aterian, Inc. and its subsidiaries party thereto as “Credit Parties,” the lenders party thereto from time to time and Midcap Funding IV Trust, as administrative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03/25/2025</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10.32</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rPr>
                <w:t>Amendment No. 4 to that certain Credit and Security Agreement, dated as August 29, 2025, by and Aterian, Inc. and its subsidiaries party thereto as “Credit Parties,” the lenders party thereto from time to time and Midcap Funding IV Trust, as administrative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08/29/2025</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10.33</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hyperlink r:id="rId45">
              <w:r>
                <w:rPr>
                  <w:rStyle w:val="InternetLink"/>
                  <w:rFonts w:ascii="Times New Roman;Times;serif" w:hAnsi="Times New Roman;Times;serif"/>
                  <w:sz w:val="20"/>
                </w:rPr>
                <w:t>Amendment No. 5 to that certain Credit and Security Agreement, dated as March 13, 2026, by and Aterian, Inc. and its subsidiaries party thereto as “Credit Parties,” the lenders party thereto from time to time and Midcap Funding IV Trust, as administrative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03/17/2026</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19.1*</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hyperlink w:anchor="ex_865480.htm">
              <w:r>
                <w:rPr>
                  <w:rStyle w:val="InternetLink"/>
                  <w:rFonts w:ascii="Times New Roman;Times;serif" w:hAnsi="Times New Roman;Times;serif"/>
                  <w:sz w:val="20"/>
                </w:rPr>
                <w:t>Insider Trading Policy</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001-38937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03/21/2024</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19.1</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w:anchor="ex_865481.htm">
              <w:r>
                <w:rPr>
                  <w:rStyle w:val="InternetLink"/>
                  <w:rFonts w:ascii="Times New Roman;Times;serif" w:hAnsi="Times New Roman;Times;serif"/>
                  <w:caps w:val="false"/>
                  <w:smallCaps w:val="false"/>
                  <w:sz w:val="20"/>
                </w:rPr>
                <w:t>List of Subsidiaries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23.2*</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hyperlink w:anchor="ex_865483.htm">
              <w:r>
                <w:rPr>
                  <w:rStyle w:val="InternetLink"/>
                  <w:rFonts w:ascii="Times New Roman;Times;serif" w:hAnsi="Times New Roman;Times;serif"/>
                  <w:sz w:val="20"/>
                </w:rPr>
                <w:t>Consent of UHY LLP, Independent Registered Public Accounting Firm.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24.1*</w:t>
            </w:r>
          </w:p>
        </w:tc>
        <w:tc>
          <w:tcPr>
            <w:tcW w:w="60" w:type="dxa"/>
            <w:tcBorders/>
            <w:vAlign w:val="center"/>
          </w:tcPr>
          <w:p>
            <w:pPr>
              <w:pStyle w:val="TableContents"/>
              <w:bidi w:val="0"/>
              <w:spacing w:before="0" w:after="283"/>
              <w:jc w:val="left"/>
              <w:rPr/>
            </w:pPr>
            <w:r>
              <w:rPr/>
              <w:t> </w:t>
            </w:r>
          </w:p>
        </w:tc>
        <w:tc>
          <w:tcPr>
            <w:tcW w:w="6553" w:type="dxa"/>
            <w:tcBorders/>
            <w:vAlign w:val="center"/>
          </w:tcPr>
          <w:p>
            <w:pPr>
              <w:pStyle w:val="TableContents"/>
              <w:bidi w:val="0"/>
              <w:spacing w:before="0" w:after="0"/>
              <w:ind w:left="0" w:right="0" w:hanging="0"/>
              <w:jc w:val="left"/>
              <w:rPr/>
            </w:pPr>
            <w:hyperlink w:anchor="poa">
              <w:r>
                <w:rPr>
                  <w:rStyle w:val="InternetLink"/>
                  <w:rFonts w:ascii="Times New Roman;Times;serif" w:hAnsi="Times New Roman;Times;serif"/>
                  <w:caps w:val="false"/>
                  <w:smallCaps w:val="false"/>
                  <w:sz w:val="20"/>
                </w:rPr>
                <w:t>Power of Attorney (included on the signature page to this Annual Report on Form 10-K).</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47"/>
        <w:gridCol w:w="60"/>
        <w:gridCol w:w="6451"/>
        <w:gridCol w:w="60"/>
        <w:gridCol w:w="500"/>
        <w:gridCol w:w="60"/>
        <w:gridCol w:w="849"/>
        <w:gridCol w:w="60"/>
        <w:gridCol w:w="691"/>
        <w:gridCol w:w="60"/>
        <w:gridCol w:w="667"/>
      </w:tblGrid>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r>
      <w:tr>
        <w:trPr/>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0"/>
              <w:ind w:left="0" w:right="0" w:hanging="0"/>
              <w:jc w:val="left"/>
              <w:rPr/>
            </w:pPr>
            <w:hyperlink w:anchor="ex_865484.htm">
              <w:r>
                <w:rPr>
                  <w:rStyle w:val="InternetLink"/>
                  <w:rFonts w:ascii="Times New Roman;Times;serif" w:hAnsi="Times New Roman;Times;serif"/>
                  <w:caps w:val="false"/>
                  <w:smallCaps w:val="false"/>
                  <w:sz w:val="20"/>
                </w:rPr>
                <w:t>Certifications of the Principal Executive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0"/>
              <w:ind w:left="0" w:right="0" w:hanging="0"/>
              <w:jc w:val="left"/>
              <w:rPr/>
            </w:pPr>
            <w:hyperlink w:anchor="ex_865485.htm">
              <w:r>
                <w:rPr>
                  <w:rStyle w:val="InternetLink"/>
                  <w:rFonts w:ascii="Times New Roman;Times;serif" w:hAnsi="Times New Roman;Times;serif"/>
                  <w:caps w:val="false"/>
                  <w:smallCaps w:val="false"/>
                  <w:sz w:val="20"/>
                </w:rPr>
                <w:t>Certifications of the Principal Financial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0"/>
              <w:ind w:left="0" w:right="0" w:hanging="0"/>
              <w:jc w:val="left"/>
              <w:rPr/>
            </w:pPr>
            <w:hyperlink w:anchor="ex_865486.htm">
              <w:r>
                <w:rPr>
                  <w:rStyle w:val="InternetLink"/>
                  <w:rFonts w:ascii="Times New Roman;Times;serif" w:hAnsi="Times New Roman;Times;serif"/>
                  <w:caps w:val="false"/>
                  <w:smallCaps w:val="false"/>
                  <w:sz w:val="20"/>
                </w:rPr>
                <w:t>Certifications of the Principal Executive Officer and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97.1*</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hyperlink w:anchor="ex_865487.htm">
              <w:r>
                <w:rPr>
                  <w:rStyle w:val="InternetLink"/>
                  <w:rFonts w:ascii="Times New Roman;Times;serif" w:hAnsi="Times New Roman;Times;serif"/>
                  <w:sz w:val="20"/>
                </w:rPr>
                <w:t>Policy Relating to Recovery of Erroneously Awarded Compensation.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vAlign w:val="center"/>
          </w:tcPr>
          <w:p>
            <w:pPr>
              <w:pStyle w:val="TableContents"/>
              <w:bidi w:val="0"/>
              <w:spacing w:before="0" w:after="283"/>
              <w:jc w:val="left"/>
              <w:rPr/>
            </w:pPr>
            <w:r>
              <w:rPr/>
              <w:t> </w:t>
            </w:r>
          </w:p>
        </w:tc>
        <w:tc>
          <w:tcPr>
            <w:tcW w:w="9398" w:type="dxa"/>
            <w:gridSpan w:val="9"/>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9398" w:type="dxa"/>
            <w:gridSpan w:val="9"/>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w:t>
            </w:r>
          </w:p>
        </w:tc>
      </w:tr>
    </w:tbl>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125"/>
        <w:gridCol w:w="123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bl>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Furnished herewith.</w:t>
            </w:r>
          </w:p>
        </w:tc>
      </w:tr>
    </w:tbl>
    <w:tbl>
      <w:tblPr>
        <w:tblW w:w="5770" w:type="dxa"/>
        <w:jc w:val="left"/>
        <w:tblInd w:w="0" w:type="dxa"/>
        <w:tblLayout w:type="fixed"/>
        <w:tblCellMar>
          <w:top w:w="0" w:type="dxa"/>
          <w:left w:w="0" w:type="dxa"/>
          <w:bottom w:w="0" w:type="dxa"/>
          <w:right w:w="0" w:type="dxa"/>
        </w:tblCellMar>
      </w:tblPr>
      <w:tblGrid>
        <w:gridCol w:w="125"/>
        <w:gridCol w:w="56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Non-material schedules and exhibits have been omitted pursuant to Item 601(a)(5) of Regulation S-K. The Company hereby undertakes to furnish supplemental copies of any of the omitted schedules and exhibits upon request by the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5" w:name="item16"/>
      <w:bookmarkEnd w:id="35"/>
      <w:r>
        <w:rPr>
          <w:rFonts w:ascii="Times New Roman" w:hAnsi="Times New Roman"/>
          <w:b/>
          <w:caps w:val="false"/>
          <w:smallCaps w:val="false"/>
          <w:sz w:val="20"/>
        </w:rPr>
        <w:t xml:space="preserve">Item 16. Form 10-K Summary.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455"/>
        <w:gridCol w:w="198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ATERIAN, INC.</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1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Arturo Rodriguez</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Arturo Rodriguez</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6" w:name="poa"/>
      <w:bookmarkEnd w:id="36"/>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hereby constitutes and appoints, jointly and severally, Arturo Rodriguez and Joshua Feldman, and each of them acting individually, as his or her attorney-in-fact, each with full power of substitution and resubstitution, for him or her in any and all capacities, to sign any and all amendments to this Annual Report on Form 10-K, and to file the same, with exhibits thereto and other documents in connection therewith, with the Securities and Exchange Commission, granting unto said attorneys-in-fact full power and authority to do and perform each and every act and thing requisite and necessary to be done in connection therewith as fully to all intents and purposes as he or she might or could do in person, hereby ratifying and confirming all that said attorneys-in-fact,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1700"/>
        <w:gridCol w:w="60"/>
        <w:gridCol w:w="5180"/>
        <w:gridCol w:w="60"/>
        <w:gridCol w:w="1325"/>
      </w:tblGrid>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1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Arturo Rodriguez</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Arturo Rodriguez</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Joshua Feldman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William Kurtz</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and Chairman of the Board</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William Kurtz</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Susan Lattmann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Susan Lattmann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Bari Harlam</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Bari Harlam</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31 </w:t>
      </w:r>
    </w:p>
    <w:p>
      <w:pPr>
        <w:pStyle w:val="TextBody"/>
        <w:bidi w:val="0"/>
        <w:spacing w:before="0" w:after="0"/>
        <w:ind w:left="5580" w:right="0" w:firstLine="460"/>
        <w:jc w:val="right"/>
        <w:rPr>
          <w:rFonts w:ascii="Times New Roman" w:hAnsi="Times New Roman"/>
          <w:b/>
          <w:caps w:val="false"/>
          <w:smallCaps w:val="false"/>
          <w:sz w:val="20"/>
        </w:rPr>
      </w:pPr>
      <w:bookmarkStart w:id="37" w:name="ex_865480.htm"/>
      <w:bookmarkStart w:id="38" w:name="ksex_865480"/>
      <w:bookmarkEnd w:id="37"/>
      <w:bookmarkEnd w:id="38"/>
      <w:r>
        <w:rPr>
          <w:rFonts w:ascii="Times New Roman" w:hAnsi="Times New Roman"/>
          <w:b/>
          <w:caps w:val="false"/>
          <w:smallCaps w:val="false"/>
          <w:sz w:val="20"/>
        </w:rPr>
        <w:t>Exhibit 19.1</w:t>
      </w:r>
      <w:r>
        <w:br w:type="page"/>
      </w:r>
    </w:p>
    <w:p>
      <w:pPr>
        <w:pStyle w:val="TextBody"/>
        <w:bidi w:val="0"/>
        <w:spacing w:before="0" w:after="0"/>
        <w:ind w:left="5580" w:right="0" w:firstLine="460"/>
        <w:jc w:val="right"/>
        <w:rPr>
          <w:caps w:val="false"/>
          <w:smallCaps w:val="false"/>
        </w:rPr>
      </w:pPr>
      <w:r>
        <w:rPr>
          <w:caps w:val="false"/>
          <w:smallCaps w:val="false"/>
        </w:rPr>
        <w:t> </w:t>
      </w:r>
    </w:p>
    <w:p>
      <w:pPr>
        <w:pStyle w:val="TextBody"/>
        <w:bidi w:val="0"/>
        <w:spacing w:before="0" w:after="0"/>
        <w:ind w:left="5580" w:right="0" w:firstLine="460"/>
        <w:jc w:val="right"/>
        <w:rPr>
          <w:rFonts w:ascii="Times New Roman" w:hAnsi="Times New Roman"/>
          <w:caps w:val="false"/>
          <w:smallCaps w:val="false"/>
          <w:sz w:val="20"/>
        </w:rPr>
      </w:pPr>
      <w:r>
        <w:rPr>
          <w:rFonts w:ascii="Times New Roman" w:hAnsi="Times New Roman"/>
          <w:caps w:val="false"/>
          <w:smallCaps w:val="false"/>
          <w:sz w:val="20"/>
        </w:rPr>
        <w:t>Last amended November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ATERIAN,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INSIDER TRADING POLICY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AND GUIDELINES WITH RESPECT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CERTAIN TRANSACTIONS IN COMPANY SECURITIES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This Insider Trading Policy (this “</w:t>
      </w:r>
      <w:r>
        <w:rPr>
          <w:rFonts w:ascii="Times New Roman" w:hAnsi="Times New Roman"/>
          <w:b/>
          <w:i/>
          <w:caps w:val="false"/>
          <w:smallCaps w:val="false"/>
          <w:sz w:val="20"/>
        </w:rPr>
        <w:t>Policy</w:t>
      </w:r>
      <w:r>
        <w:rPr>
          <w:rFonts w:ascii="Times New Roman" w:hAnsi="Times New Roman"/>
          <w:caps w:val="false"/>
          <w:smallCaps w:val="false"/>
          <w:sz w:val="20"/>
        </w:rPr>
        <w:t xml:space="preserve">”) provides guidelines to employees, officers and directors of </w:t>
      </w:r>
      <w:r>
        <w:rPr>
          <w:rFonts w:ascii="Times New Roman" w:hAnsi="Times New Roman"/>
          <w:b/>
          <w:caps w:val="false"/>
          <w:smallCaps w:val="false"/>
          <w:sz w:val="20"/>
        </w:rPr>
        <w:t xml:space="preserve">Aterian, INC. </w:t>
      </w:r>
      <w:r>
        <w:rPr>
          <w:rFonts w:ascii="Times New Roman" w:hAnsi="Times New Roman"/>
          <w:caps w:val="false"/>
          <w:smallCaps w:val="false"/>
          <w:sz w:val="20"/>
        </w:rPr>
        <w:t>and each of its subsidiaries, branches, representative offices and similar entities (collectively, the “</w:t>
      </w:r>
      <w:r>
        <w:rPr>
          <w:rFonts w:ascii="Times New Roman" w:hAnsi="Times New Roman"/>
          <w:b/>
          <w:i/>
          <w:caps w:val="false"/>
          <w:smallCaps w:val="false"/>
          <w:sz w:val="20"/>
        </w:rPr>
        <w:t>Company</w:t>
      </w:r>
      <w:r>
        <w:rPr>
          <w:rFonts w:ascii="Times New Roman" w:hAnsi="Times New Roman"/>
          <w:caps w:val="false"/>
          <w:smallCaps w:val="false"/>
          <w:sz w:val="20"/>
        </w:rPr>
        <w:t>”) with respect to transactions in the Company’s securities. The Company has adopted this Policy, and the procedures set forth herein to help prevent insider trading and to assist the Company’s employees, officers and directors in complying with their obligations under the federal securities laws. Employees, officers and directors are individually responsible for understanding and complying with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b/>
          <w:caps w:val="false"/>
          <w:smallCaps w:val="false"/>
          <w:sz w:val="20"/>
        </w:rPr>
        <w:t>A. APPLICABILITY OF POLICY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This Policy applies to all transactions in the Company’s securities, including common stock, restricted stock, restricted stock units, stock appreciation rights, performance units, deferred share units, options and warrants to purchase common stock and any other debt or equity securities the Company may issue from time to time, such as bonds, preferred stock and convertible notes and debentures, as well as to derivative securities relating to the Company’s securities, whether or not issued by the Company, such as exchange-traded options. This Policy applies to all directors, officers and employees (including part-time and temporary employees) of the Company and members of their immediate families who reside with them or anyone else who lives in their household, and family members who live elsewhere but whose transactions in the Company’s securities are directed by them or subject to their influence and control (collectively referred to herein as “</w:t>
      </w:r>
      <w:r>
        <w:rPr>
          <w:rFonts w:ascii="Times New Roman" w:hAnsi="Times New Roman"/>
          <w:b/>
          <w:i/>
          <w:caps w:val="false"/>
          <w:smallCaps w:val="false"/>
          <w:sz w:val="20"/>
        </w:rPr>
        <w:t>Family Members</w:t>
      </w:r>
      <w:r>
        <w:rPr>
          <w:rFonts w:ascii="Times New Roman" w:hAnsi="Times New Roman"/>
          <w:caps w:val="false"/>
          <w:smallCaps w:val="false"/>
          <w:sz w:val="20"/>
        </w:rPr>
        <w:t>”). This Policy also applies to any entities controlled by individuals subject to this Policy, including any corporations, partnerships or trusts, and transactions by such entities should be treated for purposes of this Policy and applicable securities laws as if they were for the individual’s own account. The Company may also determine that other persons should be subject to this Policy, such as contractors or consultants who receive or have access to Material Nonpublic Information (as defined below). Furthermore, this Policy imposes specific blackout period and pre-clearance procedures on directors, officers and certain other designated employees of the Company who receive or have access to Material Nonpublic Information and/or are subject to the reporting provisions and trading restrictions of Section 16 (“</w:t>
      </w:r>
      <w:r>
        <w:rPr>
          <w:rFonts w:ascii="Times New Roman" w:hAnsi="Times New Roman"/>
          <w:b/>
          <w:i/>
          <w:caps w:val="false"/>
          <w:smallCaps w:val="false"/>
          <w:sz w:val="20"/>
        </w:rPr>
        <w:t>Section 16</w:t>
      </w:r>
      <w:r>
        <w:rPr>
          <w:rFonts w:ascii="Times New Roman" w:hAnsi="Times New Roman"/>
          <w:caps w:val="false"/>
          <w:smallCaps w:val="false"/>
          <w:sz w:val="20"/>
        </w:rPr>
        <w:t>”) of the Securities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The current “</w:t>
      </w:r>
      <w:r>
        <w:rPr>
          <w:rFonts w:ascii="Times New Roman" w:hAnsi="Times New Roman"/>
          <w:b/>
          <w:i/>
          <w:caps w:val="false"/>
          <w:smallCaps w:val="false"/>
          <w:sz w:val="20"/>
        </w:rPr>
        <w:t>Insider Trading Compliance Officer</w:t>
      </w:r>
      <w:r>
        <w:rPr>
          <w:rFonts w:ascii="Times New Roman" w:hAnsi="Times New Roman"/>
          <w:caps w:val="false"/>
          <w:smallCaps w:val="false"/>
          <w:sz w:val="20"/>
        </w:rPr>
        <w:t xml:space="preserve">” referred to herein is the General Counsel of the Company; </w:t>
      </w:r>
      <w:r>
        <w:rPr>
          <w:rFonts w:ascii="Times New Roman" w:hAnsi="Times New Roman"/>
          <w:i/>
          <w:caps w:val="false"/>
          <w:smallCaps w:val="false"/>
          <w:sz w:val="20"/>
        </w:rPr>
        <w:t>provided that</w:t>
      </w:r>
      <w:r>
        <w:rPr>
          <w:rFonts w:ascii="Times New Roman" w:hAnsi="Times New Roman"/>
          <w:caps w:val="false"/>
          <w:smallCaps w:val="false"/>
          <w:sz w:val="20"/>
        </w:rPr>
        <w:t>, in the General Counsel’s absence or with respect to a proposed transaction in the Company’s securities by the General Counsel, the Insider Trading Compliance Officer is the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B. DEFINITION OF MATERIAL NONPUBLIC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It is not possible to define all categories of material information. However, information should be regarded as material if there is a substantial likelihood that it would be considered important to a reasonable investor in making a voting decision or an investment decision to buy, hold or sell securities. Any information that could be expected to affect the market price of the Company’s securities, whether such information is positive or negative, should be considered material. Because trading that receives scrutiny will be evaluated after the fact with the benefit of hindsight, questions as to the materiality of information should be resolved in favor of materiality, and trading should be avoided. Directors, officers and certain other employees of the Company are subject to the Blackout Period provisions described in Section F.1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caps w:val="false"/>
          <w:smallCaps w:val="false"/>
          <w:sz w:val="20"/>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Financial results and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Significant changes in financial performance outlook or liquidity of the Company as a whole or of a reporting segment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Projections of future earnings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Changes to previously announced earnings guidance, or the decision to suspend earnings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Communications with government agencies, such as the Securities and Exchange Commission (the “</w:t>
      </w:r>
      <w:r>
        <w:rPr>
          <w:rFonts w:ascii="Times New Roman" w:hAnsi="Times New Roman"/>
          <w:b/>
          <w:i/>
          <w:caps w:val="false"/>
          <w:smallCaps w:val="false"/>
          <w:sz w:val="20"/>
        </w:rPr>
        <w:t>SEC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Notice of issuance of patents or the acquisition or disposition of other material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News of, or developments in, a pending or proposed merger, acquisition or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News of, or developments in, a pending or proposed acquisition or disposition of significant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News of, or developments in, strategic partnerships, joint ventures, collaborations or 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Major discoveries or significant changes or developments in products or product lines, research or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Important business developments, such as research results or developments regarding strategic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Regulatory actions, approvals or rejections or material correspondence from regulatory bodies;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Impending bankruptcy or financial liquidity problems;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Defaults on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Significant expansion or curtailment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Significant pricing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New major contracts, customers, suppliers or orders, or the loss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Significant write-downs in assets or increases or decreases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Stock splits and stock repurchase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New equity or debt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Significant cybersecurity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Actual or threatened major litigation, or the resolution of such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Significant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A change in auditors or notification that an auditor’s report may no longer be relied upon;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caps w:val="false"/>
          <w:smallCaps w:val="false"/>
        </w:rPr>
      </w:pPr>
      <w:r>
        <w:rPr>
          <w:caps w:val="false"/>
          <w:smallCaps w:val="false"/>
        </w:rPr>
        <w:t>•    </w:t>
      </w:r>
      <w:r>
        <w:rPr>
          <w:rFonts w:ascii="Times New Roman" w:hAnsi="Times New Roman"/>
          <w:caps w:val="false"/>
          <w:smallCaps w:val="false"/>
          <w:sz w:val="20"/>
        </w:rPr>
        <w:t>Changes in directors or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caps w:val="false"/>
          <w:smallCaps w:val="false"/>
        </w:rPr>
      </w:pPr>
      <w:r>
        <w:rPr>
          <w:caps w:val="false"/>
          <w:smallCaps w:val="false"/>
        </w:rPr>
        <w:t>“</w:t>
      </w:r>
      <w:r>
        <w:rPr>
          <w:rFonts w:ascii="Times New Roman" w:hAnsi="Times New Roman"/>
          <w:b/>
          <w:i/>
          <w:caps w:val="false"/>
          <w:smallCaps w:val="false"/>
          <w:sz w:val="20"/>
        </w:rPr>
        <w:t>Material Nonpublic Information</w:t>
      </w:r>
      <w:r>
        <w:rPr>
          <w:rFonts w:ascii="Times New Roman" w:hAnsi="Times New Roman"/>
          <w:caps w:val="false"/>
          <w:smallCaps w:val="false"/>
          <w:sz w:val="20"/>
        </w:rPr>
        <w:t>” is material information about the Company that (1) has not been previously disclosed to the general public through the Dow Jones “broad tape,” newswire services, a broadcast on widely-available radio or television programs, publication in a widely-available newspaper, magazine or news website, or in a document filed with the SEC that is available on the SEC’s website or (2) has not been available to the general public for at least two (2) Trading Days. As used in this Policy, the term “</w:t>
      </w:r>
      <w:r>
        <w:rPr>
          <w:rFonts w:ascii="Times New Roman" w:hAnsi="Times New Roman"/>
          <w:b/>
          <w:i/>
          <w:caps w:val="false"/>
          <w:smallCaps w:val="false"/>
          <w:sz w:val="20"/>
        </w:rPr>
        <w:t>Trading Day</w:t>
      </w:r>
      <w:r>
        <w:rPr>
          <w:rFonts w:ascii="Times New Roman" w:hAnsi="Times New Roman"/>
          <w:caps w:val="false"/>
          <w:smallCaps w:val="false"/>
          <w:sz w:val="20"/>
        </w:rPr>
        <w:t>” shall mean a day on which The Nasdaq Stock Market LLC (“</w:t>
      </w:r>
      <w:r>
        <w:rPr>
          <w:rFonts w:ascii="Times New Roman" w:hAnsi="Times New Roman"/>
          <w:b/>
          <w:i/>
          <w:caps w:val="false"/>
          <w:smallCaps w:val="false"/>
          <w:sz w:val="20"/>
        </w:rPr>
        <w:t>Nasdaq</w:t>
      </w:r>
      <w:r>
        <w:rPr>
          <w:rFonts w:ascii="Times New Roman" w:hAnsi="Times New Roman"/>
          <w:caps w:val="false"/>
          <w:smallCaps w:val="false"/>
          <w:sz w:val="20"/>
        </w:rPr>
        <w:t>”), or the primary quotation system or national securities exchange on which the Company’s common stock is then traded or listed, is open for trading. For purposes of this Policy,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STATEMENT OF POLICY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C. GENERAL POLICY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It is the policy of the Company to prohibit the unauthorized disclosure of any nonpublic information acquired in the workplace, the use of Material Nonpublic Information in securities trading, and any other violation of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D. SPECIFIC POLICIES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1. Trading on Material Nonpublic Information</w:t>
      </w:r>
      <w:r>
        <w:rPr>
          <w:rFonts w:ascii="Times New Roman" w:hAnsi="Times New Roman"/>
          <w:caps w:val="false"/>
          <w:smallCaps w:val="false"/>
          <w:sz w:val="20"/>
        </w:rPr>
        <w:t>. No employee, officer or director of the Company and no Family Member of any such person (or any other person designated by this Policy or by the Insider Trading Compliance Officer as subject to this Policy), shall engage in any transaction involving a purchase or sale of the Company’s securities, including any offer to purchase or offer to sell (other than pursuant to a trading plan that complies with SEC Rule 10b5-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40"/>
        <w:jc w:val="both"/>
        <w:rPr>
          <w:rFonts w:ascii="Times New Roman" w:hAnsi="Times New Roman"/>
          <w:caps w:val="false"/>
          <w:smallCaps w:val="false"/>
          <w:sz w:val="20"/>
        </w:rPr>
      </w:pPr>
      <w:r>
        <w:rPr>
          <w:rFonts w:ascii="Times New Roman" w:hAnsi="Times New Roman"/>
          <w:caps w:val="false"/>
          <w:smallCaps w:val="false"/>
          <w:sz w:val="20"/>
        </w:rPr>
        <w:t>1 and is implemented in accordance with Section G of this Policy), during any period commencing with the date that he or she possesses Material Nonpublic Information and ending at the close of business on the second Trading Day following the date of public disclosure of that information, or at such time as such nonpublic information is no longer material. If, for example, the Company were to make an announcement of previously Material Nonpublic Information on a Monday, employees, officers and directors who had access to such information prior to such time shall not trade in the Company’s securities prior to that Thursday. “Purchase” and “sale” are defined broadly under the federal securities laws. “</w:t>
      </w:r>
      <w:r>
        <w:rPr>
          <w:rFonts w:ascii="Times New Roman" w:hAnsi="Times New Roman"/>
          <w:b/>
          <w:i/>
          <w:caps w:val="false"/>
          <w:smallCaps w:val="false"/>
          <w:sz w:val="20"/>
        </w:rPr>
        <w:t>Purchase</w:t>
      </w:r>
      <w:r>
        <w:rPr>
          <w:rFonts w:ascii="Times New Roman" w:hAnsi="Times New Roman"/>
          <w:caps w:val="false"/>
          <w:smallCaps w:val="false"/>
          <w:sz w:val="20"/>
        </w:rPr>
        <w:t>” includes not only the actual purchase of a security, but any contract to purchase or otherwise acquire a security. “</w:t>
      </w:r>
      <w:r>
        <w:rPr>
          <w:rFonts w:ascii="Times New Roman" w:hAnsi="Times New Roman"/>
          <w:b/>
          <w:i/>
          <w:caps w:val="false"/>
          <w:smallCaps w:val="false"/>
          <w:sz w:val="20"/>
        </w:rPr>
        <w:t>Sale</w:t>
      </w:r>
      <w:r>
        <w:rPr>
          <w:rFonts w:ascii="Times New Roman" w:hAnsi="Times New Roman"/>
          <w:caps w:val="false"/>
          <w:smallCaps w:val="false"/>
          <w:sz w:val="20"/>
        </w:rPr>
        <w:t>” includes not only the actual sale of a security, but also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2. Tipping</w:t>
      </w:r>
      <w:r>
        <w:rPr>
          <w:rFonts w:ascii="Times New Roman" w:hAnsi="Times New Roman"/>
          <w:caps w:val="false"/>
          <w:smallCaps w:val="false"/>
          <w:sz w:val="20"/>
        </w:rPr>
        <w:t>. No employee, officer or director of the Company shall disclose or pass on (“</w:t>
      </w:r>
      <w:r>
        <w:rPr>
          <w:rFonts w:ascii="Times New Roman" w:hAnsi="Times New Roman"/>
          <w:b/>
          <w:i/>
          <w:caps w:val="false"/>
          <w:smallCaps w:val="false"/>
          <w:sz w:val="20"/>
        </w:rPr>
        <w:t>tip</w:t>
      </w:r>
      <w:r>
        <w:rPr>
          <w:rFonts w:ascii="Times New Roman" w:hAnsi="Times New Roman"/>
          <w:caps w:val="false"/>
          <w:smallCaps w:val="false"/>
          <w:sz w:val="20"/>
        </w:rPr>
        <w:t>”) Material Nonpublic Information to any other person, including a Family Member or friend, nor shall such person make recommendations or express opinions on the basis of Material Nonpublic Information with respect to trading in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b/>
          <w:caps w:val="false"/>
          <w:smallCaps w:val="false"/>
          <w:sz w:val="20"/>
        </w:rPr>
        <w:t>3. Confidentiality of Nonpublic Information</w:t>
      </w:r>
      <w:r>
        <w:rPr>
          <w:rFonts w:ascii="Times New Roman" w:hAnsi="Times New Roman"/>
          <w:caps w:val="false"/>
          <w:smallCaps w:val="false"/>
          <w:sz w:val="20"/>
        </w:rPr>
        <w:t>. Nonpublic information relating to the Company is the property of the Company and the unauthorized disclosure of such information is forbidden.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E. POTENTIAL CRIMINAL AND CIVIL LIABILITY AND/OR DISCIPLINARY ACTION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1. Liability for Insider Trading</w:t>
      </w:r>
      <w:r>
        <w:rPr>
          <w:rFonts w:ascii="Times New Roman" w:hAnsi="Times New Roman"/>
          <w:caps w:val="false"/>
          <w:smallCaps w:val="false"/>
          <w:sz w:val="20"/>
        </w:rPr>
        <w:t>. Any employee, officer or director of the Company who engages in a transaction in the Company’s securities at a time when he or she has knowledge of Material Nonpublic Information may be subject to an SEC civil investigation, cease and desist order or other administrative action, and incur federal and state law penalties and sanctions, including but not limited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0"/>
        <w:jc w:val="left"/>
        <w:rPr>
          <w:caps w:val="false"/>
          <w:smallCaps w:val="false"/>
        </w:rPr>
      </w:pPr>
      <w:r>
        <w:rPr>
          <w:caps w:val="false"/>
          <w:smallCaps w:val="false"/>
        </w:rPr>
        <w:t xml:space="preserve">• </w:t>
      </w:r>
      <w:r>
        <w:rPr>
          <w:rFonts w:ascii="Times New Roman" w:hAnsi="Times New Roman"/>
          <w:caps w:val="false"/>
          <w:smallCaps w:val="false"/>
          <w:sz w:val="20"/>
        </w:rPr>
        <w:t>up to 20 years in jail;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0"/>
        <w:jc w:val="left"/>
        <w:rPr>
          <w:caps w:val="false"/>
          <w:smallCaps w:val="false"/>
        </w:rPr>
      </w:pPr>
      <w:r>
        <w:rPr>
          <w:caps w:val="false"/>
          <w:smallCaps w:val="false"/>
        </w:rPr>
        <w:t xml:space="preserve">• </w:t>
      </w:r>
      <w:r>
        <w:rPr>
          <w:rFonts w:ascii="Times New Roman" w:hAnsi="Times New Roman"/>
          <w:caps w:val="false"/>
          <w:smallCaps w:val="false"/>
          <w:sz w:val="20"/>
        </w:rPr>
        <w:t>a criminal fine of up to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80" w:right="0" w:hanging="720"/>
        <w:jc w:val="left"/>
        <w:rPr>
          <w:caps w:val="false"/>
          <w:smallCaps w:val="false"/>
        </w:rPr>
      </w:pPr>
      <w:r>
        <w:rPr>
          <w:caps w:val="false"/>
          <w:smallCaps w:val="false"/>
        </w:rPr>
        <w:t xml:space="preserve">• </w:t>
      </w:r>
      <w:r>
        <w:rPr>
          <w:rFonts w:ascii="Times New Roman" w:hAnsi="Times New Roman"/>
          <w:caps w:val="false"/>
          <w:smallCaps w:val="false"/>
          <w:sz w:val="20"/>
        </w:rPr>
        <w:t>a civil penalty of up to three (3) times the profit gained or loss avoided as a result of the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0"/>
        <w:jc w:val="left"/>
        <w:rPr>
          <w:caps w:val="false"/>
          <w:smallCaps w:val="false"/>
        </w:rPr>
      </w:pPr>
      <w:r>
        <w:rPr>
          <w:caps w:val="false"/>
          <w:smallCaps w:val="false"/>
        </w:rPr>
        <w:t xml:space="preserve">• </w:t>
      </w:r>
      <w:r>
        <w:rPr>
          <w:rFonts w:ascii="Times New Roman" w:hAnsi="Times New Roman"/>
          <w:caps w:val="false"/>
          <w:smallCaps w:val="false"/>
          <w:sz w:val="20"/>
        </w:rPr>
        <w:t>SEC civil enforcement injunctions;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0"/>
        <w:jc w:val="left"/>
        <w:rPr>
          <w:caps w:val="false"/>
          <w:smallCaps w:val="false"/>
        </w:rPr>
      </w:pPr>
      <w:r>
        <w:rPr>
          <w:caps w:val="false"/>
          <w:smallCaps w:val="false"/>
        </w:rPr>
        <w:t xml:space="preserve">• </w:t>
      </w:r>
      <w:r>
        <w:rPr>
          <w:rFonts w:ascii="Times New Roman" w:hAnsi="Times New Roman"/>
          <w:caps w:val="false"/>
          <w:smallCaps w:val="false"/>
          <w:sz w:val="20"/>
        </w:rPr>
        <w:t>Permanent bar from serving as an officer or director of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 xml:space="preserve">There is no </w:t>
      </w:r>
      <w:r>
        <w:rPr>
          <w:rFonts w:ascii="Times New Roman" w:hAnsi="Times New Roman"/>
          <w:i/>
          <w:caps w:val="false"/>
          <w:smallCaps w:val="false"/>
          <w:sz w:val="20"/>
        </w:rPr>
        <w:t xml:space="preserve">de minimis </w:t>
      </w:r>
      <w:r>
        <w:rPr>
          <w:rFonts w:ascii="Times New Roman" w:hAnsi="Times New Roman"/>
          <w:caps w:val="false"/>
          <w:smallCaps w:val="false"/>
          <w:sz w:val="20"/>
        </w:rPr>
        <w:t>exception to the rule against insider trading. Use of inside information to gain personal benefit is as illegal with respect to one share of stock as it is with respect to a large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2. Liability for Tipping</w:t>
      </w:r>
      <w:r>
        <w:rPr>
          <w:rFonts w:ascii="Times New Roman" w:hAnsi="Times New Roman"/>
          <w:caps w:val="false"/>
          <w:smallCaps w:val="false"/>
          <w:sz w:val="20"/>
        </w:rPr>
        <w:t>. Any employee, officer or director of the Company who tips (“</w:t>
      </w:r>
      <w:r>
        <w:rPr>
          <w:rFonts w:ascii="Times New Roman" w:hAnsi="Times New Roman"/>
          <w:b/>
          <w:i/>
          <w:caps w:val="false"/>
          <w:smallCaps w:val="false"/>
          <w:sz w:val="20"/>
        </w:rPr>
        <w:t>tippers</w:t>
      </w:r>
      <w:r>
        <w:rPr>
          <w:rFonts w:ascii="Times New Roman" w:hAnsi="Times New Roman"/>
          <w:caps w:val="false"/>
          <w:smallCaps w:val="false"/>
          <w:sz w:val="20"/>
        </w:rPr>
        <w:t>”) a third party (commonly referred to as a “</w:t>
      </w:r>
      <w:r>
        <w:rPr>
          <w:rFonts w:ascii="Times New Roman" w:hAnsi="Times New Roman"/>
          <w:b/>
          <w:i/>
          <w:caps w:val="false"/>
          <w:smallCaps w:val="false"/>
          <w:sz w:val="20"/>
        </w:rPr>
        <w:t>tippee</w:t>
      </w:r>
      <w:r>
        <w:rPr>
          <w:rFonts w:ascii="Times New Roman" w:hAnsi="Times New Roman"/>
          <w:caps w:val="false"/>
          <w:smallCaps w:val="false"/>
          <w:sz w:val="20"/>
        </w:rPr>
        <w:t>”) may also be liable for improper transactions by tippees to whom they have tipped Material Nonpublic Information regarding the Company or to whom they have made recommendations or expressed opinions on the basis of such information as to trading in the Company’s securities. Tippers and tippees would be subject to the same penalties and sanctions as described above, and the SEC has imposed large penalties even when the tipper or tippee did not profit from the trading. The SEC and the national securities</w:t>
      </w:r>
    </w:p>
    <w:p>
      <w:pPr>
        <w:pStyle w:val="TextBody"/>
        <w:bidi w:val="0"/>
        <w:spacing w:before="0" w:after="0"/>
        <w:ind w:left="20" w:right="0" w:firstLine="20"/>
        <w:jc w:val="left"/>
        <w:rPr>
          <w:rFonts w:ascii="Times New Roman" w:hAnsi="Times New Roman"/>
          <w:caps w:val="false"/>
          <w:smallCaps w:val="false"/>
          <w:sz w:val="20"/>
        </w:rPr>
      </w:pPr>
      <w:r>
        <w:rPr>
          <w:rFonts w:ascii="Times New Roman" w:hAnsi="Times New Roman"/>
          <w:caps w:val="false"/>
          <w:smallCaps w:val="false"/>
          <w:sz w:val="20"/>
        </w:rPr>
        <w:t>exchanges use sophisticated electronic surveillance techniques to assess and uncover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b/>
          <w:caps w:val="false"/>
          <w:smallCaps w:val="false"/>
          <w:sz w:val="20"/>
        </w:rPr>
        <w:t>3. Control Persons</w:t>
      </w:r>
      <w:r>
        <w:rPr>
          <w:rFonts w:ascii="Times New Roman" w:hAnsi="Times New Roman"/>
          <w:caps w:val="false"/>
          <w:smallCaps w:val="false"/>
          <w:sz w:val="20"/>
        </w:rPr>
        <w:t>. The Company and its supervisory personnel, if they fail to take appropriate steps to prevent illegal insider trading, may in certain circumstances be subject to the following penalties,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80" w:right="0" w:hanging="720"/>
        <w:jc w:val="left"/>
        <w:rPr>
          <w:caps w:val="false"/>
          <w:smallCaps w:val="false"/>
        </w:rPr>
      </w:pPr>
      <w:r>
        <w:rPr>
          <w:caps w:val="false"/>
          <w:smallCaps w:val="false"/>
        </w:rPr>
        <w:t xml:space="preserve">• </w:t>
      </w:r>
      <w:r>
        <w:rPr>
          <w:rFonts w:ascii="Times New Roman" w:hAnsi="Times New Roman"/>
          <w:caps w:val="false"/>
          <w:smallCaps w:val="false"/>
          <w:sz w:val="20"/>
        </w:rPr>
        <w:t>a civil penalty of up to the greater of $1,000,000 (subject to adjustment) or three (3) times the profit gained or loss avoided as a result of the employee’s violation;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80" w:right="0" w:hanging="720"/>
        <w:jc w:val="left"/>
        <w:rPr>
          <w:caps w:val="false"/>
          <w:smallCaps w:val="false"/>
        </w:rPr>
      </w:pPr>
      <w:r>
        <w:rPr>
          <w:caps w:val="false"/>
          <w:smallCaps w:val="false"/>
        </w:rPr>
        <w:t xml:space="preserve">• </w:t>
      </w:r>
      <w:r>
        <w:rPr>
          <w:rFonts w:ascii="Times New Roman" w:hAnsi="Times New Roman"/>
          <w:caps w:val="false"/>
          <w:smallCaps w:val="false"/>
          <w:sz w:val="20"/>
        </w:rPr>
        <w:t>a criminal penalty for individuals of up to $5,000,000 and for entities of up to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4. Possible Company-Imposed Disciplinary Actions</w:t>
      </w:r>
      <w:r>
        <w:rPr>
          <w:rFonts w:ascii="Times New Roman" w:hAnsi="Times New Roman"/>
          <w:caps w:val="false"/>
          <w:smallCaps w:val="false"/>
          <w:sz w:val="20"/>
        </w:rPr>
        <w:t>. Violations of this Policy will not be tolerated. Any employee who violates the standards in this Policy may be subject to disciplinary action, which, depending on the nature of the violation and the history of the employee, may range from a warning or reprimand up to and including ineligibility for future participation in the Company’s equity incentive plans, termination of the employment relationship and, in appropriate cases, civil legal action or referral for regulatory or criminal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F. MANDATORY GUIDELINES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 xml:space="preserve">1. Trading Blackout Period. </w:t>
      </w:r>
      <w:r>
        <w:rPr>
          <w:rFonts w:ascii="Times New Roman" w:hAnsi="Times New Roman"/>
          <w:caps w:val="false"/>
          <w:smallCaps w:val="false"/>
          <w:sz w:val="20"/>
        </w:rPr>
        <w:t xml:space="preserve">To ensure compliance with this Policy and applicable securities laws, and to avoid even the appearance of trading on the basis of inside information, the Company requires that its directors and executive officers, each of whom is set forth on </w:t>
      </w:r>
      <w:r>
        <w:rPr>
          <w:rFonts w:ascii="Times New Roman" w:hAnsi="Times New Roman"/>
          <w:b/>
          <w:caps w:val="false"/>
          <w:smallCaps w:val="false"/>
          <w:sz w:val="20"/>
        </w:rPr>
        <w:t xml:space="preserve">APPENDIX A </w:t>
      </w:r>
      <w:r>
        <w:rPr>
          <w:rFonts w:ascii="Times New Roman" w:hAnsi="Times New Roman"/>
          <w:caps w:val="false"/>
          <w:smallCaps w:val="false"/>
          <w:sz w:val="20"/>
        </w:rPr>
        <w:t xml:space="preserve">attached hereto, any other employees in the finance department of the Company set forth on </w:t>
      </w:r>
      <w:r>
        <w:rPr>
          <w:rFonts w:ascii="Times New Roman" w:hAnsi="Times New Roman"/>
          <w:b/>
          <w:caps w:val="false"/>
          <w:smallCaps w:val="false"/>
          <w:sz w:val="20"/>
        </w:rPr>
        <w:t xml:space="preserve">APPENDIX B </w:t>
      </w:r>
      <w:r>
        <w:rPr>
          <w:rFonts w:ascii="Times New Roman" w:hAnsi="Times New Roman"/>
          <w:caps w:val="false"/>
          <w:smallCaps w:val="false"/>
          <w:sz w:val="20"/>
        </w:rPr>
        <w:t xml:space="preserve">attached hereto, and any other employees designated by the Insider Trading Compliance Officer as subject to the Blackout Period (as defined below) prohibitions because of their access to the Company’s internal financial statements or other Material Nonpublic Information regarding the Company’s performance during annual and quarterly fiscal periods, which employees are set forth on </w:t>
      </w:r>
      <w:r>
        <w:rPr>
          <w:rFonts w:ascii="Times New Roman" w:hAnsi="Times New Roman"/>
          <w:b/>
          <w:caps w:val="false"/>
          <w:smallCaps w:val="false"/>
          <w:sz w:val="20"/>
        </w:rPr>
        <w:t xml:space="preserve">APPENDIX C </w:t>
      </w:r>
      <w:r>
        <w:rPr>
          <w:rFonts w:ascii="Times New Roman" w:hAnsi="Times New Roman"/>
          <w:caps w:val="false"/>
          <w:smallCaps w:val="false"/>
          <w:sz w:val="20"/>
        </w:rPr>
        <w:t xml:space="preserve">attached hereto (each of the individuals identified in </w:t>
      </w:r>
      <w:r>
        <w:rPr>
          <w:rFonts w:ascii="Times New Roman" w:hAnsi="Times New Roman"/>
          <w:b/>
          <w:caps w:val="false"/>
          <w:smallCaps w:val="false"/>
          <w:sz w:val="20"/>
        </w:rPr>
        <w:t xml:space="preserve">APPENDICES A through C </w:t>
      </w:r>
      <w:r>
        <w:rPr>
          <w:rFonts w:ascii="Times New Roman" w:hAnsi="Times New Roman"/>
          <w:caps w:val="false"/>
          <w:smallCaps w:val="false"/>
          <w:sz w:val="20"/>
        </w:rPr>
        <w:t>are collectively referred to herein as the “</w:t>
      </w:r>
      <w:r>
        <w:rPr>
          <w:rFonts w:ascii="Times New Roman" w:hAnsi="Times New Roman"/>
          <w:b/>
          <w:i/>
          <w:caps w:val="false"/>
          <w:smallCaps w:val="false"/>
          <w:sz w:val="20"/>
        </w:rPr>
        <w:t>Designated Insiders</w:t>
      </w:r>
      <w:r>
        <w:rPr>
          <w:rFonts w:ascii="Times New Roman" w:hAnsi="Times New Roman"/>
          <w:caps w:val="false"/>
          <w:smallCaps w:val="false"/>
          <w:sz w:val="20"/>
        </w:rPr>
        <w:t>”), and Family Members of the foregoing, refrain from conducting transactions involving the purchase or sale of the Company’s securities during the Blackout Periods established below. Each of the following periods will constitute a “Blackout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00" w:right="0" w:firstLine="20"/>
        <w:jc w:val="both"/>
        <w:rPr>
          <w:rFonts w:ascii="Times New Roman" w:hAnsi="Times New Roman"/>
          <w:caps w:val="false"/>
          <w:smallCaps w:val="false"/>
          <w:sz w:val="20"/>
        </w:rPr>
      </w:pPr>
      <w:r>
        <w:rPr>
          <w:rFonts w:ascii="Times New Roman" w:hAnsi="Times New Roman"/>
          <w:caps w:val="false"/>
          <w:smallCaps w:val="false"/>
          <w:sz w:val="20"/>
        </w:rPr>
        <w:t>The period commencing 15 days prior to the end of each fiscal quarter and ending at the close of business on the second Trading Day following the date of public disclosure of the Company’s financial results for that quarter. For purposes of clarification, the 15th day of such 15-day period shall be the last date of such fiscal quarter, such that the first day of the Blackout Period each year for (a) the first quarter shall be March 17th; (b) the second quarter shall be June 16th; (c) the third quarter shall be September 16th; and (d) the fourth quarter shall be December 17th.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In addition to the Blackout Periods described above, the Company may announce “special” Blackout Periods from time to time if, in the judgment of the Company’s Chief Executive Officer or the Insider Trading Compliance Officer, there are nonpublic developments that would be considered material for insider trading law purposes, such as, among other things, developments relating to regulatory matters, litigation or a major corporate transaction. Depending on the circumstances, a “special” Blackout Period may apply to all Designated Insiders or only to a specific group of Designated Insiders. The Insider Trading Compliance Officer will provide written notice to Designated Insiders subject to a “special” Blackout Period. Any person made aware of the existence of a “special” Blackout Period should not disclose the existence of the “special” Blackout Period to any other person. The failure of the Company to designate a person as being subject to a “special” Blackout Period will not relieve that person of the obligation not to trade while he or she is aware of Material Nonpublic Information. As used in this Policy, the term “Blackout Period” shall mean all periodic Blackout Periods and all “special” Blackout Periods announced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The purpose behind the Blackout Period is to help establish a diligent effort to avoid any improper transactions. Trading in the Company’s securities outside a Blackout Period should not be considered a “safe harbor,” and all employees, officers and directors of the Company and other persons subject to this Policy should use good judgment at all times. Even outside a Blackout Period, any person possessing Material Nonpublic Information concerning the Company should not engage in any transactions in the Company’s securities until such information has been known publicly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20"/>
        <w:jc w:val="left"/>
        <w:rPr>
          <w:rFonts w:ascii="Times New Roman" w:hAnsi="Times New Roman"/>
          <w:caps w:val="false"/>
          <w:smallCaps w:val="false"/>
          <w:sz w:val="20"/>
        </w:rPr>
      </w:pPr>
      <w:r>
        <w:rPr>
          <w:rFonts w:ascii="Times New Roman" w:hAnsi="Times New Roman"/>
          <w:caps w:val="false"/>
          <w:smallCaps w:val="false"/>
          <w:sz w:val="20"/>
        </w:rPr>
        <w:t>Transactions effected pursuant to a SEC Rule 10b5-1 trading plan implemented in accordance with Section G of this Policy are not subject to Blackout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b/>
          <w:caps w:val="false"/>
          <w:smallCaps w:val="false"/>
          <w:sz w:val="20"/>
        </w:rPr>
        <w:t>2. Pre-clearance of Trades</w:t>
      </w:r>
      <w:r>
        <w:rPr>
          <w:rFonts w:ascii="Times New Roman" w:hAnsi="Times New Roman"/>
          <w:caps w:val="false"/>
          <w:smallCaps w:val="false"/>
          <w:sz w:val="20"/>
        </w:rPr>
        <w:t>. Subject to Sections G and H of this Policy, the Company has determined that all directors and executive officers and their Family Members must refrain from transacting in the Company’s securities without first complying with the Company’s “pre-clearance” process. Each director or executive officer must contact the Insider Trading Compliance Officer prior to commencing any such transaction, or before any of their Family Members commences any transaction, in the Company’s securities. This pre-clearance requirement applies to any transaction or transfer involving the Company’s securities, including a gift, transfer to a trust or any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The Company may also find it necessary, from time to time, to require compliance with the pre-clearance process from other employees designated as Designated Insiders. In such event, the Company will provide notice to such employees of their need to comply with the Company’s pre-clearance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20"/>
        <w:jc w:val="both"/>
        <w:rPr>
          <w:rFonts w:ascii="Times New Roman" w:hAnsi="Times New Roman"/>
          <w:caps w:val="false"/>
          <w:smallCaps w:val="false"/>
          <w:sz w:val="20"/>
        </w:rPr>
      </w:pPr>
      <w:r>
        <w:rPr>
          <w:rFonts w:ascii="Times New Roman" w:hAnsi="Times New Roman"/>
          <w:caps w:val="false"/>
          <w:smallCaps w:val="false"/>
          <w:sz w:val="20"/>
        </w:rPr>
        <w:t>No Designated Insider may engage in any transaction in the Company’s securities unless the transaction is pre-cleared by the Insider Trading Compliance Officer (provided that transactions in the Company’s securities by the Insider Trading Compliance Officer are subject to approval by the Company’s Chief Legal Officer). The Insider Trading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20"/>
        <w:jc w:val="left"/>
        <w:rPr>
          <w:rFonts w:ascii="Times New Roman" w:hAnsi="Times New Roman"/>
          <w:caps w:val="false"/>
          <w:smallCaps w:val="false"/>
          <w:sz w:val="20"/>
        </w:rPr>
      </w:pPr>
      <w:r>
        <w:rPr>
          <w:rFonts w:ascii="Times New Roman" w:hAnsi="Times New Roman"/>
          <w:caps w:val="false"/>
          <w:smallCaps w:val="false"/>
          <w:sz w:val="20"/>
        </w:rPr>
        <w:t>and the Company’s Chief Legal Officer are not under any obligation to approve a transaction submitted for pre-clearance, and each may determine not to permit a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To facilitate the process, the Insider Trading Compliance Officer will email all employees when they may request pre-clearance. Employees may then email the Insider Trading Compliance Officer seeking approval of trades noting whether they plan to buy or sell stock and the number of shares they plan to buy or sell. After approval, the employee will then be cleared to trade on the Company’s stock administration portal, E*TRADE for a period not to exceed the start of a Blackout Period. No transaction may be effected until the employee has received approval from the Insider Trading Compliance Officer. If, upon requesting pre-clearance or otherwise, a director or executive officer or a Family Member of a director or executive officer is advised that Company securities may not be traded or transferred, such director, executive officer or Family Member may not buy, sell or otherwise trade or transfer any Company securities under any circumstance, and may not inform anyone of such restriction. This trading and transfer restriction will apply until the director, officer or Family Member receives a subsequent pre-clearance to trade or transfer his or her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caps w:val="false"/>
          <w:smallCaps w:val="false"/>
          <w:sz w:val="20"/>
        </w:rPr>
        <w:t>Transactions effected pursuant to a SEC Rule 10b5-1 trading plan implemented in accordance with Section G of this Policy will not require further pre-clearance at the time of each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 xml:space="preserve">3. Hardship Exceptions. </w:t>
      </w:r>
      <w:r>
        <w:rPr>
          <w:rFonts w:ascii="Times New Roman" w:hAnsi="Times New Roman"/>
          <w:caps w:val="false"/>
          <w:smallCaps w:val="false"/>
          <w:sz w:val="20"/>
        </w:rPr>
        <w:t>Any Designated Insider or Family Member of such insider who has an unexpected and urgent need to sell Company securities in order to generate cash may, in appropriate circumstances, be permitted to sell Company securities even during a Blackout Period. Hardship exceptions may be granted only by the Insider Trading Compliance Officer and must be requested at least two (2) days in advance of the proposed trade. A hardship exception may be granted only if the Insider Trading Compliance Officer concludes that the Company’s earnings information for the applicable quarter does not constitute Material Nonpublic Information. Under no circumstances will a hardship exception be granted during a “special” Blackout Period or to a director or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4. Individual Responsibility</w:t>
      </w:r>
      <w:r>
        <w:rPr>
          <w:rFonts w:ascii="Times New Roman" w:hAnsi="Times New Roman"/>
          <w:caps w:val="false"/>
          <w:smallCaps w:val="false"/>
          <w:sz w:val="20"/>
        </w:rPr>
        <w:t>. Every director, officer and employee of the Company has the individual responsibility (and must take appropriate measures to cause such person’s Family Members) to comply with this Policy regardless of whether a transaction is executed outside a Blackout Period or is pre-cleared by the Insider Trading Compliance Officer. The restrictions and procedures are intended to help avoid inadvertent instances of improper insider trading, but appropriate judgment should always be exercised by each director, officer and employee of the Company in connection with any transaction in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director, officer or employee of the Company, or a Family Member of any such individual, may, from time to time, need to forego a proposed transaction in the Company’s securities even if he or she planned to make the transaction before learning of Material Nonpublic Information and even though the individual believes he or she may suffer an economic loss or forego anticipated profit by waiting. </w:t>
      </w:r>
      <w:r>
        <w:rPr>
          <w:rFonts w:ascii="Times New Roman" w:hAnsi="Times New Roman"/>
          <w:b/>
          <w:caps w:val="false"/>
          <w:smallCaps w:val="false"/>
          <w:sz w:val="20"/>
        </w:rPr>
        <w:t xml:space="preserve">Employees, officers and directors of the Company are responsible for ensuring compliance with this Policy by their Family Members.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G. RULE 10B5-1 TRADING PLANS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SEC Rule 10b5-1 provides an affirmative defense from insider trading liability under the federal securities laws for trading plans that meet certain requirements. It does not prevent someone from bringing a lawsuit. This Policy permits individuals to adopt SEC Rule 10b5-1 trading plans with brokers that outline a pre-set plan for transacting in the Company’s securities, including the exercise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As required by SEC Rule 10b5-1, a director, executive officer or other employee of the Company identified as a Designated Insider may implement a trading plan under SEC Rule 10b5- 1 only when he or she is not in possession of Material Nonpublic Information. In addition, a trading plan may not be entered into or once entered into, changed, during a Blackout Period. Any officer or other employee of the Company identified as a Designated Insider who wishes to implement a trading plan under SEC Rule 10b5-1 must first pre-clear the plan with the Insider Trading Compliance Officer at least five (5) days prior to the entry into the plan, and also must pre-clear any amendment to such plan and any termination of a plan in advance of its expiration date, with the Insider Trading Compliance Officer. Except as set forth above, no further pre-approval of transactions conducted pursuant to trading plan under SEC Rule 10b5-1 will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left"/>
        <w:rPr>
          <w:rFonts w:ascii="Times New Roman" w:hAnsi="Times New Roman"/>
          <w:caps w:val="false"/>
          <w:smallCaps w:val="false"/>
          <w:sz w:val="20"/>
        </w:rPr>
      </w:pPr>
      <w:r>
        <w:rPr>
          <w:rFonts w:ascii="Times New Roman" w:hAnsi="Times New Roman"/>
          <w:caps w:val="false"/>
          <w:smallCaps w:val="false"/>
          <w:sz w:val="20"/>
        </w:rPr>
        <w:t>Establishing a trading plan under SEC Rule 10b5-1 does not exempt transactions from the short-swing profit provisions of Section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H. CERTAIN EXCEPTIONS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40"/>
        <w:jc w:val="both"/>
        <w:rPr>
          <w:rFonts w:ascii="Times New Roman" w:hAnsi="Times New Roman"/>
          <w:caps w:val="false"/>
          <w:smallCaps w:val="false"/>
          <w:sz w:val="20"/>
        </w:rPr>
      </w:pPr>
      <w:r>
        <w:rPr>
          <w:rFonts w:ascii="Times New Roman" w:hAnsi="Times New Roman"/>
          <w:b/>
          <w:caps w:val="false"/>
          <w:smallCaps w:val="false"/>
          <w:sz w:val="20"/>
        </w:rPr>
        <w:t>1. Equity Award Exercises</w:t>
      </w:r>
      <w:r>
        <w:rPr>
          <w:rFonts w:ascii="Times New Roman" w:hAnsi="Times New Roman"/>
          <w:caps w:val="false"/>
          <w:smallCaps w:val="false"/>
          <w:sz w:val="20"/>
        </w:rPr>
        <w:t>. For purposes of this Policy, the Company considers the exercise of equity awards under the Company’s equity incentive plans, including any net exercise of an equity award pursuant to which you have elected to have the Company withhold shares of stock to satisfy tax withholding requirements or the exercise price of the equity award, to be exempt from this Policy. This Policy does apply, however, to any sale of stock as part of a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20"/>
        <w:jc w:val="left"/>
        <w:rPr>
          <w:rFonts w:ascii="Times New Roman" w:hAnsi="Times New Roman"/>
          <w:caps w:val="false"/>
          <w:smallCaps w:val="false"/>
          <w:sz w:val="20"/>
        </w:rPr>
      </w:pPr>
      <w:r>
        <w:rPr>
          <w:rFonts w:ascii="Times New Roman" w:hAnsi="Times New Roman"/>
          <w:caps w:val="false"/>
          <w:smallCaps w:val="false"/>
          <w:sz w:val="20"/>
        </w:rPr>
        <w:t>assisted “cashless” exercise of an equity award, any market sale for the purpose of generating the cash needed to pay the exercise price of an equity award and any other sale of the underlying stock received upon exercise of any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 xml:space="preserve">2. Restricted Stock Awards. </w:t>
      </w:r>
      <w:r>
        <w:rPr>
          <w:rFonts w:ascii="Times New Roman" w:hAnsi="Times New Roman"/>
          <w:caps w:val="false"/>
          <w:smallCaps w:val="false"/>
          <w:sz w:val="20"/>
        </w:rPr>
        <w:t>This Policy does not apply to the vesting of restricted stock, or the exercise of a tax withholding right pursuant to which an individual elects to have the Company withhold shares of stock to satisfy tax withholding requirements upon the vesting of any restricted stock. The Policy does apply, however, to any market sale of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3. 401(k) Plan</w:t>
      </w:r>
      <w:r>
        <w:rPr>
          <w:rFonts w:ascii="Times New Roman" w:hAnsi="Times New Roman"/>
          <w:caps w:val="false"/>
          <w:smallCaps w:val="false"/>
          <w:sz w:val="20"/>
        </w:rPr>
        <w:t>. This Policy does not apply to purchases of Company stock in the Company’s 401(k) plan resulting from periodic contributions of money to the plan pursuant to payroll deduction elections. This Policy does apply, however, to certain elections that may be made under the 401(k) plan, including: (i) an election to increase or decrease the percentage of periodic contributions that will be allocated to the Company stock fund, if any; (ii) an election to make an intra-plan transfer of an existing account balance into or out of the Company stock fund; (iii) an election to borrow money against a 401(k) plan account if the loan will result in a liquidation of some or all of a participant’s Company stock fund balance; and (iv) an election to pre-pay a plan loan if the pre-payment will result in allocation of loan proceeds to the Company stock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 xml:space="preserve">4. Employee Stock Purchase Plan. </w:t>
      </w:r>
      <w:r>
        <w:rPr>
          <w:rFonts w:ascii="Times New Roman" w:hAnsi="Times New Roman"/>
          <w:caps w:val="false"/>
          <w:smallCaps w:val="false"/>
          <w:sz w:val="20"/>
        </w:rPr>
        <w:t xml:space="preserve">This Policy does not apply to purchases of Company stock in any employee stock purchase plan of the Company resulting from periodic contributions of money to the plan pursuant to the elections made at the time of enrollment in the plan. This Policy also does not apply to purchases of Company stock resulting from lump sum contributions to the plan; </w:t>
      </w:r>
      <w:r>
        <w:rPr>
          <w:rFonts w:ascii="Times New Roman" w:hAnsi="Times New Roman"/>
          <w:i/>
          <w:caps w:val="false"/>
          <w:smallCaps w:val="false"/>
          <w:sz w:val="20"/>
        </w:rPr>
        <w:t xml:space="preserve">provided that </w:t>
      </w:r>
      <w:r>
        <w:rPr>
          <w:rFonts w:ascii="Times New Roman" w:hAnsi="Times New Roman"/>
          <w:caps w:val="false"/>
          <w:smallCaps w:val="false"/>
          <w:sz w:val="20"/>
        </w:rPr>
        <w:t>the participant elected to participate by lump-sum payment at the beginning of the applicable enrollment period. This Policy does apply to a participant’s election to participate, or increase his or her participation, in the plan, and to a participant’s sales of Company stock purchased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b/>
          <w:caps w:val="false"/>
          <w:smallCaps w:val="false"/>
          <w:sz w:val="20"/>
        </w:rPr>
        <w:t>5. Dividend Reinvestment Plan</w:t>
      </w:r>
      <w:r>
        <w:rPr>
          <w:rFonts w:ascii="Times New Roman" w:hAnsi="Times New Roman"/>
          <w:caps w:val="false"/>
          <w:smallCaps w:val="false"/>
          <w:sz w:val="20"/>
        </w:rPr>
        <w:t>. This Policy does not apply to purchases of Company stock under any dividend reinvestment plan of the Company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his or her level of participation in the plan. This Policy also applies to his or her sale of any Company stock purchased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I. APPLICABILITY OF POLICY TO INSIDE INFORMATION REGARDING OTHER COMPANIES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This Policy and the guidelines described herein also apply to material nonpublic information relating to other companies, including the Company’s customers, vendors or suppliers (collectively, “</w:t>
      </w:r>
      <w:r>
        <w:rPr>
          <w:rFonts w:ascii="Times New Roman" w:hAnsi="Times New Roman"/>
          <w:b/>
          <w:i/>
          <w:caps w:val="false"/>
          <w:smallCaps w:val="false"/>
          <w:sz w:val="20"/>
        </w:rPr>
        <w:t>business partners</w:t>
      </w:r>
      <w:r>
        <w:rPr>
          <w:rFonts w:ascii="Times New Roman" w:hAnsi="Times New Roman"/>
          <w:caps w:val="false"/>
          <w:smallCaps w:val="false"/>
          <w:sz w:val="20"/>
        </w:rPr>
        <w:t>”), when that information is obtained in the course of employment with, or other services performed on behalf of, the Company. Civil and criminal penalties, and termination of employment or removal from our Board of Directors, may result from trading on inside information regarding the Company’s business partners. All Company employees should treat material nonpublic information about the Company’s business partners with the same care required with respect to information related directly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b/>
          <w:caps w:val="false"/>
          <w:smallCaps w:val="false"/>
          <w:sz w:val="20"/>
        </w:rPr>
        <w:t>J. SECTION 16 LIABILITY - DIRECTORS AND OFFICERS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Directors and certain officers of the Company must also comply with the reporting obligations and limitations on short-swing profit transactions set forth in Section 16. The practical effect of these provisions is that these officers and directors who purchase and sell the Company’s securities within a six-month period must disgorge all profits to the Company whether or not they had knowledge of any Material Nonpublic Information. Under these provisions, and so long as certain other criteria are met, neither the receipt of stock or stock options under the Company’s stock plans, nor the exercise of options nor the receipt of stock under a Company dividend reinvestment plan or the Company’s 401(k) retirement plan is deemed a purchase that can be matched against a sale for Section 16(b) short-swing profit disgorgement purposes; however, the sale of any such shares so obtained is a sale for these purposes. The Company will provide separate memoranda and other appropriate materials to the affected officers and directors regarding compliance with Section 16 and its related rules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left"/>
        <w:rPr>
          <w:rFonts w:ascii="Times New Roman" w:hAnsi="Times New Roman"/>
          <w:b/>
          <w:caps w:val="false"/>
          <w:smallCaps w:val="false"/>
          <w:sz w:val="20"/>
        </w:rPr>
      </w:pPr>
      <w:r>
        <w:rPr>
          <w:rFonts w:ascii="Times New Roman" w:hAnsi="Times New Roman"/>
          <w:b/>
          <w:caps w:val="false"/>
          <w:smallCaps w:val="false"/>
          <w:sz w:val="20"/>
        </w:rPr>
        <w:t xml:space="preserve">The rules on recovery of short-swing profits are absolute and do not depend on whether a person has Material Nonpublic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K. SHORT SALES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20"/>
        <w:jc w:val="both"/>
        <w:rPr>
          <w:rFonts w:ascii="Times New Roman" w:hAnsi="Times New Roman"/>
          <w:caps w:val="false"/>
          <w:smallCaps w:val="false"/>
          <w:sz w:val="20"/>
        </w:rPr>
      </w:pPr>
      <w:r>
        <w:rPr>
          <w:rFonts w:ascii="Times New Roman" w:hAnsi="Times New Roman"/>
          <w:caps w:val="false"/>
          <w:smallCaps w:val="false"/>
          <w:sz w:val="20"/>
        </w:rPr>
        <w:t>No director, officer, other employee or consultant of the Company may engage in short sales of the Company’s securities, including a “sale against the box,” at any time.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Furthermore, Section 16(c) of the Exchange Act expressly prohibits directors and certain officers of the Company from making short sales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L. PUBLICLY TRADED OPTIONS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left"/>
        <w:rPr>
          <w:rFonts w:ascii="Times New Roman" w:hAnsi="Times New Roman"/>
          <w:caps w:val="false"/>
          <w:smallCaps w:val="false"/>
          <w:sz w:val="20"/>
        </w:rPr>
      </w:pPr>
      <w:r>
        <w:rPr>
          <w:rFonts w:ascii="Times New Roman" w:hAnsi="Times New Roman"/>
          <w:caps w:val="false"/>
          <w:smallCaps w:val="false"/>
          <w:sz w:val="20"/>
        </w:rPr>
        <w:t>A transaction in a publicly-traded option is, in effect, a bet on the short-term movement of the Company’s stock and therefore creates the appearance that the director or employee is trading based on inside information. Transactions in options also may focus the trader’s attention on short-term performance at the expense of the Company’s long-term objectives. Accordingly, transactions in puts, calls or other derivative securities, on an exchange or in any other organized market, are prohibited. Option positions arising from certain types of hedging transactions are governed by Section M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M. HEDGING OR MONETIZATION TRANSACTIONS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Certain forms of hedging or monetization transactions, such as zero-cost collars and forward sale contracts, allow a director, officer or employee to lock in much of the value of his or her stock holdings, often in exchange for all or part of the potential for upside appreciation in the stock. These transactions would allow them to continue to own the covered securities, but without the full risks and rewards of ownership. When that occurs, their interests and the interests of the Company and its stockholders may be misaligned and may signal a message to the trading market when disclosed in Section 16 reports that may not be in the best interests of the Company and its stockholders at the time it is conveyed. Accordingly, transactions in hedging or monetization transactions involving Company securities are prohibited.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N. MARGIN ACCOUNTS AND PLEDGES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40"/>
        <w:jc w:val="both"/>
        <w:rPr>
          <w:rFonts w:ascii="Times New Roman" w:hAnsi="Times New Roman"/>
          <w:caps w:val="false"/>
          <w:smallCaps w:val="false"/>
          <w:sz w:val="20"/>
        </w:rPr>
      </w:pPr>
      <w:r>
        <w:rPr>
          <w:rFonts w:ascii="Times New Roman" w:hAnsi="Times New Roman"/>
          <w:caps w:val="false"/>
          <w:smallCaps w:val="false"/>
          <w:sz w:val="20"/>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 permitted to trade in Company securities pursuant to a Blackout Period restriction. Thus, unless pre-cleared by the Insider Trading Compliance Officer, directors, officers and employees are prohibited from pledging Company securities as collateral for a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Any director, officer or employee of the Company preparing to pledge his or her Company securities must clearly demonstrate his or her financial capacity to repay the loan without resort to the pledged securities. Any person proposing to pledge Company securities as collateral for a loan must submit a request for approval to the Insider Trading Compliance Officer at least two (2) weeks prior to the proposed execution of documents evidencing the proposed pledge.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O. STANDING ORDERS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Standing orders should be used only for a very brief period. A standing order placed with a broker or other nominee to sell or purchase stock at a specified price leaves an employee, officer or director of the Company with no control over the timing of the transaction. A standing order transaction executed by the broker or other nominee when such employee, officer or director of the Company is aware of Material Nonpublic Information may result in unlawful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P. GIFTS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Because charitable and other nonprofit organizations may sell securities given to them very soon after receiving them, and because there is also the potential for manipulation (or perceived manipulation) by the donor to gain a larger tax deduction by donating securities before the release of material negative news, charitable gifts may not be made at a time when the donor is aware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Q. POST-TERMINATION TRANSACTIONS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In the event a director, officer or employee of the Company resigns or terminates employment or service with the Company, this Policy shall continue to apply to transactions in Company securities by such individual for so long as he or she remains in possession of any Material Nonpublic Information possessed by such director, officer or employee as of his or her resignation or termination. Notwithstanding the foregoing, all former directors, officers and employees shall remain subject to the prohibitions against insider trading set forth under federal and state securities laws any time they engage in transactions in Company securities following their resignation or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R. COMMUNICATIONS WITH THE PUBLIC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The Company is subject to the SEC’s Regulation FD (Fair Disclosure) and must avoid selective disclosure of Material Nonpublic Information. The Company has established procedures for releasing material information in a manner that is designed to achieve broad public dissemination of the information immediately upon its release. Pursuant to Company policy, only the executive officers who have been authorized to engage in communications with the public may disclose information to the public regarding the Company and its business activities and financial affairs. The public includes, without limitation, research analysts, portfolio managers, financial and business reporters, news media and investors. In addition, because of the risks associated with the exchange of information through such communications media, Company employees must adhere to the Company’s Social Media Policy in posting or responding to messages containing information regarding the Company on Internet “bulletin boards,” Internet “chat rooms,” “blogs”, finance message boards and chat rooms or in similar online forums. Employees who inadvertently disclose any Material Nonpublic Information must immediately advise the Insider Trading Compliance Officer so the Company can assess its obligations under Regulation FD and other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S. INQUIRIES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left"/>
        <w:rPr>
          <w:rFonts w:ascii="Times New Roman" w:hAnsi="Times New Roman"/>
          <w:caps w:val="false"/>
          <w:smallCaps w:val="false"/>
          <w:sz w:val="20"/>
        </w:rPr>
      </w:pPr>
      <w:r>
        <w:rPr>
          <w:rFonts w:ascii="Times New Roman" w:hAnsi="Times New Roman"/>
          <w:caps w:val="false"/>
          <w:smallCaps w:val="false"/>
          <w:sz w:val="20"/>
        </w:rPr>
        <w:t>Please direct questions as to any of the matters discussed in this Policy to the Insider Trading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0"/>
        <w:jc w:val="left"/>
        <w:rPr>
          <w:rFonts w:ascii="Times New Roman" w:hAnsi="Times New Roman"/>
          <w:caps w:val="false"/>
          <w:smallCaps w:val="false"/>
          <w:sz w:val="20"/>
        </w:rPr>
      </w:pPr>
      <w:r>
        <w:rPr>
          <w:rFonts w:ascii="Times New Roman" w:hAnsi="Times New Roman"/>
          <w:caps w:val="false"/>
          <w:smallCaps w:val="false"/>
          <w:sz w:val="20"/>
        </w:rPr>
        <w:t>General Counsel</w:t>
      </w:r>
    </w:p>
    <w:p>
      <w:pPr>
        <w:pStyle w:val="TextBody"/>
        <w:bidi w:val="0"/>
        <w:spacing w:before="0" w:after="0"/>
        <w:ind w:left="760" w:right="0" w:hanging="0"/>
        <w:jc w:val="left"/>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760" w:right="0" w:hanging="0"/>
        <w:jc w:val="left"/>
        <w:rPr>
          <w:rFonts w:ascii="Times New Roman" w:hAnsi="Times New Roman"/>
          <w:caps w:val="false"/>
          <w:smallCaps w:val="false"/>
          <w:sz w:val="20"/>
        </w:rPr>
      </w:pPr>
      <w:r>
        <w:rPr>
          <w:rFonts w:ascii="Times New Roman" w:hAnsi="Times New Roman"/>
          <w:caps w:val="false"/>
          <w:smallCaps w:val="false"/>
          <w:sz w:val="20"/>
        </w:rPr>
        <w:t>E-mail: chris@aterian.io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T. SUSPECTED VIOLATIONS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caps w:val="false"/>
          <w:smallCaps w:val="false"/>
          <w:sz w:val="20"/>
        </w:rPr>
        <w:t>Any director, officer, other employee or consultant of the Company who knows of or suspects a violation of this Policy should report the violation immediately to the Insider Trading Compliance Officer or through the procedures for reporting outlined in the Company’s Code of Conduct and Ethics. The Company will comply with all requests from the SEC, The Financial Industry Regulatory Authority, Inc., Nasdaq and any other quotation system or national securities exchange on which the Company’s common stock is then traded or listed, and other agencies for information related to insider trading investigations.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b/>
          <w:caps w:val="false"/>
          <w:smallCaps w:val="false"/>
          <w:sz w:val="20"/>
        </w:rPr>
        <w:t>U. CERTIFICATION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both"/>
        <w:rPr>
          <w:rFonts w:ascii="Times New Roman" w:hAnsi="Times New Roman"/>
          <w:caps w:val="false"/>
          <w:smallCaps w:val="false"/>
          <w:sz w:val="20"/>
        </w:rPr>
      </w:pPr>
      <w:r>
        <w:rPr>
          <w:rFonts w:ascii="Times New Roman" w:hAnsi="Times New Roman"/>
          <w:caps w:val="false"/>
          <w:smallCaps w:val="false"/>
          <w:sz w:val="20"/>
        </w:rPr>
        <w:t xml:space="preserve">All directors, officers and employees of the Company must certify their understanding of, and intent to comply with, this Policy by executing the Certification form attached hereto as EXHIBIT </w:t>
      </w:r>
      <w:r>
        <w:rPr>
          <w:rFonts w:ascii="Times New Roman" w:hAnsi="Times New Roman"/>
          <w:b/>
          <w:caps w:val="false"/>
          <w:smallCaps w:val="false"/>
          <w:sz w:val="20"/>
        </w:rPr>
        <w:t xml:space="preserve">A </w:t>
      </w:r>
      <w:r>
        <w:rPr>
          <w:rFonts w:ascii="Times New Roman" w:hAnsi="Times New Roman"/>
          <w:caps w:val="false"/>
          <w:smallCaps w:val="false"/>
          <w:sz w:val="20"/>
        </w:rPr>
        <w:t>and returning it to the Insider Trading Compliance Officer. By executing the Certification form, each director, officer and employee indicates that he or she received, read, understands and agrees to comply with this Policy. The Certification form must be returned to the Insider Trading Compliance Officer promptly following commencement of employment or directorship.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V. ADDITIONAL </w:t>
      </w:r>
      <w:r>
        <w:rPr>
          <w:rFonts w:ascii="Times New Roman" w:hAnsi="Times New Roman"/>
          <w:caps w:val="false"/>
          <w:smallCaps w:val="false"/>
          <w:sz w:val="20"/>
        </w:rPr>
        <w:t>I</w:t>
      </w:r>
      <w:r>
        <w:rPr>
          <w:rFonts w:ascii="Times New Roman" w:hAnsi="Times New Roman"/>
          <w:b/>
          <w:caps w:val="false"/>
          <w:smallCaps w:val="false"/>
          <w:sz w:val="20"/>
        </w:rPr>
        <w:t xml:space="preserve">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20"/>
        <w:jc w:val="both"/>
        <w:rPr>
          <w:rFonts w:ascii="Times New Roman" w:hAnsi="Times New Roman"/>
          <w:caps w:val="false"/>
          <w:smallCaps w:val="false"/>
          <w:sz w:val="20"/>
        </w:rPr>
      </w:pPr>
      <w:r>
        <w:rPr>
          <w:rFonts w:ascii="Times New Roman" w:hAnsi="Times New Roman"/>
          <w:caps w:val="false"/>
          <w:smallCaps w:val="false"/>
          <w:sz w:val="20"/>
        </w:rPr>
        <w:t>Nothing in this Policy creates or implies an employment contract or term of employment. Employment at the Company is employment at-will unless otherwise expressly provided in an employment contract signed by the employee and the Company’s Chief Executive Officer (or another authorized officer of the Company). Employment at-will may be terminated with or without cause and with or without notice at any time by the employee or the Company. Nothing in this Policy shall limit the right to terminate employment at-will. No one other than the Company’s Chief Executive Officer is authorized to change this at-will employment relationship, or to enter into an agreement to employ employees for a specified period of time. If the Company’s Chief Executive Officer makes this kind of different agreement with an employee, it will not be effective unless it is in writing, clearly states that the at-will employment relationship is changed, and is signed by the employee and the Company’s Chief Executive Officer (or another authorized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b/>
          <w:caps w:val="false"/>
          <w:smallCaps w:val="false"/>
          <w:sz w:val="20"/>
        </w:rPr>
        <w:t>W. AMENDMENTS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left"/>
        <w:rPr>
          <w:rFonts w:ascii="Times New Roman" w:hAnsi="Times New Roman"/>
          <w:caps w:val="false"/>
          <w:smallCaps w:val="false"/>
          <w:sz w:val="20"/>
        </w:rPr>
      </w:pPr>
      <w:r>
        <w:rPr>
          <w:rFonts w:ascii="Times New Roman" w:hAnsi="Times New Roman"/>
          <w:caps w:val="false"/>
          <w:smallCaps w:val="false"/>
          <w:sz w:val="20"/>
        </w:rPr>
        <w:t>This Policy will be subject to the periodic review of our Board of Directors. The Company anticipates that modifications to this Policy will be necessary from time to time as the Company’s needs and circumstances evolve, and as applicable legal or listing standards change. The Company reserves the right to amend, supplement or discontinue this Policy and the matters addressed herein, without prior notice, at any time. However, employees are expected to adhere to this Policy, and the procedures established under it, until they receive any contrary instruction from the Insider Trading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Adopted on May 22, 2019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i/>
          <w:caps w:val="false"/>
          <w:smallCaps w:val="false"/>
          <w:sz w:val="20"/>
        </w:rPr>
      </w:pPr>
      <w:r>
        <w:rPr>
          <w:rFonts w:ascii="Times New Roman" w:hAnsi="Times New Roman"/>
          <w:i/>
          <w:caps w:val="false"/>
          <w:smallCaps w:val="false"/>
          <w:sz w:val="20"/>
        </w:rPr>
        <w:t>Amended on November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ATERIAN,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INSIDER TRADING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40"/>
        <w:jc w:val="both"/>
        <w:rPr>
          <w:rFonts w:ascii="Times New Roman" w:hAnsi="Times New Roman"/>
          <w:caps w:val="false"/>
          <w:smallCaps w:val="false"/>
          <w:sz w:val="20"/>
        </w:rPr>
      </w:pPr>
      <w:r>
        <w:rPr>
          <w:rFonts w:ascii="Times New Roman" w:hAnsi="Times New Roman"/>
          <w:caps w:val="false"/>
          <w:smallCaps w:val="false"/>
          <w:sz w:val="20"/>
        </w:rPr>
        <w:t>I have received and read, and I understand, Insider Trading Policy (the “</w:t>
      </w:r>
      <w:r>
        <w:rPr>
          <w:rFonts w:ascii="Times New Roman" w:hAnsi="Times New Roman"/>
          <w:b/>
          <w:i/>
          <w:caps w:val="false"/>
          <w:smallCaps w:val="false"/>
          <w:sz w:val="20"/>
        </w:rPr>
        <w:t>Policy</w:t>
      </w:r>
      <w:r>
        <w:rPr>
          <w:rFonts w:ascii="Times New Roman" w:hAnsi="Times New Roman"/>
          <w:caps w:val="false"/>
          <w:smallCaps w:val="false"/>
          <w:sz w:val="20"/>
        </w:rPr>
        <w:t>”) of Aterian, Inc. (the “</w:t>
      </w:r>
      <w:r>
        <w:rPr>
          <w:rFonts w:ascii="Times New Roman" w:hAnsi="Times New Roman"/>
          <w:b/>
          <w:i/>
          <w:caps w:val="false"/>
          <w:smallCaps w:val="false"/>
          <w:sz w:val="20"/>
        </w:rPr>
        <w:t>Company</w:t>
      </w:r>
      <w:r>
        <w:rPr>
          <w:rFonts w:ascii="Times New Roman" w:hAnsi="Times New Roman"/>
          <w:caps w:val="false"/>
          <w:smallCaps w:val="false"/>
          <w:sz w:val="20"/>
        </w:rPr>
        <w:t>”). I understand the standards and policies contained in the Policy and understand that there may be additional policies or laws specific to me depending on my role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20"/>
        <w:jc w:val="both"/>
        <w:rPr>
          <w:rFonts w:ascii="Times New Roman" w:hAnsi="Times New Roman"/>
          <w:caps w:val="false"/>
          <w:smallCaps w:val="false"/>
          <w:sz w:val="20"/>
        </w:rPr>
      </w:pPr>
      <w:r>
        <w:rPr>
          <w:rFonts w:ascii="Times New Roman" w:hAnsi="Times New Roman"/>
          <w:caps w:val="false"/>
          <w:smallCaps w:val="false"/>
          <w:sz w:val="20"/>
        </w:rPr>
        <w:t>I further agree, as a condition of my employment (or continued employment) with the Company or appointment (or future nomination for election) to the Board of Directors of the Company, to comply with the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40"/>
        <w:jc w:val="left"/>
        <w:rPr>
          <w:rFonts w:ascii="Times New Roman" w:hAnsi="Times New Roman"/>
          <w:caps w:val="false"/>
          <w:smallCaps w:val="false"/>
          <w:sz w:val="20"/>
        </w:rPr>
      </w:pPr>
      <w:r>
        <w:rPr>
          <w:rFonts w:ascii="Times New Roman" w:hAnsi="Times New Roman"/>
          <w:caps w:val="false"/>
          <w:smallCaps w:val="false"/>
          <w:sz w:val="20"/>
        </w:rPr>
        <w:t>I further understand that I should contact the Insider Trading Compliance Officer if I have any questions about the Policy generally. I understand that the Policy sets forth, in Section T thereof, specific ways to report an actual or potential violation of the Policy, or of any rule, law, regulation or other Company policy. I agree that I will ask the Insider Trading Compliance Officer if I have any questions about how to make such reports, or about any potential conflict of interest. This signed “Insider Trading Policy Certification” page must be returned to the Insider Trading Compliance Officer, who is also the Company’s Chief Operating Officer, within ten (10) business days of my receipt of the Policy and otherwise as may be required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_______________________________________</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_______________________________________</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_______________________________________</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APPENDIX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MEMBERS OF THE BOARD OF DIRECTORS AND EXECUTIVE OFFICERS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NON-EMPLOYEE DIRECTORS: 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EXECUTIVE OFFICERS: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APPENDIX B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EMPLOYEES IN THE FINANCE DEPARTMENT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ALL.</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APPENDIX 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OTHER 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ALL EMPLOYEES, AND CONTRACTORS WHO DO OR MAY HAVE ACCESS TO POWERBI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9" w:name="ex_865481.htm"/>
      <w:bookmarkStart w:id="40" w:name="ksex_865481"/>
      <w:bookmarkEnd w:id="39"/>
      <w:bookmarkEnd w:id="40"/>
      <w:r>
        <w:rPr>
          <w:rFonts w:ascii="Times New Roman" w:hAnsi="Times New Roman"/>
          <w:b/>
          <w:caps w:val="false"/>
          <w:smallCaps w:val="false"/>
          <w:sz w:val="20"/>
        </w:rPr>
        <w:t>Exhibit 21.1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List of Subsidiaries of Aterian, Inc.</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28" w:type="dxa"/>
          <w:right w:w="0" w:type="dxa"/>
        </w:tblCellMar>
      </w:tblPr>
      <w:tblGrid>
        <w:gridCol w:w="3335"/>
        <w:gridCol w:w="60"/>
        <w:gridCol w:w="1400"/>
      </w:tblGrid>
      <w:tr>
        <w:trPr/>
        <w:tc>
          <w:tcPr>
            <w:tcW w:w="33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Subsidiary</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Jurisdiction</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Aterian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Xtava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RIF6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Vremi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hOmelabs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Punched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KitchenVox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Aussie Health Co,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Truweo,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Spiralizer,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PurSteam,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Pohl &amp; Schmidt,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Mueller Austria,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KNDirect,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Kitchen Products,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Healing Solutions (Remedy)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Squatty Potty USA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 and Go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Photo Paper Direct,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Photo Paper Direct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Shenzhen Mohawk Technology Ltd. 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Mohawk Innovations Canada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Mohawk Group Poland Sp. z.o.o.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Poland</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Mohawk Research &amp; Development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Israel</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Mohawk Group Inc. Philippines 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1" w:name="ex_865483.htm"/>
      <w:bookmarkStart w:id="42" w:name="ksex_865483"/>
      <w:bookmarkEnd w:id="41"/>
      <w:bookmarkEnd w:id="42"/>
      <w:r>
        <w:rPr>
          <w:rFonts w:ascii="Times New Roman" w:hAnsi="Times New Roman"/>
          <w:b/>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INDEPENDENT REGISTERED PUBLIC ACCOUNTING FIRM</w:t>
      </w:r>
      <w:r>
        <w:rPr>
          <w:rFonts w:ascii="Times New Roman" w:hAnsi="Times New Roman"/>
          <w:caps w:val="false"/>
          <w:smallCaps w:val="false"/>
          <w:sz w:val="20"/>
          <w:u w:val="single"/>
        </w:rPr>
        <w:t>’</w:t>
      </w:r>
      <w:r>
        <w:rPr>
          <w:rFonts w:ascii="Times New Roman" w:hAnsi="Times New Roman"/>
          <w:b/>
          <w:caps w:val="false"/>
          <w:smallCaps w:val="false"/>
          <w:sz w:val="20"/>
          <w:u w:val="single"/>
        </w:rPr>
        <w: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 of Aterian Inc, on Form S-8 (File Nos. 333-296092, 333-278147, 333-270669, 333-265298, 333-263906, 333-256612, 333-251295 and 333-232087) of our report dated March 20, 2026, which includes an explanatory paragraph as to the Company’s ability to continue as a going concern, with respect to our audits of the consolidated financial statements of Aterian Inc. and Subsidiaries as of December 31, 2025 and for each of the two years in the period ended December 31, 2025, which report is included in this Annual Report on Form 10-K Aterian Inc.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10"/>
        <w:gridCol w:w="60"/>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UHY LLP</w:t>
            </w:r>
          </w:p>
        </w:tc>
        <w:tc>
          <w:tcPr>
            <w:tcW w:w="6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Melville, NY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20, 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3" w:name="ex_865484.htm"/>
      <w:bookmarkStart w:id="44" w:name="ksex_865484"/>
      <w:bookmarkEnd w:id="43"/>
      <w:bookmarkEnd w:id="4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FINANCIAL EXECUTIVE OFFICER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RULE 13a-14(a) UNDER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Arturo Rodriguez,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45" w:name="led489085F202311191702994605187"/>
      <w:bookmarkEnd w:id="45"/>
      <w:r>
        <w:rPr>
          <w:rFonts w:ascii="Times New Roman" w:hAnsi="Times New Roman"/>
          <w:caps w:val="false"/>
          <w:smallCaps w:val="false"/>
          <w:sz w:val="20"/>
        </w:rPr>
        <w:t>March 20, 2026</w:t>
      </w:r>
    </w:p>
    <w:p>
      <w:pPr>
        <w:pStyle w:val="TextBody"/>
        <w:bidi w:val="0"/>
        <w:spacing w:before="0" w:after="0"/>
        <w:ind w:left="0" w:right="0" w:hanging="0"/>
        <w:jc w:val="left"/>
        <w:rPr>
          <w:caps w:val="false"/>
          <w:smallCaps w:val="false"/>
        </w:rPr>
      </w:pPr>
      <w:r>
        <w:rPr>
          <w:caps w:val="false"/>
          <w:smallCaps w:val="false"/>
        </w:rPr>
        <w:t> </w:t>
      </w:r>
    </w:p>
    <w:tbl>
      <w:tblPr>
        <w:tblW w:w="2465" w:type="dxa"/>
        <w:jc w:val="left"/>
        <w:tblInd w:w="0" w:type="dxa"/>
        <w:tblLayout w:type="fixed"/>
        <w:tblCellMar>
          <w:top w:w="0" w:type="dxa"/>
          <w:left w:w="0" w:type="dxa"/>
          <w:bottom w:w="28" w:type="dxa"/>
          <w:right w:w="0" w:type="dxa"/>
        </w:tblCellMar>
      </w:tblPr>
      <w:tblGrid>
        <w:gridCol w:w="2390"/>
        <w:gridCol w:w="75"/>
      </w:tblGrid>
      <w:tr>
        <w:trPr/>
        <w:tc>
          <w:tcPr>
            <w:tcW w:w="23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Arturo Rodriguez</w:t>
            </w:r>
          </w:p>
        </w:tc>
        <w:tc>
          <w:tcPr>
            <w:tcW w:w="7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Arturo Rodriguez</w:t>
            </w:r>
          </w:p>
        </w:tc>
        <w:tc>
          <w:tcPr>
            <w:tcW w:w="75" w:type="dxa"/>
            <w:tcBorders/>
            <w:tcMar>
              <w:bottom w:w="0" w:type="dxa"/>
            </w:tcMar>
            <w:vAlign w:val="center"/>
          </w:tcPr>
          <w:p>
            <w:pPr>
              <w:pStyle w:val="TableContents"/>
              <w:bidi w:val="0"/>
              <w:spacing w:before="0" w:after="283"/>
              <w:jc w:val="left"/>
              <w:rPr/>
            </w:pPr>
            <w:r>
              <w:rPr/>
              <w:t> </w:t>
            </w:r>
          </w:p>
        </w:tc>
      </w:tr>
      <w:tr>
        <w:trPr/>
        <w:tc>
          <w:tcPr>
            <w:tcW w:w="2390" w:type="dxa"/>
            <w:tcBorders/>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6" w:name="ex_865485.htm"/>
      <w:bookmarkStart w:id="47" w:name="ksex_865485"/>
      <w:bookmarkEnd w:id="46"/>
      <w:bookmarkEnd w:id="4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FINANCIAL EXECUTIVE OFFICER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RULE 13a-14(a) UNDER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Joshua Feldman,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Aterian, Inc.;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48" w:name="led489085F202311191702994515315"/>
      <w:bookmarkEnd w:id="48"/>
      <w:r>
        <w:rPr>
          <w:rFonts w:ascii="Times New Roman" w:hAnsi="Times New Roman"/>
          <w:caps w:val="false"/>
          <w:smallCaps w:val="false"/>
          <w:sz w:val="20"/>
        </w:rPr>
        <w:t>March 20, 2026</w:t>
      </w:r>
    </w:p>
    <w:p>
      <w:pPr>
        <w:pStyle w:val="TextBody"/>
        <w:bidi w:val="0"/>
        <w:spacing w:before="0" w:after="0"/>
        <w:ind w:left="0" w:right="0" w:hanging="0"/>
        <w:jc w:val="left"/>
        <w:rPr>
          <w:caps w:val="false"/>
          <w:smallCaps w:val="false"/>
        </w:rPr>
      </w:pPr>
      <w:r>
        <w:rPr>
          <w:caps w:val="false"/>
          <w:smallCaps w:val="false"/>
        </w:rPr>
        <w:t> </w:t>
      </w:r>
    </w:p>
    <w:tbl>
      <w:tblPr>
        <w:tblW w:w="2480" w:type="dxa"/>
        <w:jc w:val="left"/>
        <w:tblInd w:w="0" w:type="dxa"/>
        <w:tblLayout w:type="fixed"/>
        <w:tblCellMar>
          <w:top w:w="0" w:type="dxa"/>
          <w:left w:w="0" w:type="dxa"/>
          <w:bottom w:w="28" w:type="dxa"/>
          <w:right w:w="0" w:type="dxa"/>
        </w:tblCellMar>
      </w:tblPr>
      <w:tblGrid>
        <w:gridCol w:w="2405"/>
        <w:gridCol w:w="75"/>
      </w:tblGrid>
      <w:tr>
        <w:trPr/>
        <w:tc>
          <w:tcPr>
            <w:tcW w:w="24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Joshua Feldman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Feldman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9" w:name="ex_865486.htm"/>
      <w:bookmarkStart w:id="50" w:name="ksex_865486"/>
      <w:bookmarkEnd w:id="49"/>
      <w:bookmarkEnd w:id="50"/>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AND PRINCIPAL FINANCIAL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on Form 10-K of Aterian, Inc. (the “Company”) for the period ended </w:t>
      </w:r>
      <w:bookmarkStart w:id="51" w:name="led489085F202311181702940344798"/>
      <w:bookmarkEnd w:id="51"/>
      <w:r>
        <w:rPr>
          <w:rFonts w:ascii="Times New Roman" w:hAnsi="Times New Roman"/>
          <w:caps w:val="false"/>
          <w:smallCaps w:val="false"/>
          <w:sz w:val="20"/>
        </w:rPr>
        <w:t>December 31, 2025 as filed with the Securities and Exchange Commission on the date hereof (the “Report”), the undersigned hereby certify, pursuant to 18 U.S.C. Section 1350, as adopted pursuant to Section 906 of the Sarbanes-Oxley Act of 2002, to their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28" w:type="dxa"/>
          <w:right w:w="0" w:type="dxa"/>
        </w:tblCellMar>
      </w:tblPr>
      <w:tblGrid>
        <w:gridCol w:w="2390"/>
        <w:gridCol w:w="60"/>
        <w:gridCol w:w="2405"/>
      </w:tblGrid>
      <w:tr>
        <w:trPr/>
        <w:tc>
          <w:tcPr>
            <w:tcW w:w="23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Arturo Rodriguez</w:t>
            </w:r>
          </w:p>
        </w:tc>
        <w:tc>
          <w:tcPr>
            <w:tcW w:w="60" w:type="dxa"/>
            <w:tcBorders/>
            <w:tcMar>
              <w:bottom w:w="0" w:type="dxa"/>
            </w:tcMar>
            <w:vAlign w:val="center"/>
          </w:tcPr>
          <w:p>
            <w:pPr>
              <w:pStyle w:val="TableContents"/>
              <w:bidi w:val="0"/>
              <w:spacing w:before="0" w:after="283"/>
              <w:jc w:val="left"/>
              <w:rPr/>
            </w:pPr>
            <w:r>
              <w:rPr/>
              <w:t> </w:t>
            </w:r>
          </w:p>
        </w:tc>
        <w:tc>
          <w:tcPr>
            <w:tcW w:w="24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 Joshua Feldman</w:t>
            </w:r>
          </w:p>
        </w:tc>
      </w:tr>
      <w:tr>
        <w:trPr/>
        <w:tc>
          <w:tcPr>
            <w:tcW w:w="23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Arturo Rodriguez</w:t>
            </w:r>
          </w:p>
        </w:tc>
        <w:tc>
          <w:tcPr>
            <w:tcW w:w="60"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Feldman</w:t>
            </w:r>
          </w:p>
        </w:tc>
      </w:tr>
      <w:tr>
        <w:trPr/>
        <w:tc>
          <w:tcPr>
            <w:tcW w:w="239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r>
        <w:trPr/>
        <w:tc>
          <w:tcPr>
            <w:tcW w:w="2390" w:type="dxa"/>
            <w:tcBorders/>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Financial Officer)</w:t>
            </w:r>
          </w:p>
        </w:tc>
      </w:tr>
      <w:tr>
        <w:trPr/>
        <w:tc>
          <w:tcPr>
            <w:tcW w:w="239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 2026</w:t>
            </w:r>
          </w:p>
        </w:tc>
        <w:tc>
          <w:tcPr>
            <w:tcW w:w="60"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mallCaps/>
          <w:sz w:val="20"/>
        </w:rPr>
      </w:pPr>
      <w:bookmarkStart w:id="52" w:name="ex_865487.htm"/>
      <w:bookmarkStart w:id="53" w:name="ksex_865487"/>
      <w:bookmarkEnd w:id="52"/>
      <w:bookmarkEnd w:id="53"/>
      <w:r>
        <w:rPr>
          <w:rFonts w:ascii="Times New Roman;Times;serif" w:hAnsi="Times New Roman;Times;serif"/>
          <w:b/>
          <w:smallCaps/>
          <w:sz w:val="20"/>
        </w:rPr>
        <w:t>Exhibit 97.1</w:t>
      </w:r>
      <w:r>
        <w:br w:type="page"/>
      </w:r>
    </w:p>
    <w:p>
      <w:pPr>
        <w:pStyle w:val="TextBody"/>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Adopted as of November 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has adopted a Compensation Recovery Policy (this “</w:t>
      </w:r>
      <w:r>
        <w:rPr>
          <w:rFonts w:ascii="Times New Roman" w:hAnsi="Times New Roman"/>
          <w:caps w:val="false"/>
          <w:smallCaps w:val="false"/>
          <w:sz w:val="20"/>
          <w:u w:val="single"/>
        </w:rPr>
        <w:t>Policy</w:t>
      </w:r>
      <w:r>
        <w:rPr>
          <w:rFonts w:ascii="Times New Roman" w:hAnsi="Times New Roman"/>
          <w:caps w:val="false"/>
          <w:smallCaps w:val="false"/>
          <w:sz w:val="20"/>
        </w:rPr>
        <w: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Policy sets forth the circumstances and procedures under which the Company shall recover Erroneously Awarded Compensation from current and former Executive Officers and any other designated employees of the Company in accordance with rules issued by the United States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under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and the Nasdaq Stock Market. Please refer to Section 3 below for definitions of capitalized terms used and not otherwise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Compensation Recovery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Applicable Recovery Period</w:t>
            </w:r>
            <w:r>
              <w:rPr>
                <w:rFonts w:ascii="Times New Roman" w:hAnsi="Times New Roman"/>
                <w:caps w:val="false"/>
                <w:smallCaps w:val="false"/>
                <w:sz w:val="20"/>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Applicable Rules</w:t>
            </w:r>
            <w:r>
              <w:rPr>
                <w:rFonts w:ascii="Times New Roman" w:hAnsi="Times New Roman"/>
                <w:caps w:val="false"/>
                <w:smallCaps w:val="false"/>
                <w:sz w:val="20"/>
              </w:rPr>
              <w:t>” means any rules or regulations adopted by the Exchange pursuant to Rule 10D-1 under the Exchange Act and any applicable rules or regulations adopted by the SEC pursuant to Section 10D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55"/>
        <w:gridCol w:w="44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449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Board</w:t>
            </w:r>
            <w:r>
              <w:rPr>
                <w:rFonts w:ascii="Times New Roman" w:hAnsi="Times New Roman"/>
                <w:caps w:val="false"/>
                <w:smallCaps w:val="false"/>
                <w:sz w:val="20"/>
              </w:rPr>
              <w:t>” means the Board of Directors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Committee</w:t>
            </w:r>
            <w:r>
              <w:rPr>
                <w:rFonts w:ascii="Times New Roman" w:hAnsi="Times New Roman"/>
                <w:caps w:val="false"/>
                <w:smallCaps w:val="false"/>
                <w:sz w:val="20"/>
              </w:rPr>
              <w:t>” means the Compensation Committee of the Board or, in the absence of such committee, a majority of independent directors serving on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Covered Person</w:t>
            </w:r>
            <w:r>
              <w:rPr>
                <w:rFonts w:ascii="Times New Roman" w:hAnsi="Times New Roman"/>
                <w:caps w:val="false"/>
                <w:smallCaps w:val="false"/>
                <w:sz w:val="20"/>
              </w:rPr>
              <w:t> means any Executive Officer and any other person designated by the Board or the Committee as being subject to this Policy .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125"/>
        <w:gridCol w:w="33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332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Effective Date</w:t>
            </w:r>
            <w:r>
              <w:rPr>
                <w:rFonts w:ascii="Times New Roman" w:hAnsi="Times New Roman"/>
                <w:caps w:val="false"/>
                <w:smallCaps w:val="false"/>
                <w:sz w:val="20"/>
              </w:rPr>
              <w:t>” means October 2,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Erroneously Awarded Compensation</w:t>
            </w:r>
            <w:r>
              <w:rPr>
                <w:rFonts w:ascii="Times New Roman" w:hAnsi="Times New Roman"/>
                <w:caps w:val="false"/>
                <w:smallCaps w:val="false"/>
                <w:sz w:val="20"/>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170"/>
        <w:gridCol w:w="4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414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Exchange</w:t>
            </w:r>
            <w:r>
              <w:rPr>
                <w:rFonts w:ascii="Times New Roman" w:hAnsi="Times New Roman"/>
                <w:caps w:val="false"/>
                <w:smallCaps w:val="false"/>
                <w:sz w:val="20"/>
              </w:rPr>
              <w:t>” means 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w:t>
            </w:r>
            <w:r>
              <w:rPr>
                <w:rFonts w:ascii="Times New Roman" w:hAnsi="Times New Roman"/>
                <w:caps w:val="false"/>
                <w:smallCaps w:val="false"/>
                <w:sz w:val="20"/>
                <w:u w:val="single"/>
              </w:rPr>
              <w:t>Executive Officer</w:t>
            </w:r>
            <w:r>
              <w:rPr>
                <w:rFonts w:ascii="Times New Roman" w:hAnsi="Times New Roman"/>
                <w:caps w:val="false"/>
                <w:smallCaps w:val="false"/>
                <w:sz w:val="20"/>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10020"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Financial Reporting Measures</w:t>
            </w:r>
            <w:r>
              <w:rPr>
                <w:rFonts w:ascii="Times New Roman" w:hAnsi="Times New Roman"/>
                <w:caps w:val="false"/>
                <w:smallCaps w:val="false"/>
                <w:sz w:val="20"/>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Incentive-Based Compensation</w:t>
            </w:r>
            <w:r>
              <w:rPr>
                <w:rFonts w:ascii="Times New Roman" w:hAnsi="Times New Roman"/>
                <w:caps w:val="false"/>
                <w:smallCaps w:val="false"/>
                <w:sz w:val="20"/>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Material Financial Restatement</w:t>
            </w:r>
            <w:r>
              <w:rPr>
                <w:rFonts w:ascii="Times New Roman" w:hAnsi="Times New Roman"/>
                <w:caps w:val="false"/>
                <w:smallCaps w:val="false"/>
                <w:sz w:val="20"/>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w:t>
            </w:r>
          </w:p>
        </w:tc>
        <w:tc>
          <w:tcPr>
            <w:tcW w:w="9930" w:type="dxa"/>
            <w:tcBorders/>
            <w:vAlign w:val="center"/>
          </w:tcPr>
          <w:p>
            <w:pPr>
              <w:pStyle w:val="TableContents"/>
              <w:bidi w:val="0"/>
              <w:spacing w:lineRule="auto" w:line="288" w:before="0" w:after="0"/>
              <w:ind w:left="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Restatement Date</w:t>
            </w:r>
            <w:r>
              <w:rPr>
                <w:rFonts w:ascii="Times New Roman" w:hAnsi="Times New Roman"/>
                <w:caps w:val="false"/>
                <w:smallCaps w:val="false"/>
                <w:sz w:val="20"/>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Exception to Compensation Recovery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Method of Compensation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shall determine, in its sole discretion, the method for recovering Erroneously Awarded Compensation hereunder, which may include, without limitation, any one or more of the following:</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60"/>
        <w:gridCol w:w="155"/>
        <w:gridCol w:w="660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requiring reimbursement of cash Incentive-Based Compensation previously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seeking recovery of any gain realized on the vesting, exercise, settlement, sale, transfer or other disposition of any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0"/>
        <w:gridCol w:w="155"/>
        <w:gridCol w:w="71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7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canceling or rescinding some or all outstanding vested or unvested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170"/>
        <w:gridCol w:w="5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55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adjusting or withholding from unpaid compensation or other set-off;</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60"/>
        <w:gridCol w:w="155"/>
        <w:gridCol w:w="684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6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canceling or setting-off against planned future grants of equity-based awards; and/or</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125"/>
        <w:gridCol w:w="471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4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method permitted by applicable law or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8. </w:t>
      </w:r>
      <w:r>
        <w:rPr>
          <w:rFonts w:ascii="Times New Roman" w:hAnsi="Times New Roman"/>
          <w:caps w:val="false"/>
          <w:smallCaps w:val="false"/>
          <w:sz w:val="20"/>
        </w:rPr>
        <w:t>         </w:t>
      </w:r>
      <w:r>
        <w:rPr>
          <w:rFonts w:ascii="Times New Roman" w:hAnsi="Times New Roman"/>
          <w:b/>
          <w:caps w:val="false"/>
          <w:smallCaps w:val="false"/>
          <w:sz w:val="20"/>
        </w:rPr>
        <w:t>Policy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Policy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Compensation Recovery Repayments not Subject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7715/000119312520307364/d61785dex21.htm" TargetMode="External"/><Relationship Id="rId3" Type="http://schemas.openxmlformats.org/officeDocument/2006/relationships/hyperlink" Target="http://www.sec.gov/Archives/edgar/data/1757715/000119312521026328/d101467dex21.htm" TargetMode="External"/><Relationship Id="rId4" Type="http://schemas.openxmlformats.org/officeDocument/2006/relationships/hyperlink" Target="http://www.sec.gov/Archives/edgar/data/1757715/000119312521156839/d404633dex21.htm" TargetMode="External"/><Relationship Id="rId5" Type="http://schemas.openxmlformats.org/officeDocument/2006/relationships/hyperlink" Target="http://www.sec.gov/Archives/edgar/data/1757715/000119312521156839/d404633dex22.htm" TargetMode="External"/><Relationship Id="rId6" Type="http://schemas.openxmlformats.org/officeDocument/2006/relationships/hyperlink" Target="http://www.sec.gov/Archives/edgar/data/1757715/000119312521142247/d180974dex32.htm" TargetMode="External"/><Relationship Id="rId7" Type="http://schemas.openxmlformats.org/officeDocument/2006/relationships/hyperlink" Target="http://www.sec.gov/Archives/edgar/data/1757715/000119312521142247/d180974dex31.htm" TargetMode="External"/><Relationship Id="rId8" Type="http://schemas.openxmlformats.org/officeDocument/2006/relationships/hyperlink" Target="http://www.sec.gov/Archives/edgar/data/1757715/000119312522165200/d339752dex31.htm" TargetMode="External"/><Relationship Id="rId9" Type="http://schemas.openxmlformats.org/officeDocument/2006/relationships/hyperlink" Target="http://www.sec.gov/Archives/edgar/data/1757715/000119312519157090/d639806dex41.htm" TargetMode="External"/><Relationship Id="rId10" Type="http://schemas.openxmlformats.org/officeDocument/2006/relationships/hyperlink" Target="http://www.sec.gov/Archives/edgar/data/1757715/000119312519144273/d639806dex42.htm" TargetMode="External"/><Relationship Id="rId11" Type="http://schemas.openxmlformats.org/officeDocument/2006/relationships/hyperlink" Target="http://www.sec.gov/Archives/edgar/data/1757715/000119312519144273/d639806dex43.htm" TargetMode="External"/><Relationship Id="rId12" Type="http://schemas.openxmlformats.org/officeDocument/2006/relationships/hyperlink" Target="http://www.sec.gov/Archives/edgar/data/1757715/000119312519144273/d639806dex44.htm" TargetMode="External"/><Relationship Id="rId13" Type="http://schemas.openxmlformats.org/officeDocument/2006/relationships/hyperlink" Target="http://www.sec.gov/Archives/edgar/data/1757715/000119312519144273/d639806dex45.htm" TargetMode="External"/><Relationship Id="rId14" Type="http://schemas.openxmlformats.org/officeDocument/2006/relationships/hyperlink" Target="http://www.sec.gov/Archives/edgar/data/1757715/000119312519144273/d639806dex46.htm" TargetMode="External"/><Relationship Id="rId15" Type="http://schemas.openxmlformats.org/officeDocument/2006/relationships/hyperlink" Target="http://www.sec.gov/Archives/edgar/data/1757715/000156459020052585/mwk-ex47_108.htm" TargetMode="External"/><Relationship Id="rId16" Type="http://schemas.openxmlformats.org/officeDocument/2006/relationships/hyperlink" Target="http://www.sec.gov/Archives/edgar/data/1757715/000119312521367017/d280987dex41.htm" TargetMode="External"/><Relationship Id="rId17" Type="http://schemas.openxmlformats.org/officeDocument/2006/relationships/hyperlink" Target="http://www.sec.gov/Archives/edgar/data/1757715/000095017023008509/ater-ex4_9.htm" TargetMode="External"/><Relationship Id="rId18" Type="http://schemas.openxmlformats.org/officeDocument/2006/relationships/hyperlink" Target="http://www.sec.gov/Archives/edgar/data/1757715/000119312519157090/d639806dex101.htm" TargetMode="External"/><Relationship Id="rId19" Type="http://schemas.openxmlformats.org/officeDocument/2006/relationships/hyperlink" Target="http://www.sec.gov/Archives/edgar/data/1757715/000119312519144273/d639806dex102.htm" TargetMode="External"/><Relationship Id="rId20" Type="http://schemas.openxmlformats.org/officeDocument/2006/relationships/hyperlink" Target="http://www.sec.gov/Archives/edgar/data/1757715/000119312519144273/d639806dex103.htm" TargetMode="External"/><Relationship Id="rId21" Type="http://schemas.openxmlformats.org/officeDocument/2006/relationships/hyperlink" Target="http://www.sec.gov/Archives/edgar/data/1757715/000119312519171607/d762301dex103.htm" TargetMode="External"/><Relationship Id="rId22" Type="http://schemas.openxmlformats.org/officeDocument/2006/relationships/hyperlink" Target="http://www.sec.gov/Archives/edgar/data/1757715/000119312519144273/d639806dex105.htm" TargetMode="External"/><Relationship Id="rId23" Type="http://schemas.openxmlformats.org/officeDocument/2006/relationships/hyperlink" Target="http://www.sec.gov/Archives/edgar/data/1757715/000119312519171607/d762301dex104.htm" TargetMode="External"/><Relationship Id="rId24" Type="http://schemas.openxmlformats.org/officeDocument/2006/relationships/hyperlink" Target="http://www.sec.gov/Archives/edgar/data/1757715/000156459022021643/ater-ex101_19.htm" TargetMode="External"/><Relationship Id="rId25" Type="http://schemas.openxmlformats.org/officeDocument/2006/relationships/hyperlink" Target="http://www.sec.gov/Archives/edgar/data/1757715/000156459022021688/ater-ex43_46.htm" TargetMode="External"/><Relationship Id="rId26" Type="http://schemas.openxmlformats.org/officeDocument/2006/relationships/hyperlink" Target="http://www.sec.gov/Archives/edgar/data/1757715/000156459022021688/ater-ex44_44.htm" TargetMode="External"/><Relationship Id="rId27" Type="http://schemas.openxmlformats.org/officeDocument/2006/relationships/hyperlink" Target="http://www.sec.gov/Archives/edgar/data/1757715/000156459022021688/ater-ex45_48.htm" TargetMode="External"/><Relationship Id="rId28" Type="http://schemas.openxmlformats.org/officeDocument/2006/relationships/hyperlink" Target="http://www.sec.gov/Archives/edgar/data/1757715/000119312519144273/d639806dex1016.htm" TargetMode="External"/><Relationship Id="rId29" Type="http://schemas.openxmlformats.org/officeDocument/2006/relationships/hyperlink" Target="http://www.sec.gov/Archives/edgar/data/1757715/000119312519144273/d639806dex1019.htm" TargetMode="External"/><Relationship Id="rId30" Type="http://schemas.openxmlformats.org/officeDocument/2006/relationships/hyperlink" Target="http://www.sec.gov/Archives/edgar/data/1757715/000119312520307364/d61785dex103.htm" TargetMode="External"/><Relationship Id="rId31" Type="http://schemas.openxmlformats.org/officeDocument/2006/relationships/hyperlink" Target="http://www.sec.gov/Archives/edgar/data/1757715/000119312520307364/d61785dex104.htm" TargetMode="External"/><Relationship Id="rId32" Type="http://schemas.openxmlformats.org/officeDocument/2006/relationships/hyperlink" Target="http://www.sec.gov/Archives/edgar/data/1757715/000119312521026328/d101467dex108.htm" TargetMode="External"/><Relationship Id="rId33" Type="http://schemas.openxmlformats.org/officeDocument/2006/relationships/hyperlink" Target="http://www.sec.gov/Archives/edgar/data/1757715/000119312521156839/d404633dex101.htm" TargetMode="External"/><Relationship Id="rId34" Type="http://schemas.openxmlformats.org/officeDocument/2006/relationships/hyperlink" Target="http://www.sec.gov/Archives/edgar/data/1757715/000119312521156839/d404633dex105.htm" TargetMode="External"/><Relationship Id="rId35" Type="http://schemas.openxmlformats.org/officeDocument/2006/relationships/hyperlink" Target="http://www.sec.gov/Archives/edgar/data/1757715/000119312521156839/d404633dex106.htm" TargetMode="External"/><Relationship Id="rId36" Type="http://schemas.openxmlformats.org/officeDocument/2006/relationships/hyperlink" Target="http://www.sec.gov/Archives/edgar/data/1757715/000119312521156839/d404633dex107.htm" TargetMode="External"/><Relationship Id="rId37" Type="http://schemas.openxmlformats.org/officeDocument/2006/relationships/hyperlink" Target="http://www.sec.gov/Archives/edgar/data/1757715/000156459021042357/ater-ex1015_89.htm" TargetMode="External"/><Relationship Id="rId38" Type="http://schemas.openxmlformats.org/officeDocument/2006/relationships/hyperlink" Target="http://www.sec.gov/Archives/edgar/data/1757715/000156459021042357/ater-ex1016_86.htm" TargetMode="External"/><Relationship Id="rId39" Type="http://schemas.openxmlformats.org/officeDocument/2006/relationships/hyperlink" Target="http://www.sec.gov/Archives/edgar/data/1757715/000119312521367017/d280987dex101.htm" TargetMode="External"/><Relationship Id="rId40" Type="http://schemas.openxmlformats.org/officeDocument/2006/relationships/hyperlink" Target="http://www.sec.gov/Archives/edgar/data/1757715/000143774923030994/ex_592886.htm" TargetMode="External"/><Relationship Id="rId41" Type="http://schemas.openxmlformats.org/officeDocument/2006/relationships/hyperlink" Target="http://www.sec.gov/Archives/edgar/data/1757715/000143774924027096/ex_715730.htm" TargetMode="External"/><Relationship Id="rId42" Type="http://schemas.openxmlformats.org/officeDocument/2006/relationships/hyperlink" Target="http://www.sec.gov/Archives/edgar/data/1757715/000143774925009139/ex_791102.htm" TargetMode="External"/><Relationship Id="rId43" Type="http://schemas.openxmlformats.org/officeDocument/2006/relationships/hyperlink" Target="http://www.sec.gov/Archives/edgar/data/1757715/000143774925009139/ex_791883.htm" TargetMode="External"/><Relationship Id="rId44" Type="http://schemas.openxmlformats.org/officeDocument/2006/relationships/hyperlink" Target="http://www.sec.gov/Archives/edgar/data/1757715/000143774925028059/ex_858212.htm" TargetMode="External"/><Relationship Id="rId45" Type="http://schemas.openxmlformats.org/officeDocument/2006/relationships/hyperlink" Target="http://www.sec.gov/Archives/edgar/data/1757715/000143774926008614/ex_933149.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59343</Words>
  <Characters>326854</Characters>
  <CharactersWithSpaces>388873</CharactersWithSpaces>
  <Paragraphs>9983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