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920" w:right="2080" w:hanging="3912"/>
        <w:spacing w:after="0" w:line="303" w:lineRule="auto"/>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ind w:left="54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OR</w:t>
      </w:r>
    </w:p>
    <w:p>
      <w:pPr>
        <w:ind w:left="380" w:hanging="372"/>
        <w:spacing w:after="0" w:line="184" w:lineRule="auto"/>
        <w:tabs>
          <w:tab w:leader="none" w:pos="380" w:val="left"/>
        </w:tabs>
        <w:numPr>
          <w:ilvl w:val="0"/>
          <w:numId w:val="2"/>
        </w:numPr>
        <w:rPr>
          <w:rFonts w:ascii="MS PGothic" w:cs="MS PGothic" w:eastAsia="MS PGothic" w:hAnsi="MS PGothic"/>
          <w:sz w:val="8"/>
          <w:szCs w:val="8"/>
          <w:color w:val="auto"/>
        </w:rPr>
      </w:pPr>
      <w:r>
        <w:rPr>
          <w:rFonts w:ascii="Arial" w:cs="Arial" w:eastAsia="Arial" w:hAnsi="Arial"/>
          <w:sz w:val="9"/>
          <w:szCs w:val="9"/>
          <w:b w:val="1"/>
          <w:bCs w:val="1"/>
          <w:color w:val="auto"/>
        </w:rPr>
        <w:t>TRANSITION REPORT PURSUANT TO SECTION 13 OR 15(d) OF THE SECURITIES EXCHANGE ACT OF 1934 FOR THE</w:t>
      </w:r>
    </w:p>
    <w:p>
      <w:pPr>
        <w:spacing w:after="0" w:line="200" w:lineRule="exact"/>
        <w:rPr>
          <w:sz w:val="24"/>
          <w:szCs w:val="24"/>
          <w:color w:val="auto"/>
        </w:rPr>
      </w:pPr>
    </w:p>
    <w:p>
      <w:pPr>
        <w:ind w:left="380"/>
        <w:spacing w:after="0"/>
        <w:tabs>
          <w:tab w:leader="none" w:pos="38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001-38937</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Mohawk Group Holdings,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jc w:val="center"/>
              <w:ind w:left="2966"/>
              <w:spacing w:after="0"/>
              <w:rPr>
                <w:sz w:val="20"/>
                <w:szCs w:val="20"/>
                <w:color w:val="auto"/>
              </w:rPr>
            </w:pPr>
            <w:r>
              <w:rPr>
                <w:rFonts w:ascii="Arial" w:cs="Arial" w:eastAsia="Arial" w:hAnsi="Arial"/>
                <w:sz w:val="13"/>
                <w:szCs w:val="13"/>
                <w:b w:val="1"/>
                <w:bCs w:val="1"/>
                <w:color w:val="auto"/>
                <w:w w:val="98"/>
              </w:rPr>
              <w:t>Delaware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5"/>
              </w:rPr>
              <w:t>83-1739858</w:t>
            </w:r>
          </w:p>
        </w:tc>
        <w:tc>
          <w:tcPr>
            <w:tcW w:w="0" w:type="dxa"/>
            <w:vAlign w:val="bottom"/>
          </w:tcPr>
          <w:p>
            <w:pPr>
              <w:spacing w:after="0"/>
              <w:rPr>
                <w:sz w:val="1"/>
                <w:szCs w:val="1"/>
                <w:color w:val="auto"/>
              </w:rPr>
            </w:pPr>
          </w:p>
        </w:tc>
      </w:tr>
      <w:tr>
        <w:trPr>
          <w:trHeight w:val="148"/>
        </w:trPr>
        <w:tc>
          <w:tcPr>
            <w:tcW w:w="6920" w:type="dxa"/>
            <w:vAlign w:val="bottom"/>
            <w:gridSpan w:val="6"/>
          </w:tcPr>
          <w:p>
            <w:pPr>
              <w:jc w:val="center"/>
              <w:ind w:left="326"/>
              <w:spacing w:after="0"/>
              <w:rPr>
                <w:sz w:val="20"/>
                <w:szCs w:val="20"/>
                <w:color w:val="auto"/>
              </w:rPr>
            </w:pPr>
            <w:r>
              <w:rPr>
                <w:rFonts w:ascii="Arial" w:cs="Arial" w:eastAsia="Arial" w:hAnsi="Arial"/>
                <w:sz w:val="13"/>
                <w:szCs w:val="13"/>
                <w:b w:val="1"/>
                <w:bCs w:val="1"/>
                <w:color w:val="auto"/>
                <w:w w:val="94"/>
              </w:rPr>
              <w:t>(State or other jurisdiction of</w:t>
            </w:r>
          </w:p>
        </w:tc>
        <w:tc>
          <w:tcPr>
            <w:tcW w:w="20" w:type="dxa"/>
            <w:vAlign w:val="bottom"/>
          </w:tcPr>
          <w:p>
            <w:pPr>
              <w:spacing w:after="0"/>
              <w:rPr>
                <w:sz w:val="12"/>
                <w:szCs w:val="12"/>
                <w:color w:val="auto"/>
              </w:rPr>
            </w:pPr>
          </w:p>
        </w:tc>
        <w:tc>
          <w:tcPr>
            <w:tcW w:w="4300" w:type="dxa"/>
            <w:vAlign w:val="bottom"/>
          </w:tcPr>
          <w:p>
            <w:pPr>
              <w:jc w:val="center"/>
              <w:ind w:right="2928"/>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6920" w:type="dxa"/>
            <w:vAlign w:val="bottom"/>
            <w:gridSpan w:val="6"/>
          </w:tcPr>
          <w:p>
            <w:pPr>
              <w:jc w:val="center"/>
              <w:ind w:left="326"/>
              <w:spacing w:after="0"/>
              <w:rPr>
                <w:sz w:val="20"/>
                <w:szCs w:val="20"/>
                <w:color w:val="auto"/>
              </w:rPr>
            </w:pPr>
            <w:r>
              <w:rPr>
                <w:rFonts w:ascii="Arial" w:cs="Arial" w:eastAsia="Arial" w:hAnsi="Arial"/>
                <w:sz w:val="13"/>
                <w:szCs w:val="13"/>
                <w:b w:val="1"/>
                <w:bCs w:val="1"/>
                <w:color w:val="auto"/>
                <w:w w:val="94"/>
              </w:rPr>
              <w:t>incorporation or organization)</w:t>
            </w: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7"/>
              </w:rPr>
              <w:t>Identification Number)</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37 East 18th Street, 7th Floor</w:t>
            </w:r>
          </w:p>
        </w:tc>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New York, NY 10003</w:t>
            </w: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26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 and zip code)</w:t>
            </w: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4280" w:type="dxa"/>
            <w:vAlign w:val="bottom"/>
          </w:tcPr>
          <w:p>
            <w:pPr>
              <w:spacing w:after="0"/>
              <w:rPr>
                <w:sz w:val="24"/>
                <w:szCs w:val="24"/>
                <w:color w:val="auto"/>
              </w:rPr>
            </w:pPr>
          </w:p>
        </w:tc>
        <w:tc>
          <w:tcPr>
            <w:tcW w:w="2460" w:type="dxa"/>
            <w:vAlign w:val="bottom"/>
            <w:gridSpan w:val="3"/>
          </w:tcPr>
          <w:p>
            <w:pPr>
              <w:jc w:val="center"/>
              <w:ind w:left="159"/>
              <w:spacing w:after="0"/>
              <w:rPr>
                <w:sz w:val="20"/>
                <w:szCs w:val="20"/>
                <w:color w:val="auto"/>
              </w:rPr>
            </w:pPr>
            <w:r>
              <w:rPr>
                <w:rFonts w:ascii="Arial" w:cs="Arial" w:eastAsia="Arial" w:hAnsi="Arial"/>
                <w:sz w:val="13"/>
                <w:szCs w:val="13"/>
                <w:b w:val="1"/>
                <w:bCs w:val="1"/>
                <w:color w:val="auto"/>
                <w:w w:val="94"/>
              </w:rPr>
              <w:t>(347) 676-1681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6960" w:type="dxa"/>
            <w:vAlign w:val="bottom"/>
            <w:gridSpan w:val="7"/>
          </w:tcPr>
          <w:p>
            <w:pPr>
              <w:jc w:val="center"/>
              <w:ind w:right="4208"/>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0" w:type="dxa"/>
            <w:vAlign w:val="bottom"/>
          </w:tcPr>
          <w:p>
            <w:pPr>
              <w:spacing w:after="0"/>
              <w:rPr>
                <w:sz w:val="1"/>
                <w:szCs w:val="1"/>
                <w:color w:val="auto"/>
              </w:rPr>
            </w:pPr>
          </w:p>
        </w:tc>
      </w:tr>
      <w:tr>
        <w:trPr>
          <w:trHeight w:val="168"/>
        </w:trPr>
        <w:tc>
          <w:tcPr>
            <w:tcW w:w="4280" w:type="dxa"/>
            <w:vAlign w:val="bottom"/>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2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8"/>
        </w:trPr>
        <w:tc>
          <w:tcPr>
            <w:tcW w:w="4280" w:type="dxa"/>
            <w:vAlign w:val="bottom"/>
            <w:tcBorders>
              <w:top w:val="single" w:sz="8" w:color="auto"/>
            </w:tcBorders>
          </w:tcPr>
          <w:p>
            <w:pPr>
              <w:ind w:left="800"/>
              <w:spacing w:after="0"/>
              <w:rPr>
                <w:sz w:val="20"/>
                <w:szCs w:val="20"/>
                <w:color w:val="auto"/>
              </w:rPr>
            </w:pPr>
            <w:r>
              <w:rPr>
                <w:rFonts w:ascii="Arial" w:cs="Arial" w:eastAsia="Arial" w:hAnsi="Arial"/>
                <w:sz w:val="15"/>
                <w:szCs w:val="15"/>
                <w:color w:val="auto"/>
              </w:rPr>
              <w:t>Common stock, par value $0.0001 per share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5"/>
                <w:szCs w:val="15"/>
                <w:color w:val="auto"/>
              </w:rPr>
              <w:t>MWK</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r>
        <w:trPr>
          <w:trHeight w:val="170"/>
        </w:trPr>
        <w:tc>
          <w:tcPr>
            <w:tcW w:w="4280" w:type="dxa"/>
            <w:vAlign w:val="bottom"/>
          </w:tcPr>
          <w:p>
            <w:pPr>
              <w:spacing w:after="0" w:line="170" w:lineRule="exact"/>
              <w:rPr>
                <w:sz w:val="20"/>
                <w:szCs w:val="20"/>
                <w:color w:val="auto"/>
              </w:rPr>
            </w:pPr>
            <w:r>
              <w:rPr>
                <w:rFonts w:ascii="Arial" w:cs="Arial" w:eastAsia="Arial" w:hAnsi="Arial"/>
                <w:sz w:val="15"/>
                <w:szCs w:val="15"/>
                <w:color w:val="auto"/>
              </w:rPr>
              <w:t>Securities registered pursuant to Section 12(g) of the Act: None.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40" w:type="dxa"/>
            <w:vAlign w:val="bottom"/>
            <w:gridSpan w:val="8"/>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0"/>
        </w:trPr>
        <w:tc>
          <w:tcPr>
            <w:tcW w:w="11240" w:type="dxa"/>
            <w:vAlign w:val="bottom"/>
            <w:gridSpan w:val="8"/>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68"/>
        </w:trPr>
        <w:tc>
          <w:tcPr>
            <w:tcW w:w="11240" w:type="dxa"/>
            <w:vAlign w:val="bottom"/>
            <w:gridSpan w:val="8"/>
          </w:tcPr>
          <w:p>
            <w:pPr>
              <w:spacing w:after="0" w:line="168" w:lineRule="exact"/>
              <w:rPr>
                <w:sz w:val="20"/>
                <w:szCs w:val="20"/>
                <w:color w:val="auto"/>
              </w:rPr>
            </w:pPr>
            <w:r>
              <w:rPr>
                <w:rFonts w:ascii="Arial" w:cs="Arial" w:eastAsia="Arial" w:hAnsi="Arial"/>
                <w:sz w:val="15"/>
                <w:szCs w:val="15"/>
                <w:color w:val="auto"/>
                <w:w w:val="97"/>
              </w:rPr>
              <w:t>Indicate by check mark whether the Registrant: (1) has filed all reports required to be filed by Section 13 or 15(d) of the Securities Exchange Act of 1934 during the preceding</w:t>
            </w:r>
          </w:p>
        </w:tc>
        <w:tc>
          <w:tcPr>
            <w:tcW w:w="0" w:type="dxa"/>
            <w:vAlign w:val="bottom"/>
          </w:tcPr>
          <w:p>
            <w:pPr>
              <w:spacing w:after="0"/>
              <w:rPr>
                <w:sz w:val="1"/>
                <w:szCs w:val="1"/>
                <w:color w:val="auto"/>
              </w:rPr>
            </w:pPr>
          </w:p>
        </w:tc>
      </w:tr>
      <w:tr>
        <w:trPr>
          <w:trHeight w:val="240"/>
        </w:trPr>
        <w:tc>
          <w:tcPr>
            <w:tcW w:w="11240" w:type="dxa"/>
            <w:vAlign w:val="bottom"/>
            <w:gridSpan w:val="8"/>
          </w:tcPr>
          <w:p>
            <w:pPr>
              <w:spacing w:after="0" w:line="173" w:lineRule="exact"/>
              <w:rPr>
                <w:sz w:val="20"/>
                <w:szCs w:val="20"/>
                <w:color w:val="auto"/>
              </w:rPr>
            </w:pPr>
            <w:r>
              <w:rPr>
                <w:rFonts w:ascii="Arial" w:cs="Arial" w:eastAsia="Arial" w:hAnsi="Arial"/>
                <w:sz w:val="15"/>
                <w:szCs w:val="15"/>
                <w:color w:val="auto"/>
                <w:w w:val="94"/>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4"/>
              </w:rPr>
              <w:t>☒</w:t>
            </w:r>
            <w:r>
              <w:rPr>
                <w:rFonts w:ascii="Arial" w:cs="Arial" w:eastAsia="Arial" w:hAnsi="Arial"/>
                <w:sz w:val="15"/>
                <w:szCs w:val="15"/>
                <w:color w:val="auto"/>
                <w:w w:val="94"/>
              </w:rPr>
              <w:t xml:space="preserve"> NO </w:t>
            </w:r>
            <w:r>
              <w:rPr>
                <w:rFonts w:ascii="MS PGothic" w:cs="MS PGothic" w:eastAsia="MS PGothic" w:hAnsi="MS PGothic"/>
                <w:sz w:val="15"/>
                <w:szCs w:val="15"/>
                <w:color w:val="auto"/>
                <w:w w:val="94"/>
              </w:rPr>
              <w:t>☐</w:t>
            </w:r>
          </w:p>
        </w:tc>
        <w:tc>
          <w:tcPr>
            <w:tcW w:w="0" w:type="dxa"/>
            <w:vAlign w:val="bottom"/>
          </w:tcPr>
          <w:p>
            <w:pPr>
              <w:spacing w:after="0"/>
              <w:rPr>
                <w:sz w:val="1"/>
                <w:szCs w:val="1"/>
                <w:color w:val="auto"/>
              </w:rPr>
            </w:pPr>
          </w:p>
        </w:tc>
      </w:tr>
    </w:tbl>
    <w:p>
      <w:pPr>
        <w:spacing w:after="0" w:line="17"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8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6"/>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33"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ind w:right="360"/>
        <w:spacing w:after="0" w:line="28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Capital Market on June 30, 2020 (the last trading day of the registrant’s second fiscal quarter of 2020), was approximately $86.9 million.</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March 9, 2021 was 29,487,726.</w:t>
      </w:r>
    </w:p>
    <w:p>
      <w:pPr>
        <w:spacing w:after="0" w:line="40"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jc w:val="both"/>
        <w:spacing w:after="0"/>
        <w:rPr>
          <w:sz w:val="20"/>
          <w:szCs w:val="20"/>
          <w:color w:val="auto"/>
        </w:rPr>
      </w:pPr>
      <w:r>
        <w:rPr>
          <w:rFonts w:ascii="Arial" w:cs="Arial" w:eastAsia="Arial" w:hAnsi="Arial"/>
          <w:sz w:val="15"/>
          <w:szCs w:val="15"/>
          <w:color w:val="212529"/>
        </w:rPr>
        <w:t>Portions of the registrant’s definitive proxy statement for the 2021 Annual Meeting of Stockholders are incorporated by reference into Part III of this Form 10-K, to the extent described in Part III. Such definitive proxy statement, or an amendment to this Annual Report on Form 10-K, will be filed with the Securities and Exchange Commission within 120 days after the end of the registrant’s fiscal year-ended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7444105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1562735</wp:posOffset>
            </wp:positionH>
            <wp:positionV relativeFrom="page">
              <wp:posOffset>3106420</wp:posOffset>
            </wp:positionV>
            <wp:extent cx="4423410" cy="977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423410" cy="977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73"/>
        </w:trPr>
        <w:tc>
          <w:tcPr>
            <w:tcW w:w="96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222"/>
        </w:trPr>
        <w:tc>
          <w:tcPr>
            <w:tcW w:w="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4"/>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4"/>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64"/>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This Annual Report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include, but are not limited to, statements about:</w:t>
      </w:r>
    </w:p>
    <w:p>
      <w:pPr>
        <w:spacing w:after="0" w:line="56" w:lineRule="exact"/>
        <w:rPr>
          <w:sz w:val="20"/>
          <w:szCs w:val="20"/>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potential impact of the COVID-19 global pandemic on our business, revenue and financial condition, including our supply chain and our operations;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 that consumer spending will continue to shift online, and that such shift will continue even after the COVID-19 global pandemic ends;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execute and grow net revenue and profitability from sales of personal protective equipment (“PPE”);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future financial performance, including our revenue, costs of goods sold and operating expenses;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sustain and grow profitability;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sufficiency of our cash to meet our liquidity and operational needs and to execute our growth strategies, including potential acquisitions;</w:t>
      </w:r>
    </w:p>
    <w:p>
      <w:pPr>
        <w:spacing w:after="0" w:line="167" w:lineRule="exact"/>
        <w:rPr>
          <w:rFonts w:ascii="Arial" w:cs="Arial" w:eastAsia="Arial" w:hAnsi="Arial"/>
          <w:sz w:val="16"/>
          <w:szCs w:val="16"/>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the security and availability of our technology platform, including our AIMEE (</w:t>
      </w:r>
      <w:r>
        <w:rPr>
          <w:rFonts w:ascii="Arial" w:cs="Arial" w:eastAsia="Arial" w:hAnsi="Arial"/>
          <w:sz w:val="18"/>
          <w:szCs w:val="18"/>
          <w:b w:val="1"/>
          <w:bCs w:val="1"/>
          <w:i w:val="1"/>
          <w:iCs w:val="1"/>
          <w:color w:val="auto"/>
        </w:rPr>
        <w:t>A</w:t>
      </w:r>
      <w:r>
        <w:rPr>
          <w:rFonts w:ascii="Arial" w:cs="Arial" w:eastAsia="Arial" w:hAnsi="Arial"/>
          <w:sz w:val="18"/>
          <w:szCs w:val="18"/>
          <w:i w:val="1"/>
          <w:iCs w:val="1"/>
          <w:color w:val="auto"/>
        </w:rPr>
        <w:t xml:space="preserve">rtificial </w:t>
      </w:r>
      <w:r>
        <w:rPr>
          <w:rFonts w:ascii="Arial" w:cs="Arial" w:eastAsia="Arial" w:hAnsi="Arial"/>
          <w:sz w:val="18"/>
          <w:szCs w:val="18"/>
          <w:b w:val="1"/>
          <w:bCs w:val="1"/>
          <w:i w:val="1"/>
          <w:iCs w:val="1"/>
          <w:color w:val="auto"/>
        </w:rPr>
        <w:t>I</w:t>
      </w:r>
      <w:r>
        <w:rPr>
          <w:rFonts w:ascii="Arial" w:cs="Arial" w:eastAsia="Arial" w:hAnsi="Arial"/>
          <w:sz w:val="18"/>
          <w:szCs w:val="18"/>
          <w:i w:val="1"/>
          <w:iCs w:val="1"/>
          <w:color w:val="auto"/>
        </w:rPr>
        <w:t xml:space="preserve">ntelligence </w:t>
      </w:r>
      <w:r>
        <w:rPr>
          <w:rFonts w:ascii="Arial" w:cs="Arial" w:eastAsia="Arial" w:hAnsi="Arial"/>
          <w:sz w:val="18"/>
          <w:szCs w:val="18"/>
          <w:b w:val="1"/>
          <w:bCs w:val="1"/>
          <w:i w:val="1"/>
          <w:iCs w:val="1"/>
          <w:color w:val="auto"/>
        </w:rPr>
        <w:t>M</w:t>
      </w:r>
      <w:r>
        <w:rPr>
          <w:rFonts w:ascii="Arial" w:cs="Arial" w:eastAsia="Arial" w:hAnsi="Arial"/>
          <w:sz w:val="18"/>
          <w:szCs w:val="18"/>
          <w:i w:val="1"/>
          <w:iCs w:val="1"/>
          <w:color w:val="auto"/>
        </w:rPr>
        <w:t xml:space="preserve">ohawk </w:t>
      </w:r>
      <w:r>
        <w:rPr>
          <w:rFonts w:ascii="Arial" w:cs="Arial" w:eastAsia="Arial" w:hAnsi="Arial"/>
          <w:sz w:val="18"/>
          <w:szCs w:val="18"/>
          <w:b w:val="1"/>
          <w:bCs w:val="1"/>
          <w:i w:val="1"/>
          <w:iCs w:val="1"/>
          <w:color w:val="auto"/>
        </w:rPr>
        <w:t>e</w:t>
      </w:r>
      <w:r>
        <w:rPr>
          <w:rFonts w:ascii="Arial" w:cs="Arial" w:eastAsia="Arial" w:hAnsi="Arial"/>
          <w:sz w:val="18"/>
          <w:szCs w:val="18"/>
          <w:i w:val="1"/>
          <w:iCs w:val="1"/>
          <w:color w:val="auto"/>
        </w:rPr>
        <w:t xml:space="preserve">-Commerce </w:t>
      </w:r>
      <w:r>
        <w:rPr>
          <w:rFonts w:ascii="Arial" w:cs="Arial" w:eastAsia="Arial" w:hAnsi="Arial"/>
          <w:sz w:val="18"/>
          <w:szCs w:val="18"/>
          <w:b w:val="1"/>
          <w:bCs w:val="1"/>
          <w:i w:val="1"/>
          <w:iCs w:val="1"/>
          <w:color w:val="auto"/>
        </w:rPr>
        <w:t>E</w:t>
      </w:r>
      <w:r>
        <w:rPr>
          <w:rFonts w:ascii="Arial" w:cs="Arial" w:eastAsia="Arial" w:hAnsi="Arial"/>
          <w:sz w:val="18"/>
          <w:szCs w:val="18"/>
          <w:i w:val="1"/>
          <w:iCs w:val="1"/>
          <w:color w:val="auto"/>
        </w:rPr>
        <w:t>ngine) software platform;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launch new products, including our ability to successfully manage supply chain risks;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identify, complete and integrate merger and acquisition transactions;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predictions about industry and market trends;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expand internationally;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effectively manage our growth and future expenses;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estimated total addressable market, including for potential acquisitions;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protect and enhance our intellectual property, including our AIMEE software platform;</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comply with modified or new laws and regulations applying to our business;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key personnel;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defend litigation brought against us or to pursue litigation;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increased expenses and obligations associated with being a public company.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caution you that the foregoing list may not contain all the forward-looking statements made in this Annual Report on Form 10-K.</w:t>
      </w:r>
    </w:p>
    <w:p>
      <w:pPr>
        <w:spacing w:after="0" w:line="235"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i w:val="1"/>
          <w:iCs w:val="1"/>
          <w:color w:val="auto"/>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Annual Report on Form 10-K entitled “Risk Factors” and elsewhere in this Annual Report on Form 10-K. Moreover, we operate in a highly competitive and challenging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0"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i w:val="1"/>
          <w:iCs w:val="1"/>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Mohawk Group Holdings, Inc. and its subsidiaries (“Mohawk”, the “Company”, “we”, “us”, and “our”), is a rapidly growing technology-enabled consumer products platform (“CPG”) that uses machine learning, natural language processing, and data analytics to design, develop, market and sell products. Mohawk was founded on the premise that if a company selling consumer packaged goods was founded today, it would apply artificial intelligence (“AI”) and machine learning, the synthesis of massive quantities of data and the use of social proof to validate high caliber product offerings as opposed to over-reliance on brand value and other traditional marketing tactics. Today, we predominantly operate through online retail channels such as Amazon and Walmart.</w:t>
      </w:r>
    </w:p>
    <w:p>
      <w:pPr>
        <w:spacing w:after="0" w:line="8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have launched and sold hundreds of SKUs on e-commerce platforms. Through the success of a number of those products we have incubated our own brands. We also have recently started to acquire brands and products in product categories when we believe it is more advantageous than developing our own brands and products. Today, we own and operate eleven brands that sell products in multiple categories, including home and kitchen appliances, heating, cooling and air quality, health and beauty, cookware, kitchen tools and gadgets and personal protective equipment.</w:t>
      </w:r>
    </w:p>
    <w:p>
      <w:pPr>
        <w:spacing w:after="0" w:line="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eleven brands include, hOmeLabs; Vremi, Xtava; RIF6; Aussie Health; Holonix; Truweo; Mueller; Pursteam; Pohl and Schmitt; and Spiralizer. On February 2, 2021, we acquired the assets of Healing Solutions, LLC, an online seller of essential oils.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117475</wp:posOffset>
            </wp:positionV>
            <wp:extent cx="6660515" cy="1200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051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3040" w:val="left"/>
          <w:tab w:leader="none" w:pos="5620" w:val="left"/>
          <w:tab w:leader="none" w:pos="9400" w:val="left"/>
        </w:tabs>
        <w:rPr>
          <w:sz w:val="20"/>
          <w:szCs w:val="20"/>
          <w:color w:val="auto"/>
        </w:rPr>
      </w:pPr>
      <w:r>
        <w:rPr>
          <w:rFonts w:ascii="Arial" w:cs="Arial" w:eastAsia="Arial" w:hAnsi="Arial"/>
          <w:sz w:val="18"/>
          <w:szCs w:val="18"/>
          <w:b w:val="1"/>
          <w:bCs w:val="1"/>
          <w:color w:val="auto"/>
        </w:rPr>
        <w:t>hOmeLabs Dehumidifier</w:t>
      </w:r>
      <w:r>
        <w:rPr>
          <w:sz w:val="20"/>
          <w:szCs w:val="20"/>
          <w:color w:val="auto"/>
        </w:rPr>
        <w:tab/>
      </w:r>
      <w:r>
        <w:rPr>
          <w:rFonts w:ascii="Arial" w:cs="Arial" w:eastAsia="Arial" w:hAnsi="Arial"/>
          <w:sz w:val="18"/>
          <w:szCs w:val="18"/>
          <w:b w:val="1"/>
          <w:bCs w:val="1"/>
          <w:color w:val="auto"/>
        </w:rPr>
        <w:t>Vremi Kitchen Set</w:t>
      </w:r>
      <w:r>
        <w:rPr>
          <w:sz w:val="20"/>
          <w:szCs w:val="20"/>
          <w:color w:val="auto"/>
        </w:rPr>
        <w:tab/>
      </w:r>
      <w:r>
        <w:rPr>
          <w:rFonts w:ascii="Arial" w:cs="Arial" w:eastAsia="Arial" w:hAnsi="Arial"/>
          <w:sz w:val="18"/>
          <w:szCs w:val="18"/>
          <w:b w:val="1"/>
          <w:bCs w:val="1"/>
          <w:color w:val="auto"/>
        </w:rPr>
        <w:t>Xtava Infrared Hair Straightener</w:t>
      </w:r>
      <w:r>
        <w:rPr>
          <w:sz w:val="20"/>
          <w:szCs w:val="20"/>
          <w:color w:val="auto"/>
        </w:rPr>
        <w:tab/>
      </w:r>
      <w:r>
        <w:rPr>
          <w:rFonts w:ascii="Arial" w:cs="Arial" w:eastAsia="Arial" w:hAnsi="Arial"/>
          <w:sz w:val="16"/>
          <w:szCs w:val="16"/>
          <w:b w:val="1"/>
          <w:bCs w:val="1"/>
          <w:color w:val="auto"/>
        </w:rPr>
        <w:t>Mueller Blender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6875145" cy="1594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514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tabs>
          <w:tab w:leader="none" w:pos="2740" w:val="left"/>
          <w:tab w:leader="none" w:pos="5900" w:val="left"/>
          <w:tab w:leader="none" w:pos="9620" w:val="left"/>
        </w:tabs>
        <w:rPr>
          <w:sz w:val="20"/>
          <w:szCs w:val="20"/>
          <w:color w:val="auto"/>
        </w:rPr>
      </w:pPr>
      <w:r>
        <w:rPr>
          <w:rFonts w:ascii="Arial" w:cs="Arial" w:eastAsia="Arial" w:hAnsi="Arial"/>
          <w:sz w:val="18"/>
          <w:szCs w:val="18"/>
          <w:b w:val="1"/>
          <w:bCs w:val="1"/>
          <w:color w:val="auto"/>
        </w:rPr>
        <w:t>Holonix Hand Sanitizer</w:t>
      </w:r>
      <w:r>
        <w:rPr>
          <w:sz w:val="20"/>
          <w:szCs w:val="20"/>
          <w:color w:val="auto"/>
        </w:rPr>
        <w:tab/>
      </w:r>
      <w:r>
        <w:rPr>
          <w:rFonts w:ascii="Arial" w:cs="Arial" w:eastAsia="Arial" w:hAnsi="Arial"/>
          <w:sz w:val="18"/>
          <w:szCs w:val="18"/>
          <w:b w:val="1"/>
          <w:bCs w:val="1"/>
          <w:color w:val="auto"/>
        </w:rPr>
        <w:t>Truweo Posture Corrector</w:t>
      </w:r>
      <w:r>
        <w:rPr>
          <w:sz w:val="20"/>
          <w:szCs w:val="20"/>
          <w:color w:val="auto"/>
        </w:rPr>
        <w:tab/>
      </w:r>
      <w:r>
        <w:rPr>
          <w:rFonts w:ascii="Arial" w:cs="Arial" w:eastAsia="Arial" w:hAnsi="Arial"/>
          <w:sz w:val="18"/>
          <w:szCs w:val="18"/>
          <w:b w:val="1"/>
          <w:bCs w:val="1"/>
          <w:color w:val="auto"/>
        </w:rPr>
        <w:t>Spiralizer Vegetable Slicer</w:t>
      </w:r>
      <w:r>
        <w:rPr>
          <w:sz w:val="20"/>
          <w:szCs w:val="20"/>
          <w:color w:val="auto"/>
        </w:rPr>
        <w:tab/>
      </w:r>
      <w:r>
        <w:rPr>
          <w:rFonts w:ascii="Arial" w:cs="Arial" w:eastAsia="Arial" w:hAnsi="Arial"/>
          <w:sz w:val="16"/>
          <w:szCs w:val="16"/>
          <w:b w:val="1"/>
          <w:bCs w:val="1"/>
          <w:color w:val="auto"/>
        </w:rPr>
        <w:t>RIF6 Desk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we are reinventing how to rapidly and successfully identify new product and market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application program interfaces (“APIs”), to multiple e-commerce platforms. This allows us to automate the purchase of marketing, automate various parts of our fulfillment and logistics operations and to automate pricing changes on product listings. We generate revenue primarily through the online sales of our various digital native consumer products and substantially all of our sales are made through the Amazon U.S. marketplace.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See the sections contained within this Annual Report on Form 10-K entitled “Management’s Discussion and Analysis of Financial Condition and Results of Operations” and “Risk Factors” for further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Corporate Information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were incorporated in Delaware under the name Mohawk Group Holdings, Inc. in March 2018. We have a single direct operating subsidiary, Mohawk Group, Inc., a Delaware corporation, which was incorporated in Delaware in April 2014. As of December 31, 2020, we have multiple operating subsidiaries located in the United States, Canada, Ireland and China and conduct various aspects of our business in a number of other geographic locations including Philippines, Israel, Poland, France and Ukraine.</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Our principal executive offices are located at 37 East 18th Street, 7th Floor, New York, NY 10003, and our telephone number is (347) 676-1681. Our website address is </w:t>
      </w:r>
      <w:r>
        <w:rPr>
          <w:rFonts w:ascii="Arial" w:cs="Arial" w:eastAsia="Arial" w:hAnsi="Arial"/>
          <w:sz w:val="18"/>
          <w:szCs w:val="18"/>
          <w:i w:val="1"/>
          <w:iCs w:val="1"/>
          <w:color w:val="auto"/>
        </w:rPr>
        <w:t>www.mohawkgp.com.</w:t>
      </w:r>
      <w:r>
        <w:rPr>
          <w:rFonts w:ascii="Arial" w:cs="Arial" w:eastAsia="Arial" w:hAnsi="Arial"/>
          <w:sz w:val="18"/>
          <w:szCs w:val="18"/>
          <w:color w:val="auto"/>
        </w:rPr>
        <w:t xml:space="preserve"> We do not incorporate the information on, or accessible through, our website into this Annual Report, and you should not consider any information on, or accessible through, our website as part of this Annual Report. We have included our website address in this Annual Report on Form 10-K solely as an inactive textual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AIMEE, our proprietary technology platform, allows us to identify product and market opportunities and to execute and manage online marketing strategies. In addition, AIMEE’s innovative data analytics platform provides real-time inventory visibility allowing us to automate and manage the life-cycle of our consumer product portfolio.</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Using data and analysis provided by AIMEE, we determine which products to market, manufacture through contract manufacturers, import and sell on e-commerce marketplaces. We contract manufacturers, through purchase orders, predominately in China, to manufacture our consumer products. We have employees in China that perform sourcing, product testing, manufacturer qualification, quality assurance and control and purchasing, among other things. We take ownership and import these goods from China through various transportation methods via third-party transporters. We use a combination of Amazon warehouses, other third-party warehouses and logistics partners to fulfill direct-to-consumer orders through agreements or terms of services. Our scalable fulfillment services are integrated with AIMEE and are Amazon Prime Certified. We believe we can deliver products within two days of order through ground shipment across 99% of the U.S. market. Further, we have expanded our third-party warehouse network to add fulfillment by merchant (“FBM”) One Day Prime delivery for sales through Amazon, for approximately 76% of the U.S., based on our sales history. We believe that the increase in warehouse costs associated with this expansion will be more than offset by the decrease in shipping costs to customers, as the average last mile shipping zones will decrease due to our increased reach. Our sales, marketing and fulfillment are substantially integrated into AIMEE, which allows us to automate price, media buying, search engine optimization and shipping.</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AIMEE is being developed to be product agnostic and we believe it can help us identify opportunities in most product categories and its other lifecycle capabilities can be applied to most consumer products. To date, we have primarily focused more on products that require limited research and development, where small but meaningful data-driven adjustments to the product can be leveraged to address customer needs. We make initial marketing investments in our products at launch to capture highly visible virtual shelf space. We believe that our marketing strategies, when combined with social proof for our products, can create longer term revenue streams for our business that will require limited human touch as AIMEE’s functionality continues to be developed to autonomously optimize certain proprietary online marketing strategies for the product. Our large and growing data set provides the foundation for proprietary algorithms that AIMEE is being developed to execute throughout our business, including algorithms that predict purchase behavior, forecast demand and optimize inventory. We believe that in the long term, technology will play a key factor in creating and sustaining our advantage in the mass market CPG industry. With the commoditization of product manufacturing and brand advertising, efficiency of supply chain through technology will be a significant differentiator. CPG companies that can harness large amounts of data and apply analytics, automation and machine learning to better understand consumer needs, automate marketing processes and reduce fixed costs will prevail.</w:t>
      </w:r>
    </w:p>
    <w:p>
      <w:pPr>
        <w:spacing w:after="0" w:line="17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AIMEE’s functionality is comprised of three modules that are in various stages of development and that operate today in combination with human judgment and oversight:</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u w:val="single" w:color="auto"/>
          <w:color w:val="auto"/>
        </w:rPr>
        <w:t>Market Research</w:t>
      </w:r>
      <w:r>
        <w:rPr>
          <w:rFonts w:ascii="Arial" w:cs="Arial" w:eastAsia="Arial" w:hAnsi="Arial"/>
          <w:sz w:val="18"/>
          <w:szCs w:val="18"/>
          <w:color w:val="auto"/>
        </w:rPr>
        <w:t>. AIMEE’s idea generator functionality quickly analyzes and filters millions of shopping-related data points to identify product opportunities, including relevant product specifications, based on consumer sentiment, product trends and attributes and competitive landscape analysis, among other things.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Financial Planning &amp; Analysis</w:t>
      </w:r>
      <w:r>
        <w:rPr>
          <w:rFonts w:ascii="Arial" w:cs="Arial" w:eastAsia="Arial" w:hAnsi="Arial"/>
          <w:sz w:val="18"/>
          <w:szCs w:val="18"/>
          <w:color w:val="auto"/>
        </w:rPr>
        <w:t>. AIMEE’s financial planning and analysis functionality is being developed to perform product cash flow projections at the individual product level to provide visibility into the product pipeline and to compare projections against real-time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 w:name="page7"/>
    <w:bookmarkEnd w:id="6"/>
    <w:p>
      <w:pPr>
        <w:ind w:right="80"/>
        <w:spacing w:after="0" w:line="311" w:lineRule="auto"/>
        <w:rPr>
          <w:sz w:val="20"/>
          <w:szCs w:val="20"/>
          <w:color w:val="auto"/>
        </w:rPr>
      </w:pPr>
      <w:r>
        <w:rPr>
          <w:rFonts w:ascii="Arial" w:cs="Arial" w:eastAsia="Arial" w:hAnsi="Arial"/>
          <w:sz w:val="16"/>
          <w:szCs w:val="16"/>
          <w:u w:val="single" w:color="auto"/>
          <w:color w:val="auto"/>
        </w:rPr>
        <w:t>Automated Marketing Strategy Execution</w:t>
      </w:r>
      <w:r>
        <w:rPr>
          <w:rFonts w:ascii="Arial" w:cs="Arial" w:eastAsia="Arial" w:hAnsi="Arial"/>
          <w:sz w:val="16"/>
          <w:szCs w:val="16"/>
          <w:color w:val="auto"/>
        </w:rPr>
        <w:t>. AIMEE’s algorithms select and execute online marketplace trading strategies to optimize product sales and contribution margin. These algorithms run at intervals of approximately twenty minutes to two hours to assist in evalutating price, media buying, product listing health, SEO and inventory levels. AIMEE’s architecture continues to be developed to learn new skills and to execute complex tactics and strategies.</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continue to develop AIMEE’s capabilities, including with respect to forecasting, inventory management, online marketing and other aspects, which today involve human judgment and oversight. We believe that AIMEE can be applied to other non-competing products and have launched pilot programs for our PaaS (“Platform as a Service”) business with third-party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1817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believe the digital disruption of retail, namely the consumer shift to e-commerce, will continue for decades to come. As this digital disruption continues, we believe the products consumers purchase, and the places they purchase them, will index more towards function, value, and ease / speed of delivery and less towards the historical dominance of brand recognition. The ubiquity of data on the internet has empowered consumers to make data driven choices when it comes to nearly every consumer choice. In this data rich world, we believe that digital marketplaces offer both brands and consumers the best value when it comes to buying and selling consumer products.</w:t>
      </w:r>
    </w:p>
    <w:p>
      <w:pPr>
        <w:spacing w:after="0" w:line="8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For the consumer, digital marketplaces offer nearly endless product choice, competitive pricing and easy delivery options. For brands and manufacturers, digital marketplaces not only offer the ability to instantly connect with millions of customers across the world, but also provide a real-time data stream of purchase behavior to decide against. The data that digital marketplaces provide, in addition to consumer trends data that exists outside of these marketplaces, creates an opportunity for software to change the way products are ideated, merchandised, marketed, analyzed and fulfilled.</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AIMEE, our software platform, infuses technology throughout the entire consumer product value chain, allowing us to create and sell products and brands with superior value propositions versus the legacy incumbents products.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our platform makes it possible for us to launch and automates the sales of evergreen products with features that customers have indicated are the most important to them and with profitable unit economics. With scale, we gain purchasing power both at the product level and at the overall fulfillment level, which improves our operating results. We also believe that our platform provides us with substantial leverage such that we can acquire already existing products and utilize AIMEE to optimize “make” versus “buy” decisions.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Core to our identity is the continuous automation and optimization of every aspect of our business through technology so that our overhead remains modest in relation to the number of products on our platform. In short, we desire to become the most efficient and scalable consumer product company in the world. Our AIMEE platform gives us the ability to track unit economics on an individual SKU basis, which we believe, combined with the automation of our fixed costs, will allow us to disrupt and scale the business model of CPG.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product lifecycle can be summarized as follows:</w:t>
      </w:r>
    </w:p>
    <w:p>
      <w:pPr>
        <w:spacing w:after="0" w:line="117" w:lineRule="exact"/>
        <w:rPr>
          <w:sz w:val="20"/>
          <w:szCs w:val="20"/>
          <w:color w:val="auto"/>
        </w:rPr>
      </w:pPr>
    </w:p>
    <w:p>
      <w:pPr>
        <w:ind w:left="1020" w:right="140" w:hanging="37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 AIMEE to analyze shopping-related data points, assist in performing product cash flow projections at the product level and to detect product opportunities in e-commerce markets on which we sell, primarily the US Amazon marketplace.</w:t>
      </w:r>
    </w:p>
    <w:p>
      <w:pPr>
        <w:spacing w:after="0" w:line="62" w:lineRule="exact"/>
        <w:rPr>
          <w:rFonts w:ascii="Arial" w:cs="Arial" w:eastAsia="Arial" w:hAnsi="Arial"/>
          <w:sz w:val="18"/>
          <w:szCs w:val="18"/>
          <w:color w:val="auto"/>
        </w:rPr>
      </w:pPr>
    </w:p>
    <w:p>
      <w:pPr>
        <w:ind w:left="1020" w:right="340" w:hanging="37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manufacture products under our owned and operated brands based on the data analyzed by AIMEE and aim to commercially launch such products roughly within six to eight months after an idea has been identified.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left="1020" w:right="100" w:hanging="37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our products then typically goes through the Launch phase and depending on its level of success is moved to one of the other phases as further described below:</w:t>
      </w:r>
    </w:p>
    <w:p>
      <w:pPr>
        <w:spacing w:after="0" w:line="62" w:lineRule="exact"/>
        <w:rPr>
          <w:rFonts w:ascii="Arial" w:cs="Arial" w:eastAsia="Arial" w:hAnsi="Arial"/>
          <w:sz w:val="18"/>
          <w:szCs w:val="18"/>
          <w:color w:val="auto"/>
        </w:rPr>
      </w:pPr>
    </w:p>
    <w:p>
      <w:pPr>
        <w:ind w:left="1400" w:right="120" w:hanging="380"/>
        <w:spacing w:after="0" w:line="279" w:lineRule="auto"/>
        <w:tabs>
          <w:tab w:leader="none" w:pos="1400" w:val="left"/>
        </w:tabs>
        <w:numPr>
          <w:ilvl w:val="1"/>
          <w:numId w:val="5"/>
        </w:numPr>
        <w:rPr>
          <w:rFonts w:ascii="Arial" w:cs="Arial" w:eastAsia="Arial" w:hAnsi="Arial"/>
          <w:sz w:val="17"/>
          <w:szCs w:val="17"/>
          <w:color w:val="auto"/>
        </w:rPr>
      </w:pPr>
      <w:r>
        <w:rPr>
          <w:rFonts w:ascii="Arial" w:cs="Arial" w:eastAsia="Arial" w:hAnsi="Arial"/>
          <w:sz w:val="17"/>
          <w:szCs w:val="17"/>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 goods sold, less fulfillment, online advertising and selling expenses. These costs primarily reflect the estimated variable costs related to the sale of a product.</w:t>
      </w:r>
    </w:p>
    <w:p>
      <w:pPr>
        <w:spacing w:after="0" w:line="63" w:lineRule="exact"/>
        <w:rPr>
          <w:rFonts w:ascii="Arial" w:cs="Arial" w:eastAsia="Arial" w:hAnsi="Arial"/>
          <w:sz w:val="17"/>
          <w:szCs w:val="17"/>
          <w:color w:val="auto"/>
        </w:rPr>
      </w:pPr>
    </w:p>
    <w:p>
      <w:pPr>
        <w:ind w:left="1400" w:right="200" w:hanging="380"/>
        <w:spacing w:after="0" w:line="259" w:lineRule="auto"/>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is to enter the sustain phase and become profitable, with a target average of positive 15% net margin and within three months of launch on average. Net margin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1400" w:right="40" w:hanging="380"/>
        <w:spacing w:after="0" w:line="273" w:lineRule="auto"/>
        <w:tabs>
          <w:tab w:leader="none" w:pos="1400" w:val="left"/>
        </w:tabs>
        <w:numPr>
          <w:ilvl w:val="1"/>
          <w:numId w:val="5"/>
        </w:numPr>
        <w:rPr>
          <w:rFonts w:ascii="Arial" w:cs="Arial" w:eastAsia="Arial" w:hAnsi="Arial"/>
          <w:sz w:val="17"/>
          <w:szCs w:val="17"/>
          <w:color w:val="auto"/>
        </w:rPr>
      </w:pPr>
      <w:r>
        <w:rPr>
          <w:rFonts w:ascii="Arial" w:cs="Arial" w:eastAsia="Arial" w:hAnsi="Arial"/>
          <w:sz w:val="17"/>
          <w:szCs w:val="17"/>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As of the date of this Annual Report on Form 10-K, none of our products have achieved the milk phase and we can provide no assurance that any of our products will do so in the future.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to Market Advantage vs Incumbents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228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&amp; Industry</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The e-Commerce Industry is Experiencing Massive Growth and Technology is Driving Transformation Across Consumer Product Industries and Marketplaces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According to eMarketer’s December 2020 publication the global e-commerce market is forecasted to grow to approximately $6.4 trillion by the year 2024, up from $3.4 trillion in 2019, and increase as a percentage of overall retail sales from 13.6% to 21.8% during the same time period. Digital marketplaces specifically have been, and we believe will continue to be, integral in fueling this shift to e-commerce, with nearly one-third of all e-commerce purchases coming from Amazon alone according to a recent DigitalCommerce360 report.</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shift in consumer behavior has enabled technological innovation that has profoundly impacted how consumers discover and purchase products. Consumer product companies must in turn adapt their businesses in order to engage effectively with this new crop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right="20"/>
        <w:spacing w:after="0" w:line="311" w:lineRule="auto"/>
        <w:rPr>
          <w:sz w:val="20"/>
          <w:szCs w:val="20"/>
          <w:color w:val="auto"/>
        </w:rPr>
      </w:pPr>
      <w:r>
        <w:rPr>
          <w:rFonts w:ascii="Arial" w:cs="Arial" w:eastAsia="Arial" w:hAnsi="Arial"/>
          <w:sz w:val="16"/>
          <w:szCs w:val="16"/>
          <w:color w:val="auto"/>
        </w:rPr>
        <w:t>of digital-first customers. We believe that a brand’s ability to drive margin accretion in this digital / data-first world will be a function of a brand’s ability to use machine learning and automation to optimize a product’s cost of sales. Paramount will be a brand’s ability to quickly synthesize massive quantities of data that can be considered to inform everything from a product’s aesthetic and functionality to its marketing strategy and inventory planning.</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new, highly powered data driven business models that embrace these changes and deeply focus on the consumer will be the winners in this rapidly changing environment. We also believe that human beings cannot accurately and efficiently process the massive quantities of various data points required to address real-time dynamic marketplace changes. We believe that AIMEE’s ability to ingest, synthesize, and make decisions against the massive amount of data the internet and digital marketplaces in particular offer, positions us for success to address these structural shifts as consumers move to digital marketplaces to satisfy their needs.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Many CPG Companies Have Failed to Adapt to Changing Consumer Behavior in the e-Commerce Market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development of selling tools and software like Shopify and Amazon’s Seller Central have materially reduced the barrier to entry for new brands to launch and quickly connect with millions of customers across the globe. This democratization of the consumer product space has produced headwinds for legacy CPG companies that have historically relied upon consumer brand recognition and predictable physical retail shelf space to maintain category dominance. We believe the traditional brick-and-mortar CPG industry lacks the dynamism and technological innovation needed to succeed in this new paradigm offering consumers nearly infinite choice. We believe digitally native brands will continue to take market share from these legacy incumbents by offering more competitive pricing and product features, and will supplant traditional brand awareness by instead focusing on creating direct relationships with consumers that ultimately manifest in durable social-proof moats across the largest e-commerce channels. We believe newer, more agile, data driven CPG companies, like Mohawk, have the ability to better understand what consumers are looking for in real time and to make our products visible to consumers on the right virtual shelves and at efficient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Consumer Journey is Data-Driven and No Longer Relies Primarily on Brand Value to Drive Buying Decisions</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believe the increase in consumer choice as it relates to brands, products and channels has lessened the importance of brand recognition and perception in dictating consumer product preferences. Indeed, Amazon search data reflects this shift, with only 22% of Amazon product searches including a brand name, according to a 2019 Marketplace Pulse report.</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our platform addresses these changes in shopping behavior in a precise and scalable way. AIMEE has the ability to synthesize large quantities of data relating to relevant features and trends in consumer preferences, which allows us to quickly develop products that delight consumers. AIMEE also allows us to manage the other component parts of successfully scaling a consumer product on marketplaces, including merchandising, marketing, sales forecasting, and fulfillment.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Products - Make versus Buy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used AIMEE to make (internally develop) our products portfolio of five owned and operated consumer product brands and have hundreds of SKUs available for sale. AIMEE’s idea generator has been developed to be product agnostic and we believe can generate product opportunities in most product categories. We have also leveraged AIMEE to buy (acquire through acquisition) consumer product brands and related products. During 2020, we acquired the brands Truweo, Mueller, Pursteam, Pohl and Schmitt, and Spriralizer and their related products and during 2019, we acquired the brand Aussie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128270</wp:posOffset>
            </wp:positionV>
            <wp:extent cx="4465955" cy="2871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6595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we intend to pursue growth from our existing product portfolio and from new product launches, we also intend to pursue growth through strategic acquisitions of digital native brands that have the potential to be quickly on-boarded onto our AIMEE platform. When looking at new potential product categories and potential acquisition targets, we typically apply a make-or-buy analysis based on the data provided from our AIMEE technology platform combined with our assessment of the risks and costs of successfully launching products in the new product category. We intend to pursue acquisitions when the target meets our financial and other criteria, including potential cost saving synergies, revenue sustainability and risk mitigation. Cost saving synergies are derived primarily from reduced labor costs because we expect that we will not hire many of the target company’s employees, if any. We expect that these consumer product businesses will typically have built a significant presence on at least one e-commerce marketplace around one or more product categories. We expect that the products of these businesses will have strong unit economics, high product quality and stable supply chains, have developed significant social proof in the form of customer reviews and high search ranking for relevant keywords and are in product categories where frequent product improvement is not required. They also tend to have significant concentration risk due to limited product categories, have limited ability to scale as they do not have a technology platform enabling automation and have limited working capital to further enable growth.</w:t>
      </w:r>
    </w:p>
    <w:p>
      <w:pPr>
        <w:spacing w:after="0" w:line="17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ability to complete any acquisition typically depends on a number of factors including the successful completion of confirmatory due diligence, negotiation of definitive agreements, the seller providing seller financing, our ability to use debt and equity financing, and permission from our existing lenders.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Platform as a Service (PaaS)</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many brands have under-invested in their marketplace strategy due to the inherent complexities of managing businesses on Amazon and a fundamental misunderstanding of the accretive relationship between Amazon and other sales channels. Moreover, we believe a number of macro-environmental factors, including the rising costs of customer acquisition on traditional digital channels, the growth of the Amazon Prime program, and the continued proliferation of third-party sellers across the largest e-commerce channels, will push many brands to more fully embrace the Amazon marketplace as a critical component of an omni-channel distribution strategy. We believe AIMEE is uniquely equipped to add value to brands and manufacturers in this emerging paradigm, leveraging real-time analytics and sales automation to help brands more effectively manage their marketplace strategy.</w:t>
      </w:r>
    </w:p>
    <w:p>
      <w:pPr>
        <w:spacing w:after="0" w:line="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believe that our PaaS solution, which includes combined access to our team’s expertise and the AIMEE platform, could provide a significant advantage over other competitors in this industry. We believe this is because many incumbent CPG companies have historically operated as business-to-businesses and have not invested sufficiently to succeed on online marketplaces. With a PaaS solution, we believe we can bridge this operational gap by offering our technology combined with our substantial know-how in managing business-to-consumer supply chains, marketing, and customer service, among other things.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continue to offer our Platform as a Service solution through pilot programs to brands and manufacturers. Our offering provides substantially the same capabilities utilized for our owned and operated portfolio of products. We currently structure our offering as a standalone PaaS service or, in cases where the client’s third-party’s logistics do not allow for fulfillment direct-to-consumer, as a PaaS service suite which includes a standard reseller agreement that leverages our integrated direct-to-consumer fulfillment program.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Equity Offering</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August 26, 2020, we completed an underwritten public offering (the “Follow-On Offering”) of 3,860,710 shares of common stock, which included the exercise by the underwriters of their option to purchase additional shares of common stock solely to cover over-allotments, at a public offering price</w:t>
      </w:r>
    </w:p>
    <w:p>
      <w:pPr>
        <w:ind w:right="240"/>
        <w:spacing w:after="0" w:line="290" w:lineRule="auto"/>
        <w:rPr>
          <w:sz w:val="20"/>
          <w:szCs w:val="20"/>
          <w:color w:val="auto"/>
        </w:rPr>
      </w:pPr>
      <w:r>
        <w:rPr>
          <w:rFonts w:ascii="Arial" w:cs="Arial" w:eastAsia="Arial" w:hAnsi="Arial"/>
          <w:sz w:val="17"/>
          <w:szCs w:val="17"/>
          <w:color w:val="auto"/>
        </w:rPr>
        <w:t>of $7.00 per share, less underwriting discounts and commissions. We received net proceeds of approximately $23.4 million after deducting underwriting discounts and commissions of approximately $2.2 million and other offering expenses payable by us of approximately $1.4 million.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30, 2020, we entered into a securities purchase agreement (the “Securities Purchase Agreement”) with High Trail Investments SA LLC (“High Trail”), pursuant to which, among other things, we issued and sold to High Trail in a private placement transaction (the “Private Placement”), in exchange for the payment by High Trail of $38.0 million, (i) a 0% coupon senior secured promissory note in an aggregate principal amount of $43.0 million (the “Note”), and (ii) a warrant to purchase up to an aggregate of 2,864,133 shares of our common stock (the “Warrant”). On December 1, 2020, we closed the transactions contemplated by the Securities Purchase Agreement and used a portion of the proceeds to pay off all obligations under the $15.0 million term loan (the “Horizon Term Loan”) previously provided pursuant to that certain Venture Loan and Security Agreement, dated as of December 31, 2018, by and among us, Mohawk Group, Inc. and our subsidiaries from time to time party thereto and Horizon Technology Finance Corporation (“Horizon”) as a lender and collateral agent, as amended (such Venture Loan and Security Agreement, as amended, the “Horizon Loan Agreement”), for $15.0 million and terminated the Horizon Term Loan.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rely primarily on a combination of trade secrets, trademarks, employee and third-party nondisclosure agreements and licensing arrangements (including open source software) to protect our intellectual property in the United States and internationally. We generally do not pursue patent applications as a means of protecting our intellectual property. We have applied to register or have registered certain of our trademarks in the United States and other jurisdictions, and we will pursue additional trademark registrations to the extent we believe they would be beneficial and cost-effective.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customers are primarily individual online consumers who purchase our products primarily on Amazon US, and to a lesser extent on our owned and operated websites and other marketplaces. In 2019, approximately 95% of our revenue was through or with the Amazon sales platform and in 2020, 88% of our revenue was through or with the Amazon sales platform. Customers in our PaaS business consist of third-party consumer product companies who are primarily engaged in pilot programs.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weather conditions, shifts in the timing of certain holidays and changes in our product mix.</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sales and marketing strategy and approach is substantially integrated into AIMEE and also involves human judgment. AIMEE is being developed to allow us to automate price, media buying, search engine optimization and a/b testing leveraging our proprietary technology software and algorithms we have built into AIMEE. We believe this automation will bring significant competitive advantages for our products and PaaS customers alike. For our SKUs, our advertising investment is focused on online channels and e-commerce platforms. Currently our primary focus on advertising spend is online across Amazon, Google and Facebook. Our spend and approach on advertising is different depending on the life cycle of products on our platform. We view and classify products into categories such as launch, sustain, milk or liquidate.</w:t>
      </w:r>
    </w:p>
    <w:p>
      <w:pPr>
        <w:spacing w:after="0" w:line="17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launch phase is where we classify new products being introduced into the marketplace. The advertising spend during this stage is aggressive and can last for three months on average to ensure the product launch is successful, with a focus on search optimization and the development of social proof that our products are meeting customer needs. Once our products reach the sustain phase, our sales and marketing strategy then focuses on managing price and pay-per-click optimization, along with a corresponding reduction in spending on search optimization and social proof.</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Manufacturing &amp; Logistics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2020, we contract, through purchase orders, with approximately 94 manufacturers, predominately in China, for substantially all of our consumer products. As of December 31, 2020, we have an operations team of approximately 31 people in Shenzhen, China that performs sourcing, product testing, manufacturer qualification, quality assurance and control and purchasing, among other things. In general, we do not use master agreements with vendors and aim to have flexibility in our supply chain to match our forecasting needs.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use a combination of Amazon warehouses, other third-party warehouse and logistics partners to fulfill direct-to-consumer orders, through agreements or terms of services. In addition to fulfillment by Amazon warehouses, in 2018 we began utilizing three geographically distributed third-party warehouses to allow us to deliver orders within two days through ground shipment to approximately 99% of the U.S. market. Warehouse selection for any particular product depends on the size and other aspects of the products to be warehoused, with a focus on optimizing storage and fulfillment costs. We are focused on driving manufacturing and logistics costs down as we grow, scale and improve our purchasing power. We have expanded our third-party warehouse network to provide FBM One Day Prime delivery. This expansion covered approximately 76% of the U.S. market in 2020, based on our sales history. We believe that the increase in warehouse costs associated with this expansion will be more than offset by the decrease in shipping costs to customers as the average last mile shipping zones will decrease due to our increased reach.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The consumer goods and e-commerce markets are highly competitive, including the market for potential M&amp;A opportunities where there are many aggregators with substantial access to capital focused on acquiring Amazon third party sellers. Our competitors include traditional and non-traditional consumer good companies, discount stores, traditional retailers, the online platforms of these traditional retail competitors, independent retail stores and e-commerce companies. The market for PaaS services relating to e-commerce, and the U.S. Amazon marketplace in particular, is also very competitive </w:t>
      </w:r>
      <w:r>
        <w:rPr>
          <w:rFonts w:ascii="Arial" w:cs="Arial" w:eastAsia="Arial" w:hAnsi="Arial"/>
          <w:sz w:val="17"/>
          <w:szCs w:val="17"/>
          <w:color w:val="222222"/>
        </w:rPr>
        <w:t>with</w:t>
      </w:r>
      <w:r>
        <w:rPr>
          <w:rFonts w:ascii="Arial" w:cs="Arial" w:eastAsia="Arial" w:hAnsi="Arial"/>
          <w:sz w:val="17"/>
          <w:szCs w:val="17"/>
          <w:color w:val="auto"/>
        </w:rPr>
        <w:t xml:space="preserve"> </w:t>
      </w:r>
      <w:r>
        <w:rPr>
          <w:rFonts w:ascii="Arial" w:cs="Arial" w:eastAsia="Arial" w:hAnsi="Arial"/>
          <w:sz w:val="17"/>
          <w:szCs w:val="17"/>
          <w:color w:val="222222"/>
        </w:rPr>
        <w:t>a variety of well-funded entrants in the space. The market landscape is diverse, with competitors selling into brands, agencies, manufacturers and retailers alike. The services offered by these competitors vary, with some offering point solutions for specific aspects related to selling on Amazon, including research and business intelligence, Amazon services and listing management, while others focus on a more holistic approach. Some of these competitors leverage proprietary software to execute their services, while others offer personnel with relevant expertise. In addition, Amazon also offers its sellers a variety of tools that are generally free.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22222"/>
        </w:rPr>
        <w:t>We believe that our owned and operated products business and our PaaS business give us an advantage as we are able to quickly develop new algorithms and test them on our own products to ensure their efficacy before delivering them to PaaS clients. By having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222222"/>
        </w:rPr>
        <w:t>our owned and operated businesses, we are able to better predict and develop features that we believe will deliver results for PaaS clients.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With regard to our CPG business, we believe our competitors are Amazon, Helen of Troy, Newell Brands, Frigidaire, Trademark Global and any CPG company that sells products similar to ours in the e-commerce space. There has also been an increase in the number of sellers who are based in China that sell products similar to ours. For our acquisition growth strategy, we believe our include competitors are Thrasio, HeyDay, SellerX, Perch, Boosted Commerce, and Heroes, among numerous other aggregators in the U.S and in Europe. For our PaaS business, we believe our competitors are </w:t>
      </w:r>
      <w:r>
        <w:rPr>
          <w:rFonts w:ascii="Arial" w:cs="Arial" w:eastAsia="Arial" w:hAnsi="Arial"/>
          <w:sz w:val="18"/>
          <w:szCs w:val="18"/>
          <w:color w:val="222222"/>
        </w:rPr>
        <w:t>Feedvisor,</w:t>
      </w:r>
      <w:r>
        <w:rPr>
          <w:rFonts w:ascii="Arial" w:cs="Arial" w:eastAsia="Arial" w:hAnsi="Arial"/>
          <w:sz w:val="18"/>
          <w:szCs w:val="18"/>
          <w:color w:val="auto"/>
        </w:rPr>
        <w:t xml:space="preserve"> </w:t>
      </w:r>
      <w:r>
        <w:rPr>
          <w:rFonts w:ascii="Arial" w:cs="Arial" w:eastAsia="Arial" w:hAnsi="Arial"/>
          <w:sz w:val="18"/>
          <w:szCs w:val="18"/>
          <w:color w:val="222222"/>
        </w:rPr>
        <w:t>CommerceIQ, Channel Advisor, Teikametrics, Jungle Scout, and Helium10</w:t>
      </w:r>
      <w:r>
        <w:rPr>
          <w:rFonts w:ascii="Arial" w:cs="Arial" w:eastAsia="Arial" w:hAnsi="Arial"/>
          <w:sz w:val="18"/>
          <w:szCs w:val="18"/>
          <w:color w:val="000000"/>
        </w:rPr>
        <w:t>. We believe that we are able to compete effectively because of our expertise,</w:t>
      </w:r>
      <w:r>
        <w:rPr>
          <w:rFonts w:ascii="Arial" w:cs="Arial" w:eastAsia="Arial" w:hAnsi="Arial"/>
          <w:sz w:val="18"/>
          <w:szCs w:val="18"/>
          <w:color w:val="222222"/>
        </w:rPr>
        <w:t xml:space="preserve"> </w:t>
      </w:r>
      <w:r>
        <w:rPr>
          <w:rFonts w:ascii="Arial" w:cs="Arial" w:eastAsia="Arial" w:hAnsi="Arial"/>
          <w:sz w:val="18"/>
          <w:szCs w:val="18"/>
          <w:color w:val="000000"/>
        </w:rPr>
        <w:t>platform, data science, and other automation.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Matters/Governmental Regulations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subject to a variety of U.S. federal, state and local laws and international laws, including but not limited to those governing the processing of payments, consumer protection, the privacy of consumer information and other laws regarding unfair and deceptive trade practices. We are also subject to various environmental laws, rules and regulations, such as California’s Proposition 65.</w:t>
      </w:r>
    </w:p>
    <w:p>
      <w:pPr>
        <w:spacing w:after="0" w:line="1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products sold by us are also subject to regulation by United States governmental agencies, including the U.S. Consumer Product Safety Commission, the Federal Trade Commission, United States Food and Drug Administration, the U.S. Department of Energy and similar state and international regulatory authorities, such as the California Energy Commission. We do not estimate any significant capital expenditures for environmental control matters either in the current fiscal year or in the near future.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subject to regulations relating to our supply chain. For example, the California Transparency in Supply Chains Act requires retail sellers that do business in California to disclose their efforts to eradicate slavery and human trafficking in their supply chains. As part of our vendor qualification process, we review suppliers’ operations for compliance with applicable labor and workplace standards and other applicable laws, including laws prohibiting child labor, forced labor and unsafe working conditions.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Substantially all of our products are currently manufactured in China, which may result in additional costs, if international trade negotiations result in adverse tariffs on our products.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Although we have not suffered any material restrictions from doing business in the past due to government regulations, significant impediments may arise in the future as we expand product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dispose of obsolete inventory, which is disposed of or destroyed in compliance with applicable laws and regulations.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human capital objectives we focus on in managing our business include attracting, developing, and retaining key personnel. Our employees are critical to the success of our organization and the Company is committed to supporting our employees’ professional development. We believe our management team has the experience necessary to effectively implement our growth strategy and continue to drive shareholder value. We provide competitive compensation, which includes a focus on stock-based compensation, and benefits to attract and retain key personnel, while also providing a safe, inclusive and respectful workplace. We continue to develop and grow in-house learning and development for its employees which is primarily performed online on a variety of topics, including topics that advance leadership skills.</w:t>
      </w:r>
    </w:p>
    <w:p>
      <w:pPr>
        <w:spacing w:after="0" w:line="18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December 31, 2020, we had 121 employees, of which 120 were full-time, and 30 independent contractors. Of our employees and contractors, 39 are engaged in research and development, 93 are engaged in sales, marketing and operations and 19 are in general corporate and administrative positions.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2020, our employees and contractors are based in five offices, including shared workspaces, in seven countries, including 30 in research and development, sales, marketing, operations, general corporate and administration in New York, four in operations and revenue across remote roles in United States, 31 in China where we perform operations and manufacturers inspections, four in Israel where we perform certain sale operations and research and development functions, 59 in the Philippines where we perform customer service, sales and marketing and other logistics functions and 19 in Poland where we perform research and development. We also contract four consultants predominately for research and development functions in Ukraine and France.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employees are not represented by any collective bargaining agreements or labor unions.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Below is a summary of the principal factors that make an investment in shares of our common stock speculative or risky. These factors, along with other general risk factors, are described in further detail under the heading “Risk Factors”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short operating history in an evolving industry.</w:t>
      </w:r>
    </w:p>
    <w:p>
      <w:pPr>
        <w:spacing w:after="0" w:line="144" w:lineRule="exact"/>
        <w:rPr>
          <w:rFonts w:ascii="Arial" w:cs="Arial" w:eastAsia="Arial" w:hAnsi="Arial"/>
          <w:sz w:val="18"/>
          <w:szCs w:val="18"/>
          <w:color w:val="auto"/>
        </w:rPr>
      </w:pPr>
    </w:p>
    <w:p>
      <w:pPr>
        <w:ind w:left="1020" w:right="240" w:hanging="37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significant operational exposure relating to the COVID-19 pandemic and the impact from this risk could have a material adverse impact on our business, financial condition, operating results and prospects.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w:t>
      </w:r>
    </w:p>
    <w:p>
      <w:pPr>
        <w:spacing w:after="0" w:line="144" w:lineRule="exact"/>
        <w:rPr>
          <w:rFonts w:ascii="Arial" w:cs="Arial" w:eastAsia="Arial" w:hAnsi="Arial"/>
          <w:sz w:val="18"/>
          <w:szCs w:val="18"/>
          <w:color w:val="auto"/>
        </w:rPr>
      </w:pPr>
    </w:p>
    <w:p>
      <w:pPr>
        <w:ind w:left="1020" w:right="460" w:hanging="37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invest in new businesses and develop new products and services that may disrupt our current operations and negatively impact our financial condition and operating results.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current acquisition strategy may be limited by our ability to raise the funding we need to continue to support our growth strategy.</w:t>
      </w:r>
    </w:p>
    <w:p>
      <w:pPr>
        <w:spacing w:after="0" w:line="155" w:lineRule="exact"/>
        <w:rPr>
          <w:rFonts w:ascii="Arial" w:cs="Arial" w:eastAsia="Arial" w:hAnsi="Arial"/>
          <w:sz w:val="17"/>
          <w:szCs w:val="17"/>
          <w:color w:val="auto"/>
        </w:rPr>
      </w:pPr>
    </w:p>
    <w:p>
      <w:pPr>
        <w:ind w:left="1020" w:right="260" w:hanging="37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and this capital might not be available or may be available only by diluting existing stockholders.</w:t>
      </w:r>
    </w:p>
    <w:p>
      <w:pPr>
        <w:spacing w:after="0" w:line="62" w:lineRule="exact"/>
        <w:rPr>
          <w:rFonts w:ascii="Arial" w:cs="Arial" w:eastAsia="Arial" w:hAnsi="Arial"/>
          <w:sz w:val="18"/>
          <w:szCs w:val="18"/>
          <w:color w:val="auto"/>
        </w:rPr>
      </w:pPr>
    </w:p>
    <w:p>
      <w:pPr>
        <w:ind w:left="1020" w:right="100" w:hanging="378"/>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Substantially all of our revenues are from sales of products on Amazon’s U.S. Marketplace and any change, limitation or restriction, even if temporary, on our ability to operate on Amazon’s platform could have a material adverse impact to our business, results of operations, financial condition and prospects.</w:t>
      </w:r>
    </w:p>
    <w:p>
      <w:pPr>
        <w:spacing w:after="0" w:line="75" w:lineRule="exact"/>
        <w:rPr>
          <w:rFonts w:ascii="Arial" w:cs="Arial" w:eastAsia="Arial" w:hAnsi="Arial"/>
          <w:sz w:val="18"/>
          <w:szCs w:val="18"/>
          <w:color w:val="auto"/>
        </w:rPr>
      </w:pPr>
    </w:p>
    <w:p>
      <w:pPr>
        <w:ind w:left="1020" w:right="240" w:hanging="37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manage our growth effectively, and our failure to do so may adversely affect our results of operations and financial condition, business, and culture.</w:t>
      </w:r>
    </w:p>
    <w:p>
      <w:pPr>
        <w:spacing w:after="0" w:line="62" w:lineRule="exact"/>
        <w:rPr>
          <w:rFonts w:ascii="Arial" w:cs="Arial" w:eastAsia="Arial" w:hAnsi="Arial"/>
          <w:sz w:val="18"/>
          <w:szCs w:val="18"/>
          <w:color w:val="auto"/>
        </w:rPr>
      </w:pPr>
    </w:p>
    <w:p>
      <w:pPr>
        <w:ind w:left="1020" w:right="340" w:hanging="37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Shipping is a critical part of our business and any changes in our shipping arrangements or any interruptions in shipping could adversely affect our operating results.</w:t>
      </w:r>
    </w:p>
    <w:p>
      <w:pPr>
        <w:spacing w:after="0" w:line="62" w:lineRule="exact"/>
        <w:rPr>
          <w:rFonts w:ascii="Arial" w:cs="Arial" w:eastAsia="Arial" w:hAnsi="Arial"/>
          <w:sz w:val="18"/>
          <w:szCs w:val="18"/>
          <w:color w:val="auto"/>
        </w:rPr>
      </w:pPr>
    </w:p>
    <w:p>
      <w:pPr>
        <w:ind w:left="1020" w:right="440" w:hanging="378"/>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dependent on third-party manufacturers, which are located in China, and any inability to obtain products from any such manufacturers, such as changes to trade policies or delayed production schedules, could have a material adverse effect on our business, operating results and financial condition.</w:t>
      </w:r>
    </w:p>
    <w:p>
      <w:pPr>
        <w:spacing w:after="0" w:line="75" w:lineRule="exact"/>
        <w:rPr>
          <w:rFonts w:ascii="Arial" w:cs="Arial" w:eastAsia="Arial" w:hAnsi="Arial"/>
          <w:sz w:val="18"/>
          <w:szCs w:val="18"/>
          <w:color w:val="auto"/>
        </w:rPr>
      </w:pPr>
    </w:p>
    <w:p>
      <w:pPr>
        <w:ind w:left="1020" w:right="260" w:hanging="378"/>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AIMEE and other information technologies and systems to operate our business and to maintain our competitiveness, and any failure to invest in and adapt to technological developments and industry trends could harm our business.</w:t>
      </w:r>
    </w:p>
    <w:p>
      <w:pPr>
        <w:spacing w:after="0" w:line="38" w:lineRule="exact"/>
        <w:rPr>
          <w:rFonts w:ascii="Arial" w:cs="Arial" w:eastAsia="Arial" w:hAnsi="Arial"/>
          <w:sz w:val="17"/>
          <w:szCs w:val="17"/>
          <w:color w:val="auto"/>
        </w:rPr>
      </w:pPr>
    </w:p>
    <w:p>
      <w:pPr>
        <w:ind w:left="1020" w:right="80" w:hanging="378"/>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on our ability to build and maintain strong product listings on e-commerce platforms. We may not be able to maintain and enhance our product listings if we experience illegal “black hat” tactics from other sellers, receive unfavorable customer complaints, negative publicity or otherwise fail to live up to consumers’ expectations, which could materially adversely affect our business, results of operations and growth prospects.</w:t>
      </w:r>
    </w:p>
    <w:p>
      <w:pPr>
        <w:spacing w:after="0" w:line="78"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Expansion of our operations internationally requires management attention and resources, involves additional risks and may be unsuccessful.</w:t>
      </w:r>
    </w:p>
    <w:p>
      <w:pPr>
        <w:spacing w:after="0" w:line="167" w:lineRule="exact"/>
        <w:rPr>
          <w:rFonts w:ascii="Arial" w:cs="Arial" w:eastAsia="Arial" w:hAnsi="Arial"/>
          <w:sz w:val="16"/>
          <w:szCs w:val="16"/>
          <w:color w:val="auto"/>
        </w:rPr>
      </w:pPr>
    </w:p>
    <w:p>
      <w:pPr>
        <w:ind w:left="1020" w:right="140" w:hanging="37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are subject to seasonal and quarterly variations in our net revenue and operating income and, as a result, our quarterly results may fluctuate and could be below expectations.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our revolving credit facility and other debt contain restrictive covenants that may limit our operating flexibility.</w:t>
      </w:r>
    </w:p>
    <w:p>
      <w:pPr>
        <w:spacing w:after="0" w:line="144" w:lineRule="exact"/>
        <w:rPr>
          <w:rFonts w:ascii="Arial" w:cs="Arial" w:eastAsia="Arial" w:hAnsi="Arial"/>
          <w:sz w:val="18"/>
          <w:szCs w:val="18"/>
          <w:color w:val="auto"/>
        </w:rPr>
      </w:pPr>
    </w:p>
    <w:p>
      <w:pPr>
        <w:ind w:left="1020" w:right="240" w:hanging="378"/>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acquire other companies or technologies, which could divert our management’s attention, result in additional dilution to our stockholders and otherwise disrupt our operations and adversely affect our operating results. A failure to successfully evaluate acquisition targets and integrate our acquired businesses may adversely affect our business or operations.</w:t>
      </w:r>
    </w:p>
    <w:p>
      <w:pPr>
        <w:spacing w:after="0" w:line="57" w:lineRule="exact"/>
        <w:rPr>
          <w:rFonts w:ascii="Arial" w:cs="Arial" w:eastAsia="Arial" w:hAnsi="Arial"/>
          <w:sz w:val="17"/>
          <w:szCs w:val="17"/>
          <w:color w:val="auto"/>
        </w:rPr>
      </w:pPr>
    </w:p>
    <w:p>
      <w:pPr>
        <w:ind w:left="1020" w:hanging="378"/>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we continue to acquire and invest in new businesses, our ability to acquire companies at accretive multiples may not be viable.</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9" w:lineRule="exact"/>
        <w:rPr>
          <w:sz w:val="20"/>
          <w:szCs w:val="20"/>
          <w:color w:val="auto"/>
        </w:rPr>
      </w:pPr>
    </w:p>
    <w:p>
      <w:pPr>
        <w:ind w:left="1020" w:hanging="37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use of open source software may pose particular risks to our proprietary software and systems.</w:t>
      </w:r>
    </w:p>
    <w:p>
      <w:pPr>
        <w:spacing w:after="0" w:line="144" w:lineRule="exact"/>
        <w:rPr>
          <w:rFonts w:ascii="Arial" w:cs="Arial" w:eastAsia="Arial" w:hAnsi="Arial"/>
          <w:sz w:val="18"/>
          <w:szCs w:val="18"/>
          <w:color w:val="auto"/>
        </w:rPr>
      </w:pPr>
    </w:p>
    <w:p>
      <w:pPr>
        <w:ind w:left="1020" w:right="380" w:hanging="37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Assertions by third parties of infringement or misappropriation by us of their intellectual property rights or confidential know how could result in significant costs and substantially harm our business and results of operations.</w:t>
      </w:r>
    </w:p>
    <w:p>
      <w:pPr>
        <w:spacing w:after="0" w:line="62" w:lineRule="exact"/>
        <w:rPr>
          <w:rFonts w:ascii="Arial" w:cs="Arial" w:eastAsia="Arial" w:hAnsi="Arial"/>
          <w:sz w:val="18"/>
          <w:szCs w:val="18"/>
          <w:color w:val="auto"/>
        </w:rPr>
      </w:pPr>
    </w:p>
    <w:p>
      <w:pPr>
        <w:ind w:left="1020" w:right="480" w:hanging="37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laws of some countries do not protect intellectual property and other proprietary rights to the same extent as the laws of the United States.</w:t>
      </w:r>
    </w:p>
    <w:p>
      <w:pPr>
        <w:spacing w:after="0" w:line="62" w:lineRule="exact"/>
        <w:rPr>
          <w:rFonts w:ascii="Arial" w:cs="Arial" w:eastAsia="Arial" w:hAnsi="Arial"/>
          <w:sz w:val="18"/>
          <w:szCs w:val="18"/>
          <w:color w:val="auto"/>
        </w:rPr>
      </w:pPr>
    </w:p>
    <w:p>
      <w:pPr>
        <w:ind w:left="1020" w:right="460" w:hanging="37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acquire, use or maintain our marks and domain names for our sites could substantially harm our business and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Litigation and Government Regulation</w:t>
      </w:r>
    </w:p>
    <w:p>
      <w:pPr>
        <w:spacing w:after="0" w:line="229" w:lineRule="exact"/>
        <w:rPr>
          <w:sz w:val="20"/>
          <w:szCs w:val="20"/>
          <w:color w:val="auto"/>
        </w:rPr>
      </w:pPr>
    </w:p>
    <w:p>
      <w:pPr>
        <w:ind w:left="1020" w:right="36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general litigation, regulatory disputes and government inquiries which could have a material adverse impact to our business, results of operations, financial condition and prospects.</w:t>
      </w:r>
    </w:p>
    <w:p>
      <w:pPr>
        <w:spacing w:after="0" w:line="62" w:lineRule="exact"/>
        <w:rPr>
          <w:rFonts w:ascii="Arial" w:cs="Arial" w:eastAsia="Arial" w:hAnsi="Arial"/>
          <w:sz w:val="18"/>
          <w:szCs w:val="18"/>
          <w:color w:val="auto"/>
        </w:rPr>
      </w:pPr>
    </w:p>
    <w:p>
      <w:pPr>
        <w:ind w:left="1020" w:right="12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rFonts w:ascii="Arial" w:cs="Arial" w:eastAsia="Arial" w:hAnsi="Arial"/>
          <w:sz w:val="18"/>
          <w:szCs w:val="18"/>
          <w:color w:val="auto"/>
        </w:rPr>
      </w:pPr>
    </w:p>
    <w:p>
      <w:pPr>
        <w:ind w:left="1020" w:right="38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products experience any recalls, product liability claims, or government, customer or consumer concerns about product safety, our reputation and operating results could be harmed.</w:t>
      </w:r>
    </w:p>
    <w:p>
      <w:pPr>
        <w:spacing w:after="0" w:line="62" w:lineRule="exact"/>
        <w:rPr>
          <w:rFonts w:ascii="Arial" w:cs="Arial" w:eastAsia="Arial" w:hAnsi="Arial"/>
          <w:sz w:val="18"/>
          <w:szCs w:val="18"/>
          <w:color w:val="auto"/>
        </w:rPr>
      </w:pPr>
    </w:p>
    <w:p>
      <w:pPr>
        <w:ind w:left="1020" w:right="540" w:hanging="378"/>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failure by us or our vendors to comply with product safety, consumer protection or other laws, or our standard vendor terms and conditions, or to provide safe factory conditions for our or their workers may damage our reputation and brand and harm our business.</w:t>
      </w:r>
    </w:p>
    <w:p>
      <w:pPr>
        <w:spacing w:after="0" w:line="15" w:lineRule="exact"/>
        <w:rPr>
          <w:rFonts w:ascii="Arial" w:cs="Arial" w:eastAsia="Arial" w:hAnsi="Arial"/>
          <w:sz w:val="16"/>
          <w:szCs w:val="16"/>
          <w:color w:val="auto"/>
        </w:rPr>
      </w:pPr>
    </w:p>
    <w:p>
      <w:pPr>
        <w:ind w:left="1020" w:hanging="378"/>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Europe, the data privacy and information security regime recently continues to evolve and is subject to increasing regulatory scrutiny.</w:t>
      </w:r>
    </w:p>
    <w:p>
      <w:pPr>
        <w:spacing w:after="0" w:line="155" w:lineRule="exact"/>
        <w:rPr>
          <w:rFonts w:ascii="Arial" w:cs="Arial" w:eastAsia="Arial" w:hAnsi="Arial"/>
          <w:sz w:val="17"/>
          <w:szCs w:val="17"/>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stringent privacy regulations in China that are broader than those of our other operations.</w:t>
      </w:r>
    </w:p>
    <w:p>
      <w:pPr>
        <w:spacing w:after="0" w:line="144" w:lineRule="exact"/>
        <w:rPr>
          <w:rFonts w:ascii="Arial" w:cs="Arial" w:eastAsia="Arial" w:hAnsi="Arial"/>
          <w:sz w:val="18"/>
          <w:szCs w:val="18"/>
          <w:color w:val="auto"/>
        </w:rPr>
      </w:pPr>
    </w:p>
    <w:p>
      <w:pPr>
        <w:ind w:left="1020" w:hanging="37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customs and international trade laws that could require us to modify our current business practices and incur increased costs or could result in a delay in getting products through customs and port operations, which may limit our growth and cause us to suffer reputational damage.</w:t>
      </w:r>
    </w:p>
    <w:p>
      <w:pPr>
        <w:spacing w:after="0" w:line="75" w:lineRule="exact"/>
        <w:rPr>
          <w:rFonts w:ascii="Arial" w:cs="Arial" w:eastAsia="Arial" w:hAnsi="Arial"/>
          <w:sz w:val="18"/>
          <w:szCs w:val="18"/>
          <w:color w:val="auto"/>
        </w:rPr>
      </w:pPr>
    </w:p>
    <w:p>
      <w:pPr>
        <w:ind w:left="1020" w:right="10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significant tariffs or other restrictions are placed on imports from China or any retaliatory trade measures are taken by China, our business and results of operations could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Common Stock</w:t>
      </w:r>
    </w:p>
    <w:p>
      <w:pPr>
        <w:spacing w:after="0" w:line="121" w:lineRule="exact"/>
        <w:rPr>
          <w:sz w:val="20"/>
          <w:szCs w:val="20"/>
          <w:color w:val="auto"/>
        </w:rPr>
      </w:pPr>
    </w:p>
    <w:p>
      <w:pPr>
        <w:jc w:val="both"/>
        <w:ind w:left="1020" w:right="280" w:hanging="378"/>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emerging growth company and a smaller reporting company, and any decision on our part to comply only with certain reduced reporting and disclosure requirements applicable to emerging growth companies or smaller reporting companies could make our common stock less attractive to investors.</w:t>
      </w:r>
    </w:p>
    <w:p>
      <w:pPr>
        <w:spacing w:after="0" w:line="75" w:lineRule="exact"/>
        <w:rPr>
          <w:rFonts w:ascii="Arial" w:cs="Arial" w:eastAsia="Arial" w:hAnsi="Arial"/>
          <w:sz w:val="18"/>
          <w:szCs w:val="18"/>
          <w:color w:val="auto"/>
        </w:rPr>
      </w:pPr>
    </w:p>
    <w:p>
      <w:pPr>
        <w:ind w:left="1020" w:right="120" w:hanging="378"/>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estimates of market opportunity, market size and forecasts of market growth included in our publicly-filed documents may prove to be inaccurate, and even if the market in which we compete achieves the forecasted growth, our business could fail to grow at similar rates, if at all.</w:t>
      </w:r>
    </w:p>
    <w:p>
      <w:pPr>
        <w:spacing w:after="0" w:line="75" w:lineRule="exact"/>
        <w:rPr>
          <w:rFonts w:ascii="Arial" w:cs="Arial" w:eastAsia="Arial" w:hAnsi="Arial"/>
          <w:sz w:val="18"/>
          <w:szCs w:val="18"/>
          <w:color w:val="auto"/>
        </w:rPr>
      </w:pPr>
    </w:p>
    <w:p>
      <w:pPr>
        <w:ind w:left="1020" w:right="260" w:hanging="378"/>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020" w:right="120" w:hanging="378"/>
        <w:spacing w:after="0" w:line="238" w:lineRule="auto"/>
        <w:tabs>
          <w:tab w:leader="none" w:pos="10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securities or industry analysts either do not publish research about us, discontinue research coverage, or publish inaccurate or unfavorable research about us, our business or our market, or if they change their recommendations regarding our common stock adversely, the trading price or trading volume of our common stock could decline.</w:t>
      </w:r>
    </w:p>
    <w:p>
      <w:pPr>
        <w:spacing w:after="0" w:line="83" w:lineRule="exact"/>
        <w:rPr>
          <w:rFonts w:ascii="Arial" w:cs="Arial" w:eastAsia="Arial" w:hAnsi="Arial"/>
          <w:sz w:val="22"/>
          <w:szCs w:val="22"/>
          <w:color w:val="auto"/>
        </w:rPr>
      </w:pPr>
    </w:p>
    <w:p>
      <w:pPr>
        <w:ind w:left="1020" w:hanging="378"/>
        <w:spacing w:after="0"/>
        <w:tabs>
          <w:tab w:leader="none" w:pos="1020" w:val="left"/>
        </w:tabs>
        <w:numPr>
          <w:ilvl w:val="0"/>
          <w:numId w:val="10"/>
        </w:numPr>
        <w:rPr>
          <w:rFonts w:ascii="Arial" w:cs="Arial" w:eastAsia="Arial" w:hAnsi="Arial"/>
          <w:sz w:val="21"/>
          <w:szCs w:val="21"/>
          <w:color w:val="auto"/>
        </w:rPr>
      </w:pPr>
      <w:r>
        <w:rPr>
          <w:rFonts w:ascii="Arial" w:cs="Arial" w:eastAsia="Arial" w:hAnsi="Arial"/>
          <w:sz w:val="17"/>
          <w:szCs w:val="17"/>
          <w:color w:val="auto"/>
        </w:rPr>
        <w:t>We will incur significantly increased costs and devote substantial management time as a result of operating as a public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have a short operating history in an evolving industry.</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17" w:lineRule="exact"/>
        <w:rPr>
          <w:sz w:val="20"/>
          <w:szCs w:val="20"/>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develop, retain and expand our consumer product offerings and geographic reach;</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acquire, operate and efficiently integrate third-party Amazon sellers;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 and the quality of our consumer products;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36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have launched numerous products over the last several quarters and have experienced a lower than expected success rate of products reaching the sustain phase. In addition, in certain instances, even when a product has reached the sustain phase, our forecasts, at times, have resulted in inventory overages. During 2020, we launched our Holonix Health brand, which was developed to address the personal protective equipment and wellness product category in light of the COVID-19 pandemic. Our marketing strategy relies to a significant extent on our ability to sell such products on the Amazon marketplace and we can provide no assurances that we will be allowed to sell any such products on the Amazon marketplace or that we will be successful in selling our products in other sales channels. In addition, we have recently acquired several Amazon third-party sellers and we may be unable to sustain the level of financial performance relating to these acquisitions due to a variety of factors including changes in the competitive landscape of the product category and adverse actions of competing sellers.</w:t>
      </w:r>
    </w:p>
    <w:p>
      <w:pPr>
        <w:spacing w:after="0" w:line="28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our Platform as a Service (“PaaS”) business is still nascent and we may be unable to successfully maintain or grow our PaaS business. We can provide no assurance that we will be successful in growing or retaining this business which would result in the loss of PaaS and associated revenues. If we fail to address the risks and difficulties that we face, including those associated with the challenges listed above as well as those described in the “PaaS” section and elsewhere in this “Risk Factors” section, our business, financial condition and our operating results will be adversely affected.</w:t>
      </w:r>
    </w:p>
    <w:p>
      <w:pPr>
        <w:spacing w:after="0" w:line="2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212529"/>
        </w:rPr>
        <w:t xml:space="preserve">Although </w:t>
      </w:r>
      <w:r>
        <w:rPr>
          <w:rFonts w:ascii="Arial" w:cs="Arial" w:eastAsia="Arial" w:hAnsi="Arial"/>
          <w:sz w:val="17"/>
          <w:szCs w:val="17"/>
          <w:color w:val="000000"/>
        </w:rPr>
        <w:t>we have seen an increase in our net revenue since March 2020 and through the date of this Annual Report, the future impact that the COVID-19</w:t>
      </w:r>
      <w:r>
        <w:rPr>
          <w:rFonts w:ascii="Arial" w:cs="Arial" w:eastAsia="Arial" w:hAnsi="Arial"/>
          <w:sz w:val="17"/>
          <w:szCs w:val="17"/>
          <w:color w:val="212529"/>
        </w:rPr>
        <w:t xml:space="preserve"> </w:t>
      </w:r>
      <w:r>
        <w:rPr>
          <w:rFonts w:ascii="Arial" w:cs="Arial" w:eastAsia="Arial" w:hAnsi="Arial"/>
          <w:sz w:val="17"/>
          <w:szCs w:val="17"/>
          <w:color w:val="000000"/>
        </w:rPr>
        <w:t>pandemic may have on our personnel, business and global operations, and on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we may be unable to launch new products, replenish inventory for existing products, ship into or receive inventory in our third-party warehouses or ship or sell products to customers, in each case on a timely basis or at all. During the fourth quarter of 2020 and first quarter of 2021, we have experienced production and shipment delays for certain of our products that could result in stock outs on the Amazon marketplace resulting in a decrease of net revenue. We also may be unable to forecast demand for our products during the pendency of this pandemic and we may experience a substantial decrease in the demand for our products, most of which are considered not essential. In addition, the majority of our personnel are currently working remotely which creates challenges in the way we operate our business, including with respect to the manner in which we ensure the quality of our products and meet our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right="40"/>
        <w:spacing w:after="0" w:line="263" w:lineRule="auto"/>
        <w:rPr>
          <w:sz w:val="20"/>
          <w:szCs w:val="20"/>
          <w:color w:val="auto"/>
        </w:rPr>
      </w:pPr>
      <w:r>
        <w:rPr>
          <w:rFonts w:ascii="Arial" w:cs="Arial" w:eastAsia="Arial" w:hAnsi="Arial"/>
          <w:sz w:val="18"/>
          <w:szCs w:val="18"/>
          <w:color w:val="auto"/>
        </w:rPr>
        <w:t>disruption of global financial markets, reducing our ability to access capital, which could in the future negatively affect our liquidity. Due to the uncertainty as to the severity and duration of the pandemic, the impact on our future revenues, profitability, liquidity, financial condition, business and results of operations is uncertain at this time.</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While we have been preserving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As of the date of this Annual Report, Sinosure has reinstated this insurance to levels that we believe are sufficient to fund our operations. In the future, we may not be able to maintain this insurance on a timely basis or at all, which would have a material impact on our working capital and our ability to fund our operations. In addition,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 In light of the uncertainty as to the severity and duration of the pandemic, we may be unable to remain in compliance with the terms of our existing loan agreements and may be unable to secure a waiver which could have an adverse impact on our business, prospects and financial condition and we may seek additional financing options. Any financing, if successful may be expensive and/or dilutive.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be able to sustain our revenue growth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color w:val="212529"/>
        </w:rPr>
        <w:t>recent revenue growth should not be considered indicative of our future performance. Specifically, our net revenue increased by 62.3%</w:t>
      </w:r>
    </w:p>
    <w:p>
      <w:pPr>
        <w:spacing w:after="0" w:line="2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212529"/>
        </w:rPr>
        <w:t xml:space="preserve">in 2020 compared to 2019, and 56.2% in 2019 compared to 2018. As we grow our business, our revenue growth rates may slow in future periods due to a number of reasons, which may include our inability to successfully launch new products that reach our sustain phase and to keep those products in the sustain phase or to grow our PaaS business, as well as the maturation of our business. </w:t>
      </w:r>
      <w:r>
        <w:rPr>
          <w:rFonts w:ascii="Arial" w:cs="Arial" w:eastAsia="Arial" w:hAnsi="Arial"/>
          <w:sz w:val="18"/>
          <w:szCs w:val="18"/>
          <w:color w:val="000000"/>
        </w:rPr>
        <w:t>We can provide no assurance that we will continue to be able to</w:t>
      </w:r>
      <w:r>
        <w:rPr>
          <w:rFonts w:ascii="Arial" w:cs="Arial" w:eastAsia="Arial" w:hAnsi="Arial"/>
          <w:sz w:val="18"/>
          <w:szCs w:val="18"/>
          <w:color w:val="212529"/>
        </w:rPr>
        <w:t xml:space="preserve"> </w:t>
      </w:r>
      <w:r>
        <w:rPr>
          <w:rFonts w:ascii="Arial" w:cs="Arial" w:eastAsia="Arial" w:hAnsi="Arial"/>
          <w:sz w:val="18"/>
          <w:szCs w:val="18"/>
          <w:color w:val="000000"/>
        </w:rPr>
        <w:t>maintain or sustain the same levels of historic revenue growth.</w:t>
      </w:r>
    </w:p>
    <w:p>
      <w:pPr>
        <w:spacing w:after="0" w:line="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believe that during 2019 investors placed significant focus on the ability of certain private and newly public companies to demonstrate sustained profitability instead of continuing higher levels of revenue growth at the expense of profitability. We may decide to delay certain investments in order to more quickly achieve profitability, and while such decisions may accelerate profitability on a sustained basis, we can provide no assurance that we will continue to be able to maintain or sustain the same levels of historic revenue growth. In addition, we may reduce the number of new product launches in order to focus on product opportunities that have larger addressable markets but require increased levels of marketing investment and we can provide no assurances that such a shift will be successful.</w:t>
      </w:r>
    </w:p>
    <w:p>
      <w:pPr>
        <w:spacing w:after="0" w:line="86"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In addition, in 2020,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continue to invest in new businesses and develop new products and services that may disrupt our current operations and negatively impact our financial condition and operating results.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continuing to rapidly and significantly expand our operations, including increasing our product offerings across categories. Our investments in new businesses and development of new products and services may expose our business operations to inherent risks. The investments reflect our ongoing interest to further diversify our e-commerce portfolio of brands and build a leading e-commerce consumer brands platform. While we continue to invest in new businesses and develop new products, we may face significant competition from experienced and well-funded competitors that may hinder our ability to attain sufficient scale and achieve our business objectives. In order to compete successfully, we must accurately anticipate new technologies and develop useful and innovative products in a timely manner.</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Failing to effectively compete may adversely affect our operating results and financial condition. Further, our growth strategy may place significant strain on our management, technical performance, and financial resources. Failure to manage our growth effectively may adversely affect our reputation, limit our growth, and negatively impact our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acquisition strategy may be limited by our ability to raise the funding we need to continue to support our growth strategy.</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not be able to continue to acquire the financing needed in order to pursue our current acquisition strategy. The success of our business depends, in part, on our ability to invest significant resources in research, development of our proprietary technology platform, and product development, including through acquisitions. As we continue to make investments to grow our business, we may require additional funds from investors secured through issuances of equity or convertible debt securities. The debt we incur, 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color w:val="auto"/>
        </w:rPr>
        <w:t>times, in order to retain these funds may negatively impact our financial conditions or operating results and may require the use of warrants and contain other terms such as the payment of stock instead of cash in the event of a default, that could be dilutive to stockholders. Consequently, investors or lenders may determine that our debt to equity ratio is unfavorable to their lending strategy and decide to forego financing, which could adversely affect our future operating results and ability to sustain profitability.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we continue to make investments, while balancing the need to achieve profitability, to support our business growth we may require additional funds to maintain, grow and respond to business challenges. Accordingly, we need to engage in equity or debt financings to secure additional funds. If we raise additional funds through further issuances of equity or convertible debt securities, we expect our existing stockholders to suffer significant dilution, and any new equity securities we issue could have rights, preferences and privileges superior to those of holders of our common stock. In addition, we may not be able to raise sufficient equity or equity-like capital without first seeking shareholder approval which could limit our ability to complete such transaction, or to complete such transaction on a timely basis. We intend to hold a Special Meeting of shareholders in April 2021 in order to ensure compliance with Nasdaq rules relating to dilutive financings and we may not complete any discounted financings until we receive such approval. Any debt financing secured by us in the future would require the consent of our existing lenders, and also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maintain, grow and respond to business challenges would be significantly limited, and our business and prospects could fail or be adversely affected. If we require additional borrowings in order to achieve continued growth, but are unable to satisfy conditions required by MidCap Financial Trust (“MidCap”), High Trail Investments SA LLC (“High Trail SA”) or High Trail Investments ON LLC (“High Trail ON” and, together with High Trail SA, “High Trail”), we can provide no assurance that we will be able to access borrowings in excess of the $25.0 million cap available under the MidCap revolving credit facility, or on terms that will be acceptable to us, or that we would be able to refinance the MidCap facility or High Trail term loans, on terms acceptable to us, or at all. In addition, if we were to breach our existing credit facility, either or both lenders could exercise remedies against us which could result in our having to prepay our existing loans earlier than required, could result in reduced availability under the MidCap credit facility and could result in significant dilution to stockholders.</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currently have an effective shelf registration statement on Form S-3 filed with the SEC. However, as further discussed in the risk factor “As a result of our failure to timely file certain financial statements relating to the Smash Assets, we are currently ineligible to file new short form registration statements on Form S-3, which may impair our ability to raise capital on terms favorable to us, in a timely manner or at all.”, we are not currently permitted to use our existing registration statements on Form S-3, including our shelf registration statement on Form S-3. Absent a waiver of the Form S-3 eligibility requirements and assuming we continue to timely file our required reports under the Securities Exchange Act of 1934, as amended (the “Exchange Act”) after the Smash Financial Statements (as defined below) are filed, the earliest we would regain the ability to use Form S-3 is 12 months from the date we file the Smash Financial Statements. At that time, we may use the shelf registration statement on Form S-3 to offer from time to time any combination of debt securities, common and preferred stock and warrants. In the interim, the Company intends complete public offerings through the use of a Form S-1 registration statement and through privately placed financings and as a result the Company could experience a higher cost of capital and shareholders may experience increased dilution.</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intend to refinance all of our currently outstanding debt, including the High Trail Loan, the MidCap Credit Facility and subsequent debt issued to High Trail related to the Healing Solution acquisition (the “Refinancing”). The new senior secured note is expected to have an 8% annual interest rate payable in cash on a quarterly basis with a three-year maturity and will provide for the issuance to the institutional lender of a warrant to purchase additional shares of our common stock in an amount to be determined at the closing of the Refinancing. The Refinancing is expected to close in April 2021, and is subject to entry into definitive documentation and other customary closing conditions. We can provide no assurances that the transaction will close on these terms or at all.</w:t>
      </w:r>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Substantially all of our revenues are from sales of products on Amazon’s U.S. Marketplace and any change, limitation or restriction, even if temporary, on our ability to operate on Amazon’s platform could have a material adverse impact to our business, results of operations, financial condition and prospects.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sell substantially all of our products on Amazon’s U.S. marketplace and are subject to Amazon’s terms of service and various other Amazon seller policies and services that apply to third parties selling products on Amazon’s marketplace. Amazon has the right to terminate or suspend its agreement with us at any time and for any reason. Amazon may take other actions against us such as suspending or terminating a seller account or product listing and withholding payments owed to us indefinitely. For example, during the second quarter of 2020, Amazon suspended certain of our dehumidifier listings. While we endeavor to materially comply with the terms of services of the marketplaces on which we operate, and to provide our consumers with a great experience, we can provide no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220"/>
        <w:spacing w:after="0" w:line="277" w:lineRule="auto"/>
        <w:rPr>
          <w:sz w:val="20"/>
          <w:szCs w:val="20"/>
          <w:color w:val="auto"/>
        </w:rPr>
      </w:pPr>
      <w:r>
        <w:rPr>
          <w:rFonts w:ascii="Arial" w:cs="Arial" w:eastAsia="Arial" w:hAnsi="Arial"/>
          <w:sz w:val="18"/>
          <w:szCs w:val="18"/>
          <w:color w:val="auto"/>
        </w:rPr>
        <w:t>assurances that these marketplaces will have the same determination with respect to our compliance. In addition, we may not be able to promptly resolve any compliance issue, which could have a material impact on our financial condition, results of operations and prospects.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Amazon or any other marketplace on which we choose to sell can make changes to their respective platforms that could require us to change the manner in which we operate, limit our ability to successfully launch new products or increase our costs to operate and such changes could have an adverse effect on our business, results of operations, financial condition and prospects. Examples of changes that could impact us relate to platform fee charges (i.e., selling commissions), exclusivity, inventory warehouse availability, excluded products and limitations on sales and marketing. Any change, limitation or restriction on our ability to sell on Amazon’s platform, even if temporary, could have a material impact on our business, results of operations, financial condition and prospects.</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also rely on services provided by Amazon’s fulfillment platform, including Prime Certification, which provides for expedited shipping to the consumer, an important aspect in the buying decision for consumers. For products that we fulfill ourselves, we have qualified to offer our products for sale with Prime Certification delivery. Any inability to market our products for sale with expedited delivery provided under Prime Certification could have a material impact on our business, results of operations, financial condition and prospects. For example, in the third and fourth quarter of 2019, we temporarily experienced the loss of our Prime Certification delivery, and in addition, certain of our products were deemed not be eligible for Prime delivery based on Amazon’s determination of expected shipping dates. Failure to remain compliant with the best fulfillment practices on Amazon’s platform could have a material impact on our business, results of operations, financial condition and prospects.</w:t>
      </w:r>
    </w:p>
    <w:p>
      <w:pPr>
        <w:spacing w:after="0" w:line="17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in response to the COVID-19 pandemic, Amazon implemented changes to its fulfillment services platform such that certain products deemed non-essential have extended delivery times and Amazon is currently not accepting goods to any of its warehouses that are deemed non-essential. The impact of this change could have a material effect on our revenues, profitability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accurately forecast revenues, profitability and appropriately plan our expenses.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base our current and future expense levels primarily on our operating forecasts and estimates of sales. Sales and operating results are difficult to forecast because they generally depend on a number of factors including our ability to launch new products on a timely basis and to accurately predict the success of those launches, which are uncertain. Additionally, our business is affected by general economic, business and other conditions around the world, in particular in the U.S and China. We may be unable to adjust our spending in a timely manner to compensate for any unexpected shortfall in sales and operating results. If actual results differ from our estimates, our operating results and financial condition could be adversely impacted.</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during the second quarter of 2020, we began selling personal protective equipment (“PPE”) to state and local governments in the U.S. The market for PPE is volatile and unpredictable, and we have limited experience sourcing and selling PPE. While we expect to continue to sell PPE, we can provide no assurances that we will be successful in selling products to such state and local governments or to private businesses, that the products we deliver will be of sufficient quality, the correct specifications or the goods secured at all and our cash deposits refunded, or that we will receive timely payment from the customer. In addition, any failure in successfully delivering PPE to state and local governments may harm our business relationships with these state and local governments, our PPE manufacturers and ultimately our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and financial condition could be adversely affected.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accurately predict demand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Given the long lasting effects of the COVID-19 pandemic, we may expect to continue experiencing inventory shortages and our operating results and financial condition could be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manage our growth effectively, and our failure to do so may adversely affect our results of operations and financial condition, business, and culture.</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rapidly and significantly expanded our operations and anticipate expanding further as we pursue our growth strategies. Such expansion increases the complexity of our business and places a significant strain on our management, operations, technical systems, financial resources and internal control over financial reporting functions. Our current and planned personnel, systems, procedures and controls may not be adequate to support and effectively manage our future operations, especially as we employ personnel in several geographic locations. We are currently in the process of transitioning certain of our business and financial systems to systems on a scale reflecting the increased size, scope and complexity of our operations, and the process of migrating our legacy systems could disrupt our ability to timely and accurately process and report information, which could adversely affect our results of operations and cause harm to our reputation. As a result, we may not be able to manage our expansion effectively.</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including our costs and supply chain, is subject to risks associated with sourcing, manufacturing, shipping, importing and warehousing.</w:t>
      </w:r>
    </w:p>
    <w:p>
      <w:pPr>
        <w:spacing w:after="0" w:line="1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currently source all of the products we offer from third-party vendors and, as a result, we may be subject to price fluctuations or supply disruptions. Our operating results would be negatively impacted by increases in the prices of our products, and we have no guarantees that prices will not rise. We have no guarantees that prices will not rise. In addition, as we expand into new categories and product types, we expect that we may not have strong purchasing power in these new areas, which could lead to higher costs than we have historically seen in our current categories. We may not be able to pass increased costs on to customers, which could adversely affect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unforeseen public health crises, such as epidemics and pandemics, have in the past increased raw material costs, impacting pricing with certain of our vendors, and caused shipping delays for certain of our products. As a result, our ability to receive inbound inventory efficiently and ship merchandise to clients may be negatively affected by such natural disasters, pandemics, labor disputes, acts of war or terrorism, and similar factors, whether occurring in the United States or internationally. For example, we receive and warehouse a portion of our inventory in California. If any such disaster were to impact this facility, our operations would be disrupted. In addition, these types of events could negatively impact consumer spending in the impacted regions. We rely on the business continuity plans of third parties to operate during natural disasters or pandemics, like the COVID-19 pandemic, and we have limited ability to influence their plans. The sourcing, manufacturing, importing or warehousing of our products could be significantly disrupted if a third-party does not have a business continuity plan or such business continuity plan does not adequately support our products or operations. Further capacity fluctuations driven by various factors such as seasonality, tariffs, fuel-related regulations affecting the shipping industry, hedging or other factors can cause importing delays, which can lead to volatility in ocean freight rates and availability, causing us to incur additional expense and adversely affecting our operating results. In addition, our third-party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6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Risks associated with the suppliers from whom our products are sourced could materially adversely affect our financial performance as well as our reputation and brand.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depend on our ability to provide our customers with a wide range of products from qualified suppliers in a timely and efficient manner. Our agreements with most of our suppliers do not provide for the long-term availability of merchandise or the continuation of particular pricing practices, nor do they usually restrict such suppliers from selling products to other buyers or directly to consumers themselves. There can be no assurance that our current suppliers will continue to seek to sell us products on current terms or that we will be able to establish new or otherwise extend current supply relationships to ensure product acquisitions in a timely and efficient manner and on acceptable commercial terms. For example, in 2019 we switched manufacturers for two of our products. Our ability to develop and maintain relationships with reputable suppliers and offer high quality products to our customers is critical to our success. If we are unable to develop and maintain relationships with suppliers that would allow us to offer a sufficient amount and variety of quality products on acceptable commercial terms, our ability to satisfy our customers’ needs, and therefore our growth prospects and financial performance, would be materially adversely affected.</w:t>
      </w:r>
    </w:p>
    <w:p>
      <w:pPr>
        <w:spacing w:after="0" w:line="18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also are unable to predict whether any of the countries in which our suppliers’ products are currently manufactured or may be manufactured in the future will be subject to trade restrictions imposed by the U.S. or foreign governments or the likelihood, type or effect of any such restrictions. Any event causing a disruption or delay of imports from suppliers with international manufacturing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right="40"/>
        <w:spacing w:after="0" w:line="290" w:lineRule="auto"/>
        <w:rPr>
          <w:sz w:val="20"/>
          <w:szCs w:val="20"/>
          <w:color w:val="auto"/>
        </w:rPr>
      </w:pPr>
      <w:r>
        <w:rPr>
          <w:rFonts w:ascii="Arial" w:cs="Arial" w:eastAsia="Arial" w:hAnsi="Arial"/>
          <w:sz w:val="16"/>
          <w:szCs w:val="16"/>
          <w:color w:val="auto"/>
        </w:rPr>
        <w:t>operations, including the imposition of additional import restrictions, restrictions on the transfer of funds or increased tariffs or quotas, could increase the cost or reduce the supply of merchandise available to our customers and materially adversely affect our financial performance as well as our reputation and brand. For example, a significant number of our products are subject to import tariffs from China of 25%, and the remainder of our products, including our dehumidifier line of products, may be subject to tariffs if the previously announced and subsequently postponed, increases are enacted in the future. Our competitors may have greater existing inventory positions and other advantages that may allow them to price more competitively relative to our products. In addition, we may not be able to shift production for our products to other countries not subject to tariffs or other disruptions or be able to obtain competitive pricing and sufficient quality. Furthermore, some or all of our suppliers’ foreign operations may be adversely affected by political and financial instability, resulting in the disruption of trade from exporting countries, restrictions on the transfer of funds or other trade disruptions.</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adversely affect our operating results.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currently rely on three major vendors for our shipping. If we are not able to negotiate acceptable pricing and other terms with these entities or they experience performance problems or other difficulties, it could negatively impact our operating results and our customers’ experience. For example, our current shipping carrier unilaterally increased certain of our rates beginning in November of 2020. If we are unable to reduce these increased costs or if we are unable to successfully pass these costs on to consumers, certain of our products, including our over-sized products, may experience reduced sales and/or profitability. We are also subject to volatility in ocean freight rates that are driven, in part, by seasonality, capacity availability and other factors, including fuel-related regulations affecting the shipping industry and we expect these rates to increase in part due to the COVID-19 pandemic. In addition, our ability to receive inbound inventory efficiently and ship merchandise to clients may be negatively affected by inclement weather, fire, flood, power loss, earthquakes, labor disputes, acts of war or terrorism, pandemics and similar factors. We are also subject to risks of damage or loss during delivery by our shipping vendors. If our products are not delivered in a timely fashion or are damaged or lost during the delivery process, our clients could become dissatisfied and cease using our products or services, which would adversely affect our business and operating results. Further, we rely on the business continuity plans of these third parties to operate during pandemics, like the COVID-19 pandemic, and we have limited ability to influence their plans, prevent delays, and/or cost increases due to reduced availability and capacity and increased required safety measures.</w:t>
      </w:r>
    </w:p>
    <w:p>
      <w:pPr>
        <w:spacing w:after="0" w:line="2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are dependent on third-party manufacturers, which are located in China, and any inability to obtain products from any such manufacturers, such as changes to trade policies, could have a material adverse effect on our business, operating results and financial condition.</w:t>
      </w:r>
    </w:p>
    <w:p>
      <w:pPr>
        <w:spacing w:after="0" w:line="1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Substantially all of our products are manufactured by unaffiliated companies that are located in China. This concentration exposes us to risks associated with doing business globally, including: changing international political relations; labor availability and cost; changes in laws, including tax laws, regulations and treaties; changes in labor laws, 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These risks most recently manifested in an increase in tariffs, primarily in 2018 and 2019, either directly on products we trade in or indirectly on industries we sell into, between the United States and its trading partners, as well as greater uncertainty around regional and global trade agreements generally. These tariffs levied on most of our products originating in China have caused us to review and implement potential solutions to the increase in our product costs with our customers. The political, legal and cultural environment in China and other nations is rapidly evolving, and any change that impairs our ability to obtain products from manufacturers in that region, or to obtain products at marketable rates, could have a material adverse effect on our business, operating results and financial condition. We contract with our manufacturers through purchase orders and we may have limited recourse in the event of a dispute with any vendor in China. We rely on one large manufacturer for the manufacturing of several of our products, including our dehumidifiers. If we were no longer able to maintain that relationship for any reason, we may not be able to timely find another manufacturer, or another manufacturer that provides the same quality, which would negatively affect our business, sales and results of operations.</w:t>
      </w:r>
    </w:p>
    <w:p>
      <w:pPr>
        <w:spacing w:after="0" w:line="29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rely on AIMEE and other information technologies and systems to operate our business and to maintain our competitiveness, and any failure to invest in and adapt to technological developments and industry trends could harm our business.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on the use of our proprietary technology platform named AIMEE and other sophisticated information technologies and systems, including technology and systems used for websites and apps, customer service, logistics and fulfillment, supplier connectivity, communications and administration. Artificial intelligence and machine learning technologies are subject to rapid changes and our technology is yet to be fully automated. As our operations grow in size, scope and complexity, including through acquisitions, we will need to continuously improve and upgrade our systems and infrastructure to offer an increasing number of consumer-enhanced services, features and functionalities, while maintaining and improving the reliability and integrity of our systems and infrastructure.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20"/>
        <w:spacing w:after="0" w:line="289" w:lineRule="auto"/>
        <w:rPr>
          <w:sz w:val="20"/>
          <w:szCs w:val="20"/>
          <w:color w:val="auto"/>
        </w:rPr>
      </w:pPr>
      <w:r>
        <w:rPr>
          <w:rFonts w:ascii="Arial" w:cs="Arial" w:eastAsia="Arial" w:hAnsi="Arial"/>
          <w:sz w:val="16"/>
          <w:szCs w:val="16"/>
          <w:color w:val="auto"/>
        </w:rPr>
        <w:t>Our future success also depends on our ability to adapt AIMEE, our services and infrastructure, including our research, sales and marketing, and logistics and fulfillment platform which leverages AIMEE, to meet rapidly evolving e-commerce trends and demands while continuing to improve our software’s performance, features and reliability. The emergence of alternative platforms may require us to continue to invest in new and costly technology. We may not be successful, or we may be less successful than our competitors, in developing technologies that operate effectively across multiple e-commerce platforms, which would negatively impact our business and financial performance. New developments in other areas, such as cloud computing providers and other technological changes, could also make it easier for competitors to enter our markets due to lower up-front technology costs. In addition, we may not be able to maintain our existing systems or replace our current systems or introduce new technologies and systems as quickly or cost effectively as we would like. We expect to incur significant costs in the development of AIMEE’s functionality, and any failure to invest in and adapt to technological developments and industry trends may have a material adverse effect on our business, results of operations, financial condition and prospects.</w:t>
      </w:r>
    </w:p>
    <w:p>
      <w:pPr>
        <w:spacing w:after="0" w:line="2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platforms, cause us to invest in the wrong product or disrupt our business.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use AIMEE, our proprietary software, to determine market trends and what markets to enter into. Our ability to successfully use AIMEE depends on our ability to analyze and utilize data, including search engine results, provided by unaffiliated third parties, primarily, Google and Amazon. Some of this data is provided to us pursuant to third-party data sharing policies and terms of use, under data sharing agreements by third-party providers or by customer consent. The majority of this data is sourced for free or for de minimis amounts. AIMEE sources significant amounts of data through application program interfaces (“APIs”) or through other standard data upload/downloads methods. This source of data allows us, leveraging AIMEE, to determine trends, performance and consumer sentiment on products and searches within e-commerce platforms. This functionality allows us to help determine which products to market, manufacture through contract manufacturers, import and sell on e-commerce marketplaces. The connection to multiple e-commerce platforms through APIs allows us to develop the automation of the purchase of marketing, to automate pricing changes on product listings on those e-commerce platforms, to view sales and costs and to fulfill orders.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future, any of these third parties could change its data sharing policies, including making them more restrictive, charging fees or altering its algorithms that determine the placement, display and accessibility of search results and social media updates, any of which could result in the loss of, or significant impairment to, our ability to collect useful data. These third parties could also interpret our, or our service providers’, data collection policies or practices as being inconsistent with their policies, which could result in the loss of our ability to collect this data. Privacy concerns may cause end users to resist providing the personal data necessary to allow our proprietary software to determine market trends as well as our ability to effectively retain existing customers. Privacy advocacy groups and the technology and other industries are considering various new, additional or different self-regulatory standards that may place additional burdens on us. Any such changes could impair our ability to use data and could adversely impact select functionality of our proprietary software, impairing the ability to use this data to anticipate customer demand and market trends, as well as adversely affecting our business and our ability to generate revenue.</w:t>
      </w:r>
    </w:p>
    <w:p>
      <w:pPr>
        <w:spacing w:after="0" w:line="2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Maintaining and enhancing our product listings is critical in expanding and growing our business. However, a significant portion of our perceived performance to the customer depends on third parties outside of our control, including suppliers and logistics providers such as FedEx, UPS, the U.S. Postal Service and other third-party delivery agents as well as online retailers such as Amazon and Walmart. Because our agreements with our online retail partners are generally terminable at will, we may be unable to maintain these relationships, and our results of operations could fluctuate significantly from period to period. Because we rely on third parties to deliver our products, we are subject to shipping delays or disruptions caused by inclement weather, natural disasters, labor activism, health epidemics or bioterrorism. We may also experience shipping delays or disruptions due to other carrier-related issues relating to their own internal operational capabilities, as we and other consumer product companies experienced during the fourth quarter of 2019 when Amazon placed limitations on the ability to use certain FedEx services. Further, we rely on the business continuity plans of these third parties to operate during pandemics, like the COVID-19 pandemic, and we have limited ability to influence their plans, prevent delays, and/or cost increases due to reduced availability and capacity and increased required safety measures.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because we rely on national, regional and local transportation companies for the delivery of some of our other products, we are also subject to risks of breakage or other damage during delivery by any of these third parties. If these third parties do not meet our or our customers’ expectations, our brands may suffer irreparable damage. In addition, maintaining and enhancing these brands may require us to make substantial investments, and these investments may not be successful. If we fail to promote and maintain our brands, or if we incur excessive expenses in this effort, our business, operating results and financial condition may be materially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ind w:right="200"/>
        <w:spacing w:after="0" w:line="259" w:lineRule="auto"/>
        <w:rPr>
          <w:sz w:val="20"/>
          <w:szCs w:val="20"/>
          <w:color w:val="auto"/>
        </w:rPr>
      </w:pPr>
      <w:r>
        <w:rPr>
          <w:rFonts w:ascii="Arial" w:cs="Arial" w:eastAsia="Arial" w:hAnsi="Arial"/>
          <w:sz w:val="18"/>
          <w:szCs w:val="18"/>
          <w:color w:val="auto"/>
        </w:rPr>
        <w:t>adversely affected. We anticipate that, as our market becomes increasingly competitive, maintaining and enhancing our brands may become increasingly difficult and expensive. Maintaining and enhancing our brands will depend largely on our ability to anticipate market trends and customer demand and to provide high quality products to our customers and a reliable, trustworthy and profitable sales channel to our suppliers, which we may not be able to do successfully.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Customer complaints or negative publicity about our sites, products, delivery times, customer data handling and security practices, customer support or marketing strategies, even if not accurate, especially on blogs, social media websites and our sites, could rapidly and severely diminish consumer view of our product listings and result in harm to our brands. From time to time, incumbent competitors that we disrupt on the Amazon marketplace allege or may allege that we have engaged in unfair business practices, and though we believe such claims are without merit, time, resources or other actions we may take to defend against such claims may have an impact on our financial results and financial condition. In addition, from time to time, we have experienced attacks from “black hat” third party sellers and the impact from such attacks has resulted in reduced financial performance for certain of those product listings. We may continue to experience such attacks which could impact our operating results. Customers may also make safety-related claims regarding products sold through our online retail partners, such as Amazon, which may result in an online retail partner removing the product from its marketplace. We have from time to time experienced such removals and such removals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spacing w:after="0" w:line="29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Our efforts to acquire or retain consumers, and our efforts to sell new products or increase sales of our existing products, may not be successful, which could prevent us from maintaining or increasing our sales or improving our financial results or condition.</w:t>
      </w:r>
    </w:p>
    <w:p>
      <w:pPr>
        <w:spacing w:after="0" w:line="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do not successfully promote and sustain our new and/or existing product listings and brands through marketing and other tools, we may fail to maintain or increase our sales. Promoting and positioning our brands and product listings will depend largely on the success of our marketing efforts, including any limitations on our marketing efforts by marketplaces or regulators, our ability to attract consumers cost effectively and our ability to consistently provide a high-quality product and maintain consumer satisfaction. In order to grow our business and to acquire and retain consumers, we have incurred and will continue to incur substantial expenses related to advertising and other marketing efforts. We also use promotions to drive sales, which may not be effective and may adversely affect our gross margins. In addition, while we believe our marketing strategies comply with relevant terms of service and laws relating to marketing, we can provide no assurance that we will be able to continue our practices in the event a marketplace or regulator determines otherwise. Our investments in marketing may not effectively reach potential consumers, potential consumers may decide not to buy our products or the spending of consumers that purchase from us may not yield the intended return on investment, any of which could negatively affect our financial results. The failure of our marketing activities could also adversely affect our ability to promote our product listings and sell our products, and to develop and maintain relationships with our consumers, retailers and brands, which may have a material adverse effect on our business, results of operations, financial condition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acquire new customers or retain existing customers, or fail to do so in a cost-effective manner, we may not be able to achieve profitability.</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success depends on our ability to acquire and retain customers in a cost-effective manner. In order to expand our customer base, we must appeal to and acquire customers who have historically used other channels to purchase the wide variety of products we offer and may prefer alternatives to our offerings, such as those offered by other vendors on Amazon and Walmart, traditional brick-and-mortar retailers, and the websites of our competitors or our suppliers’ own websites. We expect competition in e-commerce generally to continue to increase. Competitors have introduced lower cost or differentiated products that are perceived to compete with our products. In addition, certain competitors engage in so-called “black hat” tactics that violate marketplace terms of service and FTC regulations. Such activities in general could put us at a competitive disadvantage. Black hat activities typically include tactics that are used to unfairly influence the ranking or review score of a product being sold on an online marketplace. These tactics include, among other things, the usage of click farms, fake buyer accounts, software bots pretending to buy products, and compensating consumers specifically in exchange for providing a positive product review. Other tactics include attacks on competitor listings intended to have the listing removed or lower the review score of a product listing generally such as by providing false negative reviews.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 if we are unable to correctly anticipate market trends and customer demand, our ability to sell our products could be impaired. We have made investments related to customer acquisition and expect to continue to spend significant amounts to acquire additional customers. Our paid advertising efforts consist primarily of online channels, including search engine marketing, display advertising and paid social media. These efforts are expensive and may not result in the cost-effective acquisition of customers. We cannot assure you that the net profit from new customers we acquire will ultimately exceed the cost of acquiring those customers. If we fail to deliver quality products, or if consumers do not perceive the products we offer to be of high value and quality, we may not be able to acquire new customers. If we are unable to acquire new customers who purchase products in numbers sufficient to grow our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color w:val="auto"/>
        </w:rPr>
        <w:t>we may not be able to generate the scale necessary to drive beneficial network effects with our suppliers, our net revenue may decrease and our business, financial condition and operating results may be materially adversely affected.</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new customers can originate from word-of-mouth and other non-paid referrals from existing customers. Therefore, we must ensure that our existing customers remain loyal to us in order to continue receiving those referrals. If our efforts to satisfy our existing customers are not successful, we may not be able to acquire new customers in sufficient numbers to continue to grow our business, or we may be required to incur significantly higher marketing expenses in order to acquire new customers. For example, since 2016, Amazon has maintained a policy whereby they will purge all reviews they believe are paid for or are fake reviews. We do remind customers to leave a review post purchase, through Amazon’s dedicated review request mechanisms and through our chatbot customer service follow up conversations. However, we do not compensate customers specifically in exchange for leaving a review. We have from time to time had reviews removed by Amazon because Amazon’s software algorithms believed they were questionable or not authentic. We have also experienced from time to time, Amazon reinstating customer reviews that it had previously removed. If Amazon continues to purge reviews or if we are unable to maintain our positive reviews, it may adversely affect our ability to acquire new customers. In addition, we believe that Amazon has, from time to time, placed limitations on the daily volume of reviews that may be provided for any specific product listing. This limitation or others relating to customer engagement with our product listings could impact the success of our product listings, which could adversely impact our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merchandise returns could harm our business.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allow our customers to return products, subject to our return policy. If merchandise returns are significant,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which can increase return rates and harm our brand. Our refund liability for sales returns was $0.5 million, and $0.5 million as of December 31, 2019 and December 31, 2020, respectively, which is included in accrued liabilities and represents the expected value of refunds that may be due to our customers. If we experience significant product returns, we would incur significant expenses and our results of operation and financial condition would be adversely affected.</w:t>
      </w: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efforts to expand our business into new brands, products, services, technologies, and geographic regions will subject us to additional business, legal, financial and competitive risks and may not be successful.</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business success depends to some extent on our ability to expand our customer offerings by launching new brands, products and services and by expanding our existing offerings into new geographies. Our strategy is to use our proprietary software to determine which markets to enter and optimize the mix of products that we offer. Further, we are expanding our business and have begun to launch products that are outside our original core of home and kitchen appliances and kitchenware, beauty-related products and consumer electronics. Launching new brands, products and services requires significant upfront investments, including investments in marketing, information technology and additional personnel. We operate in highly competitive industries with relatively low barriers to entry and must compete successfully in order to grow our business. As our business expands into new industries, we may not be able to generate satisfactory revenue from these efforts to offset these costs. Any lack of market acceptance of our efforts to launch new brands, products and services or to expand our existing offerings could have a material adverse effect on our business, prospects, financial condition and results of operations. Further, as we continue to expand our fulfillment capability or add new businesses with different requirements, our logistics networks will become increasingly complex and operating them will become more challenging. There can be no assurance that we will be able to operate our networks effectively. We have also entered and may continue to enter new markets and provide product offerings in which we have limited or no experience, which may not be successful or appealing to our customers. In addition, we may face difficulties in integrating AIMEE into a PaaS client’s supply chain, which would reduce the ability of our PaaS business to generate revenues.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consumer product goods (“CPG”) industry is subject to evolving standards and practices, as well as changing customer needs, requirements and preferences. Our ability to attract new customers and increase revenue from existing customers depends, in part, on our ability to enhance and improve our existing features, pinpoint new markets and introduce new products. We expend significant resources on research and development to develop new products in order to meet our customers’ rapidly evolving demands. The success of any enhancements or new features depends on several factors, including timely completion, adequate quality testing, actual performance quality, market-accepted pricing levels and overall market acceptance. We may not be successful in these efforts, which could result in significant expenditures that could impact our revenue or distract management’s attention from current offerings.</w:t>
      </w:r>
    </w:p>
    <w:p>
      <w:pPr>
        <w:spacing w:after="0" w:line="19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Increased emphasis on the sale of new products or on acquisitions could distract us from sales of our existing products in existing markets, negatively affecting our overall sales. We have invested and expect to continue to invest in new businesses, products, features, services and technologies. Such endeavors may involve significant risks and uncertainties, including insufficient revenue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240"/>
        <w:spacing w:after="0" w:line="277" w:lineRule="auto"/>
        <w:rPr>
          <w:sz w:val="20"/>
          <w:szCs w:val="20"/>
          <w:color w:val="auto"/>
        </w:rPr>
      </w:pPr>
      <w:r>
        <w:rPr>
          <w:rFonts w:ascii="Arial" w:cs="Arial" w:eastAsia="Arial" w:hAnsi="Arial"/>
          <w:sz w:val="18"/>
          <w:szCs w:val="18"/>
          <w:color w:val="auto"/>
        </w:rPr>
        <w:t>unanticipated liabilities. Because these new strategies and offerings are inherently risky, no assurance can be given that they will be successful. Our new features or enhancements could fail to attain sufficient market acceptance for many reasons, including:</w:t>
      </w:r>
    </w:p>
    <w:p>
      <w:pPr>
        <w:spacing w:after="0" w:line="62" w:lineRule="exact"/>
        <w:rPr>
          <w:sz w:val="20"/>
          <w:szCs w:val="20"/>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introducing products including in new markets;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accurately predict market demand or end consumer preferences;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errors or failures in our manufacturing;</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competing products;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poor financial conditions for our customers or poor general macroeconomic conditions;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legal or regulatory requirements, or increased legal or regulatory scrutiny, adversely affecting our products;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brand promotion activities or negative publicity about the performance or effectiveness of our existing features; and</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or delays in the online retailers and, or in addition to, logistics providers distributing our products.</w:t>
      </w:r>
    </w:p>
    <w:p>
      <w:pPr>
        <w:spacing w:after="0" w:line="25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There is no assurance that we will successfully identify new opportunities or develop and bring new products to market on a timely basis, which could materially and adversely affect our business, financial condition and operating results and compromise our ability to generate revenue.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operations internationally requires management attention and resources, involves additional risks and may be unsuccessful.</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limited experience with operating internationally or selling our merchandise outside of the United States, and as we expand internationally, we need to adapt to different local cultures, standards and policies. The business model and technology we employ and the merchandise we currently offer may not be successful with consumers outside of the United States. Furthermore, to succeed with consumers and clients in international locations, it may be necessary to locate fulfillment centers in foreign markets and hire local employees in those international centers, and we may have to invest in these facilities and personnel before proving we can successfully run foreign operations. We may not be successful in expanding into international markets or in generating revenue from foreign operations for a variety of reasons, including:</w:t>
      </w:r>
    </w:p>
    <w:p>
      <w:pPr>
        <w:spacing w:after="0" w:line="70" w:lineRule="exact"/>
        <w:rPr>
          <w:sz w:val="20"/>
          <w:szCs w:val="20"/>
          <w:color w:val="auto"/>
        </w:rPr>
      </w:pPr>
    </w:p>
    <w:p>
      <w:pPr>
        <w:ind w:left="1020" w:hanging="37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localization of our merchandise offerings and technology, including translation into foreign languages and adaptation for local practices;</w:t>
      </w:r>
    </w:p>
    <w:p>
      <w:pPr>
        <w:spacing w:after="0" w:line="155" w:lineRule="exact"/>
        <w:rPr>
          <w:rFonts w:ascii="Arial" w:cs="Arial" w:eastAsia="Arial" w:hAnsi="Arial"/>
          <w:sz w:val="17"/>
          <w:szCs w:val="17"/>
          <w:color w:val="auto"/>
        </w:rPr>
      </w:pPr>
    </w:p>
    <w:p>
      <w:pPr>
        <w:ind w:left="1020" w:hanging="37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certain features and availability of data, including at reasonable costs;</w:t>
      </w:r>
    </w:p>
    <w:p>
      <w:pPr>
        <w:spacing w:after="0" w:line="144" w:lineRule="exact"/>
        <w:rPr>
          <w:rFonts w:ascii="Arial" w:cs="Arial" w:eastAsia="Arial" w:hAnsi="Arial"/>
          <w:sz w:val="18"/>
          <w:szCs w:val="18"/>
          <w:color w:val="auto"/>
        </w:rPr>
      </w:pPr>
    </w:p>
    <w:p>
      <w:pPr>
        <w:ind w:left="1020" w:right="580" w:hanging="37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consumer demand dynamics, which may make our business model, technology and the merchandise we offer less successful compared to the United States;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44" w:lineRule="exact"/>
        <w:rPr>
          <w:rFonts w:ascii="Arial" w:cs="Arial" w:eastAsia="Arial" w:hAnsi="Arial"/>
          <w:sz w:val="18"/>
          <w:szCs w:val="18"/>
          <w:color w:val="auto"/>
        </w:rPr>
      </w:pPr>
    </w:p>
    <w:p>
      <w:pPr>
        <w:ind w:left="1020" w:right="60" w:hanging="37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import and export quotas, custom duties or other trade restrictions or any unexpected changes thereto;</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regulations regarding anti-bribery and anti-corruption compliance;</w:t>
      </w:r>
    </w:p>
    <w:p>
      <w:pPr>
        <w:spacing w:after="0" w:line="144" w:lineRule="exact"/>
        <w:rPr>
          <w:rFonts w:ascii="Arial" w:cs="Arial" w:eastAsia="Arial" w:hAnsi="Arial"/>
          <w:sz w:val="18"/>
          <w:szCs w:val="18"/>
          <w:color w:val="auto"/>
        </w:rPr>
      </w:pPr>
    </w:p>
    <w:p>
      <w:pPr>
        <w:ind w:left="1020" w:right="180" w:hanging="37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labor regulations where labor laws may be more advantageous to employees as compared to the United States and increased labor costs;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access to, or use of, commercial and personal information;</w:t>
      </w:r>
    </w:p>
    <w:p>
      <w:pPr>
        <w:spacing w:after="0" w:line="144" w:lineRule="exact"/>
        <w:rPr>
          <w:rFonts w:ascii="Arial" w:cs="Arial" w:eastAsia="Arial" w:hAnsi="Arial"/>
          <w:sz w:val="18"/>
          <w:szCs w:val="18"/>
          <w:color w:val="auto"/>
        </w:rPr>
      </w:pPr>
    </w:p>
    <w:p>
      <w:pPr>
        <w:ind w:left="1020" w:right="80" w:hanging="37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changes to or limits on access to internet connectivity; and</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Use of social media and emails may adversely impact our reputation or subject us to fines or other penalties.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social media and emails as part of our omnichannel approach to marketing. As laws and regulations rapidly evolve to govern the use of these channels, the failure by us, our employees or third parties acting at our direction to abide by applicable terms of services,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and emails could also cause reputational damage.</w:t>
      </w:r>
    </w:p>
    <w:p>
      <w:pPr>
        <w:spacing w:after="0" w:line="19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Consumers value readily available information concerning retailers and their goods and services and often act on such information without further investigation and without regard to its accuracy. Our consumers may engage with us online through our social media platforms, including Twitter, LinkedIn, Facebook and Instagram, by providing feedback and public commentary about all aspects of our business. Information concerning us or our retailers and brands,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w:t>
      </w:r>
    </w:p>
    <w:p>
      <w:pPr>
        <w:spacing w:after="0" w:line="3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including senior management and our technology professionals, and if we are unable to retain or motivate key personnel or hire, retain and motivate qualified personnel, our business could be harmed.</w:t>
      </w:r>
    </w:p>
    <w:p>
      <w:pPr>
        <w:spacing w:after="0" w:line="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believe our success has depended, and our future success depends; on the efforts and talents of our senior management and our highly skilled team members, including our software engineers, data scientists and technology professionals. Our future success depends on our continuing ability to attract, develop, motivate and retain highly qualified and skilled employees. The loss of one or more of our key personnel or the inability to promptly identify a suitable successor to a key role could have an adverse effect on our business. In particular, our Founder and Chief Executive Officer has unique and valuable experience leading our Company from our inception through today. If he were to depart or otherwise reduce his focus on our Company, our business may be disrupted. We do not currently maintain key-person life insurance policies on any member of our senior management team and other key employees, except for our Founder and Chief Executive Officer.</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Competition for key personnel is strong and we cannot be sure that we will be able to attract and retain a sufficient number of qualified personnel in the future, or that the compensation costs of doing so will not adversely affect our operating results. Similarly, competition for well-qualified employees in all aspects of our business, including software engineers and other technology professionals, is intense globally. We do not have long-term employment or non-competition agreements with any of our personnel. Our continued ability to compete effectively depends on our ability to attract new employees and to retain and motivate existing employees. In particular, our software engineers and technology professionals are key to designing, maintaining and improving code and algorithms necessary to our business. If we do not succeed in attracting well-qualified employees or retaining and motivating existing employees and key senior management with the appropriate skills at cost-effective compensation levels, or if changes to our business adversely affect morale or retention, our business, results of operations, financial condition and prospects may be adversely affected.</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in making employment decisions, particularly in the software industry, job candidates often consider the value of the stock options or other equity incentives they are to receive in connection with their employment. Their perceptions of the value of our stock or its volatility may impact adversely our ability to attract or retain key employees. Also, as employee options vest and lock-ups expire, we may have difficulty retaining key employees, in particular if the value of vested awards does not meet their expectations. If we fail to attract new personnel or fail to retain and motivate our current personnel, our growth prospects could be severely harmed.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unexpected events may adversely affect our operations, particularly our supply chain and shipping efforts.</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Natural disasters, such as earthquakes,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fulfillment centers or the operations of one or more of our third-party providers or vendors. In particular, these types of events could impact our supply chain, including our ability to ship merchandise to clients from or to the impacted region, and could impact our ability or the ability of third parties to operate our sites and ship merchandise. For example, we receive and warehouse a portion of our inventory in California. If any such disaster were to impact this facility, our operations would be disrupted. In addition, these types of events could negatively impact consumer spending in the impacted regions. To the extent any of these events occur, our business and operating results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line="290" w:lineRule="auto"/>
        <w:rPr>
          <w:sz w:val="20"/>
          <w:szCs w:val="20"/>
          <w:color w:val="auto"/>
        </w:rPr>
      </w:pPr>
      <w:r>
        <w:rPr>
          <w:rFonts w:ascii="Arial" w:cs="Arial" w:eastAsia="Arial" w:hAnsi="Arial"/>
          <w:sz w:val="16"/>
          <w:szCs w:val="16"/>
          <w:color w:val="auto"/>
        </w:rPr>
        <w:t>In response to the COVID-19 pandemic, many state, local and foreign governments have put in place quarantines, executive orders, shelter-in-place orders and similar government orders and restrictions in order to control the spread of the disease. We have implemented work-from-home policies and the majority of our personnel are currently working remotely. Such orders and policies may negatively impact productivity and creates challenges in the way we operate our business, including, but not limited to, how we test our products and our ability to meet our reporting obligations, the magnitude of which will depend, in part, on the length and severity of the restrictions and other limitations on our ability to conduct our business in the ordinary course. Our ability to execute our operations could be further impacted if any of our key personnel contracts COVID-19. Additionally, if sufficient numbers of our staff are infected with COVID-19 and are unable to perform their roles, we may not be able to operate efficiently for the duration of any shelter-in-place order or while we have insufficient numbers of staff, either of which could negatively impact our business, operating results and financial condition.</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are subject to seasonal and quarterly variations in our net revenue and operating income and, as a result, our quarterly results may fluctuate and could be below expectations.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can be seasonal based on our product mix and may become more seasonal depending on our product mix. As we invest in new businesses and continue to develop new products that may reduce seasonality variations of our revenue profile and reduce product concentration risk within our portfolio, quarterly results may continue to fluctuate. Specifically, we have realized a disproportionate amount of our net revenue and earnings for prior fiscal years during warmer weather and summer seasons. If we experience lower than expected net revenue these periods, it may have a disproportionately large impact on our operating results and financial condition for that year. Any factors that harm our quarter operating results during these periods, including disruptions in our brands or our supply chains or unfavorable economic conditions, could have a disproportionate effect on our results of operations and our financial condition for our entire fiscal year.</w:t>
      </w:r>
    </w:p>
    <w:p>
      <w:pPr>
        <w:spacing w:after="0" w:line="1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anticipation of increased sales activity during the third and fourth quarter, we may incur significant additional expenses, including additional marketing and additional staffing in our customer support operations. In addition, we may experience an increase in our net shipping costs due to complimentary upgrades, split-shipments and additional long-zone shipments necessary to ensure timely delivery for the holiday season. At peak periods, there could also be further delays in processing orders, which could leave us unable to fulfill customer orders due to being out of inventory which could lead to lower consumer satisfaction and lost sales. In the future, our seasonal sales patterns may become more pronounced, may strain our personnel and production activities and may cause a shortfall in net revenue as compared with expenses in a given period, which could substantially harm our business, results of operations, financial condition and prospects.</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quarterly results of operations may also fluctuate significantly as a result of a variety of other factors, including those described above. As a result, historical period-to-period comparisons of our sales and operating results are not necessarily indicative of future period-to-period results. You should not rely on the results of any single fiscal quarter as an indication of our annual results or our future performance.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revolving credit facility and term loans contain restrictive covenants that may limit our operating flexibility.</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November 23, 2018, we entered into an Amended and Restated Credit and Security Agreement with MidCap (“MidCap Loan Agreement”), as amended, pursuant to which we received access to a $30.0 million revolving credit facility (the “Credit Facility”). On November 30, 2020, we entered into a securities purchase agreement with High Trail SA, pursuant to which, among other things, we agreed to issue and sell to High Trail SA, in exchange for the payment by High Trail SA of $38.0 million, a senior secured promissory note in an aggregate principal amount of $43.0 million (the “November Note”) and a warrant to purchase up to an aggregate of 2,864,133 shares of our common stock. On February 2, 2021, we entered into a securities purchase agreement with High Trail ON, pursuant to which, among other things, we agreed to issue and sell to High Trail ON, in exchange for the payment by High Trail ON of $14.025 million, a senior secured promissory note in an aggregate principal amount of $16.5 million (the “February Note” and, together with the November Note, the “Notes”) and a warrant to purchase up to an aggregate of 469,931 shares of our common stock. The Credit Facility and the Notes contain affirmative and restrictive covenants that limit our operating ability including to, among other things, transfer or dispose of assets, merge with other companies or consummate certain changes of control, pay dividends, incur additional indebtedness and liens and enter into new businesses. The Credit Facility also contains affirmative and restrictive covenants that limit our ability including to, among other things acquire other companies and modify organizational documents. We therefore may not be able to engage in any of the foregoing transactions unless we obtain the consent of our lenders. In addition, the Credit Facility and the Notes are secured by all of our assets, and the Credit Facility requires us to satisfy certain covenants, including maintaining a $5.0 million minimum cash balance.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our Credit Facility or the Notes or to refinance them would adversely affect our business. Further, at any time, if we violate the terms of the Credit Facility or the Notes or otherwise fail to meet our covenants, we may not be able to obtain a waiver from the lenders under satisfactory terms, if at all, which would limit our operating flexibility and/or liquidity and which would have an adverse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right="460"/>
        <w:spacing w:after="0" w:line="277" w:lineRule="auto"/>
        <w:rPr>
          <w:sz w:val="20"/>
          <w:szCs w:val="20"/>
          <w:color w:val="auto"/>
        </w:rPr>
      </w:pPr>
      <w:r>
        <w:rPr>
          <w:rFonts w:ascii="Arial" w:cs="Arial" w:eastAsia="Arial" w:hAnsi="Arial"/>
          <w:sz w:val="18"/>
          <w:szCs w:val="18"/>
          <w:color w:val="auto"/>
        </w:rPr>
        <w:t>effect on our business and prospects, and could also result in dilution to our shareholders in the event we are required to pay back the Notes using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 may adversely affect our business, financial performance and results of operations.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business, financial performance and results of operations depend significantly on worldwide macroeconomic conditions and their impact on consumer spending. Recessionary economic cycles, higher interest rates, volatile fuel and energy costs, inflation, levels of unemployment, conditions in the residential real estate and mortgage markets, access to credit, consumer debt levels, unsettled financial markets and other economic factors that may affect consumer spending or buying habits could materially and adversely affect demand for our products. For example, to the extent that the pandemic becomes sufficiently under control, consumer may opt to spend more of their discretionary income on travel instead of consumer products. In addition, volatility in the financial markets has had and may continue to have a negative impact on consumer spending patterns. A reduction in consumer spending or disposable income may affect us more significantly than companies in other industries and companies with a more diversified product offering. In addition, negative national or global economic conditions may materially and adversely affect our suppliers’ financial performance, liquidity and access to capital. This may affect their ability to maintain their inventories, production levels and/or product quality and could cause them to raise prices, lower production levels or cease their operations.</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Economic factors such as increased commodity prices, shipping costs, inflation, higher costs of labor, insurance and healthcare, and changes in or interpretations of other laws, regulations and taxes may also increase our cost of goods sold and our selling, general and administrative expenses, and otherwise adversely affect our financial condition and results of operations. Any significant increases in costs may affect our business disproportionately than our competitors. Changes in trade policies or increases in tariffs, including those enacted by the United States and China, may have a material adverse effect on global economic conditions and the stability of global financial markets and may reduce international trade.</w:t>
      </w:r>
    </w:p>
    <w:p>
      <w:pPr>
        <w:spacing w:after="0" w:line="2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 A failure to successfully integrate our acquired businesses may adversely affect our business or operations.</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26, 2020, we completed the acquisition of assets of Truweo, a leading e-commerce brand in the health and personal wellness category (the “Truweo Assets”) On December 1, 2020, we completed the acquisition of assets of an e-commerce business under the brands Mueller, Pursteam, Pohl and Schmitt and Spiralizer (the “Smash Assets”). On February 2, 2021, we completed the acquisition of assets of a retail and e-commerce business under the brands Healing Solutions, Tarvol, Sun Essential Oils and Artizen (among others) (the “Healing Solutions Assets”). We may in the future seek to acquire or invest in other businesses, features or technologies that we believe could complement or expand our market, enhance our technical capabilities or otherwise offer growth opportunities, and we believe that acquisitions may further our growth strategy. The pursuit of potential acquisitions may divert the attention of management and cause us to incur various expenses in identifying, investigating and pursuing suitable acquisitions, whether or not they are consummated. In addition, to the extent that we enter into any term sheets or otherwise announce any intention to acquire any additional businesses, features or technologies, any such acquisition would generally be subject to completion of due diligence and required approvals, and would require additional financing, and there can be no assurance that any such acquisition will occur or be completed in a timely manner, or at all.</w:t>
      </w:r>
    </w:p>
    <w:p>
      <w:pPr>
        <w:spacing w:after="0" w:line="16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 order to achieve the anticipated benefits associated with these acquisitions, we will need to successfully integrate these businesses in an effective and efficient manner. If we acquire additional businesses, we may not be able to integrate the acquired personnel, operations, existing contracts and technologies successfully or effectively manage the combined business following the acquisition. We also may not achieve the anticipated benefits from any acquired business, including the Truweo Assets, the Smash Assets and the Healing Solutions Assets, due to a number of factors, including:</w:t>
      </w:r>
    </w:p>
    <w:p>
      <w:pPr>
        <w:spacing w:after="0" w:line="49" w:lineRule="exact"/>
        <w:rPr>
          <w:sz w:val="20"/>
          <w:szCs w:val="20"/>
          <w:color w:val="auto"/>
        </w:rPr>
      </w:pPr>
    </w:p>
    <w:p>
      <w:pPr>
        <w:ind w:left="1020" w:hanging="37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manage our inventory effectively;</w:t>
      </w:r>
    </w:p>
    <w:p>
      <w:pPr>
        <w:spacing w:after="0" w:line="144" w:lineRule="exact"/>
        <w:rPr>
          <w:rFonts w:ascii="Arial" w:cs="Arial" w:eastAsia="Arial" w:hAnsi="Arial"/>
          <w:sz w:val="18"/>
          <w:szCs w:val="18"/>
          <w:color w:val="auto"/>
        </w:rPr>
      </w:pPr>
    </w:p>
    <w:p>
      <w:pPr>
        <w:ind w:left="1020" w:hanging="378"/>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or technology, including issues related to intellectual property, regulatory compliance practices, product quality and safety, revenue recognition or other accounting practices, or employee or client issues;</w:t>
      </w:r>
    </w:p>
    <w:p>
      <w:pPr>
        <w:spacing w:after="0" w:line="75" w:lineRule="exact"/>
        <w:rPr>
          <w:rFonts w:ascii="Arial" w:cs="Arial" w:eastAsia="Arial" w:hAnsi="Arial"/>
          <w:sz w:val="18"/>
          <w:szCs w:val="18"/>
          <w:color w:val="auto"/>
        </w:rPr>
      </w:pPr>
    </w:p>
    <w:p>
      <w:pPr>
        <w:ind w:left="1020" w:right="540" w:hanging="378"/>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incorporating acquired technology and rights into our proprietary software and of maintaining quality and security standards consistent with our brands;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acquisition-related costs or equity dilution associated with funding the acquisition;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left="1020" w:hanging="378"/>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55" w:lineRule="exact"/>
        <w:rPr>
          <w:rFonts w:ascii="Arial" w:cs="Arial" w:eastAsia="Arial" w:hAnsi="Arial"/>
          <w:sz w:val="17"/>
          <w:szCs w:val="17"/>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of entering new markets or new product categories in which we have limited or no experience;</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converting the customers of the acquired business into our customers;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our management’s attention from other business concerns;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as a result of the acquisition;</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loss of key employees, clients, vendors and suppliers from either our current business or an acquired company’s business;</w:t>
      </w:r>
    </w:p>
    <w:p>
      <w:pPr>
        <w:spacing w:after="0" w:line="155" w:lineRule="exact"/>
        <w:rPr>
          <w:rFonts w:ascii="Arial" w:cs="Arial" w:eastAsia="Arial" w:hAnsi="Arial"/>
          <w:sz w:val="17"/>
          <w:szCs w:val="17"/>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write offs or impairment charges relating to acquired businesses;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regulatory matters covering the products of the acquired business; and</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3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respect to any acquisitions of businesses that primarily sell their products on Amazon or other marketplaces, we may determine to make changes to the target’s business practices to ensure regulatory and marketplace compliance. Such changes could have an adverse impact on the target’s future financial performance. In addition, the marketplaces on which a target has historically operated may suspend one or more product listings temporarily or permanently after completion of our acquisition, due to compliance issues that occurred prior to our acquisition of the target and such actions could have a material adverse impact on the acquired business’s financial performance.</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Acquisitions could also be subject to earnouts or other contingent payments which could result in dilutive issuances in the case of payment in the Company’s stock or could adversely impact the Company’s financial condition in the case of payments in cash. If an acquired business fails to meet our expectations, our business, operating results and financial condition may suffer.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we continue to acquire and invest in new businesses, our ability to add companies at a low multiple may not be viable.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Acquisitions are important to the success of our business and overall corporate strategy, and the inherent risks associated with these transactions may adversely affect our financial condition and operating results. As our business continues to face changing technologies, shifting consumer demands, and frequent introduction of rival products, our success depends on our ability to invest in and adapt to new businesses. Our growth strategy may be adversely affected due to increased competition for, suitable acquisition targets.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Acquisitions of third party Amazon sellers have typically required smaller upfront purchase prices associated with limited operating history, product concentration risk, and less experienced operations and management teams. While we expect to continue acquiring such businesses, we may face increasing competition in our acquisition efforts, in particular with respect to smaller acquisition targets where the competition tends to be more intense. As a result of increased competition over target companies within the industry we operate, our ability to buy companies at a lower, accretive multiple may not be viable. Through increased competition over target companies, our competitors may adversely increase the price of certain acquisition targets, which may adversely affect our long-term business strategy, financial condition and results of operations.</w:t>
      </w:r>
    </w:p>
    <w:p>
      <w:pPr>
        <w:spacing w:after="0" w:line="28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If our emails are not delivered and accepted or are routed by email providers less favorably than other emails, or our sites or mobile applications are not accessible or are treated disadvantageously by Internet service providers, our business may be substantially harmed.</w:t>
      </w:r>
    </w:p>
    <w:p>
      <w:pPr>
        <w:spacing w:after="0" w:line="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email providers or Internet service providers (“ISPs”) implement new or more restrictive email or content delivery or accessibility policies, including with respect to net neutrality, it may become more difficult to deliver emails to our customers or for customers to access our site, products and services. For example, certain email providers, including Google, categorize our emails as “promotional”, and these emails are directed to an alternate, and less readily accessible, section of a customer’s inbox. If email providers materially limit or halt the delivery of our emails, or if we fail to deliver emails to customers in a manner compatible with email providers’ email handling or authentication technologies, our ability to contact customers through email could be significantly restricted. In addition, if we are placed on “spam” lists or lists of entities that have been involved in sending unwanted, unsolicited emails, our operating results and financial condition could be substantially harmed. Further, if ISPs prioritize or provide superior access to our competitors’ content, our business and results of operations may be negatively impacted.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accept payments using a variety of methods, including credit card, debit card, PayPal, credit accounts (including promotional financing) and gift cards. For certain payment methods, including credit and debit cards, we pay interchange and other fees, which may increase over time and raise our operating costs and lower profitability. In addition, our credit card and other payment processors could impose receivable holdback or reserve requirements in the future.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consumers or to facilitate other types of online payments. If any of these events were to occur, our business, financial condition and operating results could be materially adversely affected.</w:t>
      </w:r>
    </w:p>
    <w:p>
      <w:pPr>
        <w:spacing w:after="0" w:line="2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Any significant disruption in service on our websites or apps or in our computer systems, a number of which are currently hosted or provided by third-party providers, could materially affect our ability to operate, damage our reputation and result in a loss of consumers, which would harm our business and results of operations.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ability to sell and market our products relies on the performance and continued development of AIMEE. AIMEE’s functionality, including its continued development, relies upon a number of third-party related services, including those relating to cloud infrastructure, technology services, servers, open source libraries and vendor APIs. Any disruption or loss of any of these third-party services could have a negative effect on our business, results of operations, financial condition and prospects. We may experience interruptions in our systems, including server failures that temporarily slow down or interfere with the performance of our platforms and the ability to sell on e-commerce marketplaces. Interruptions in these systems, whether due to system failures, human input errors, computer viruses or physical or electronic break-ins, and denial-of-service attacks on us, third-party vendors or communications infrastructure, could affect the availability of our services on our platform and prevent or inhibit the ability of selling our products. Volume of traffic and activity on e-commerce marketplaces spikes on certain days, such as during a Black Friday promotion, and any such interruption would be particularly problematic if it were to occur at such a high-volume time. Problems with the reliability of our systems or third-party marketplaces could prevent us from earning revenue and could harm our reputation. Damage to our reputation, any resulting loss of customers, e-commerce confidence and the cost of remedying these problems could negatively affect our business, results of operations, financial condition and prospects.</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ability to maintain communications, network and computer hardware in the countries in which they are used may in the future be subject to regulatory review and licensing, and the failure to obtain any required licenses could negatively affect our business. Our systems and infrastructure are predominately reliant on third parties. Problems faced by our third-party service providers with the telecommunications network providers with whom they contract or with the systems by which they allocate capacity among their users, including us, could adversely affect the experience of our consumers.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Any errors, defects, disruptions or other performance problems with our services could harm our reputation and may have a material adverse effect on our business, results of operations, financial condition and prospects.</w:t>
      </w:r>
    </w:p>
    <w:p>
      <w:pPr>
        <w:spacing w:after="0" w:line="28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right="40"/>
        <w:spacing w:after="0" w:line="272" w:lineRule="auto"/>
        <w:rPr>
          <w:sz w:val="20"/>
          <w:szCs w:val="20"/>
          <w:color w:val="auto"/>
        </w:rPr>
      </w:pPr>
      <w:r>
        <w:rPr>
          <w:rFonts w:ascii="Arial" w:cs="Arial" w:eastAsia="Arial" w:hAnsi="Arial"/>
          <w:sz w:val="17"/>
          <w:szCs w:val="17"/>
          <w:color w:val="auto"/>
        </w:rPr>
        <w:t>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inadvertent breaches by our employees or by third parties. These risks may increase over time as the complexity and number of technical systems and applications we use also increases. In addition, as a result of the COVID-19 pandemic, we may face increased cybersecurity risks due to our or third-party service providers’ reliance on internet technology and the number of our and our third-party service providers’ employees who are working remotely, which may create additional opportunities for cybercriminals to exploit vulnerabilities.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however, such attacks could in the future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may experience periodic system interruptions from time to time. In addition, continued growth in our transaction volume, as well as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increases, if any, in the use of our sites or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16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or we may need to devote significant resources in the future to address problems caused by breaches, including notifying affected subscribers and responding to any resulting litigation, which in turn, diverts resources from the growth and expansion of our business. To date, we are not aware of any material compromises or breaches of our networks or systems.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use open source software in our proprietary software AIMEE, and other of our sophisticated information technologies and systems, and will use open source software in the future. We may use open source software that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the implicated open source software.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right="300"/>
        <w:spacing w:after="0" w:line="277" w:lineRule="auto"/>
        <w:rPr>
          <w:sz w:val="20"/>
          <w:szCs w:val="20"/>
          <w:color w:val="auto"/>
        </w:rPr>
      </w:pPr>
      <w:r>
        <w:rPr>
          <w:rFonts w:ascii="Arial" w:cs="Arial" w:eastAsia="Arial" w:hAnsi="Arial"/>
          <w:sz w:val="18"/>
          <w:szCs w:val="18"/>
          <w:color w:val="auto"/>
        </w:rPr>
        <w:t>our sites and systems that rely on open source software. Any of these risks could be difficult to eliminate or manage, and, if not addressed, could have a material adverse effect on our business, financial condition and operating results.</w:t>
      </w:r>
    </w:p>
    <w:p>
      <w:pPr>
        <w:spacing w:after="0" w:line="2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misappropriation by us of their intellectual property rights or confidential know how could result in significant costs and substantially harm our business and results of operations.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Third parties have asserted, and may in the future assert, that we have infringed or misappropriated their trademarks, copyrights, confidential know how, trade secrets, patents or other intellectual property rights. We cannot predict whether any such assertions or claims arising from such assertions will substantially harm our business and results of operations, whether or not they are successful. If we are forced to defend against any infringement or other claims relating to the trademarks, copyright, confidential know how, trade secrets, patents or other intellectual property rights of third parties, whether they are with or without merit or are determined in our favor, we may face costly litigation or diversion of technical and management personnel. Furthermore, the outcome of a dispute may be that we would need to cease selling a product or use of some portion of our technology, develop non-infringing technology, pay damages, costs or monetary settlements or enter into royalty or licensing agreements. Royalty or licensing agreements, if required, may be unavailable on terms acceptable to us, or at all, and we may be unable to successfully develop non-infringing technology. In addition, Amazon and other marketplaces may remove a product listing if they determine, whether or not accurate, that we are infringing on the intellectual property of others. Any assertions or litigation could materially adversely affect our business, results of operations, financial condition and prospects.</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e-commerce industry is characterized by vigorous protection and pursuit of intellectual property rights, which has resulted in protracted and expensive litigation for many companies. Some companies, including some of our competitors, own large numbers of patents, copyrights and trademarks, which they may use to assert claims against us. In addition, because patent applications can take years to issue and are often afforded confidentiality for some period of time, there may currently be pending applications, unknown to us, that later result in issued patents that could cover one or more of our technologies.</w:t>
      </w:r>
    </w:p>
    <w:p>
      <w:pPr>
        <w:spacing w:after="0" w:line="15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Certain third parties have substantially greater resources than we have and may be able to sustain the costs of intellectual property litigation for longer periods of time than we can. Even if we were to prevail in such a dispute, any litigation regarding our intellectual property could be costly and time-consuming and divert the attention of our management and key personnel from our business operations.</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success depends, in part, on our ability to protect our proprietary methods, trademarks, domain names, copyrights, patent, trade dress, trade secrets, proprietary technology and similar intellectual property, and we rely on trademark, copyright and patent law, trade secret protection, agreements and other methods with our employees and others to protect our proprietary rights. There can be no assurance that the particular forms of intellectual property protection that we seek, including business decisions about when to file trademark applications and patent applications, will be adequate to protect our business. We intend to continue to file and prosecute patent applications when appropriate to attempt to protect our rights in our proprietary technologies. However, there can be no assurance that our patent applications will be approved, that any patents issued will adequately protect our intellectual property, that the scope of the claims in our issued patents will be sufficient or have the coverage originally sought, that our issued patents will provide us with any competitive advantages, or that such patents will not be challenged by third parties or found by a judicial authority to be invalid or unenforceable.</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may fail, and even if successful, could be costly, time-consuming and distracting to management and could result in a diversion of significant resources. Our efforts to enforce our intellectual property rights may be met with defenses, counterclaims and countersuits attacking the validity and enforceability of our intellectual property rights or alleging that we infringe the counterclaimant’s own intellectual property. An adverse determination of any litigation or defense proceedings could put our intellectual property at risk of being invalidated or interpreted narrowly and could put our related pending patent applications at risk of not being issued. Furthermore, because of the substantial amount of discovery required in connection with intellectual property litigation, there is a risk that some of our confidential or sensitive information could be compromised by disclosure in the event of litigation.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t>Any of our intellectual property rights could be challenged by others or invalidated through administrative processes or litigation. Furthermore, there can be no guarantee that others will not independently develop similar products, duplicate any of our products or design around our patents. Despite our efforts, we may be unable to prevent third parties from infringing upon, misappropriating or otherwise violating our intellectual property rights and other proprietary rights.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rely, in part, on confidentiality agreements with our employees, consultants, advisors, customers and others in our efforts to protect our proprietary technology, processes and methods.</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agreements may not effectively prevent disclosure of our confidential information, and it may be possible for unauthorized parties to copy our software or other proprietary technology or information, or to develop similar software independently, without us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laws of some countries do not protect intellectual property and other proprietary rights to the same extent as the laws of the United States.</w:t>
      </w:r>
    </w:p>
    <w:p>
      <w:pPr>
        <w:spacing w:after="0" w:line="14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To the extent that we expand our international activities, our exposure to unauthorized copying, transfer and use of our proprietary technology or information may increase.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operating results and financial condition could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acquire, use or maintain our marks and domain names for our sites could substantially harm our business and operating results.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currently are the registrant of marks for our brands in numerous jurisdictions and are the registrant of the Internet domain name for the websites of Mohawkgp.com, homelabs.com, vremi.com, xtava.com, rif6.com and our other sites, as well as various related domain names. However, we have not registered our marks or domain names in all major international jurisdictions. 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including the development of a new brand and the creation of new promotional materials and packaging, or to elect not to sell products in that country. Either result could materially adversely affect our business, financial condition and operating results.</w:t>
      </w:r>
    </w:p>
    <w:p>
      <w:pPr>
        <w:spacing w:after="0" w:line="1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Furthermore, the regulations governing domain names and laws protecting marks and similar proprietary rights could change in ways that block or interfere with our ability to use relevant domains or our current brands Also, we might not be able to prevent third parties from registering, using or retaining domain names that interfere with our consumer communications or infringe or otherwise decrease the value of our marks, domain names and other proprietary rights.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Mohawk or our other brands in all of the countries in which we currently or intend to conduct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Litigation and Government Regulation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general litigation, regulatory disputes and government inquiries.</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number and significance of these disputes and inquiries have increased as the political and regulatory landscape changes, and as we have grown larger and expanded in scope and geographic reach, and our services have increased in complexity.</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predict the outcome of such disputes and inquiries with certainty. Regardless of the outcome, these can have an adverse impact on us because of legal costs, diversion of management resources and other factors.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 claims and regulatory proceedings against us could result in unexpected expenses and liabilities, which could have a material adverse effect on our business, results of operations, financial condition and prospects.</w:t>
      </w:r>
    </w:p>
    <w:p>
      <w:pPr>
        <w:spacing w:after="0" w:line="3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17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May 2019, we received notice from the California Energy Commission (the “CEC”) that certain of our products had not been listed in the CEC’s Modernized Appliance Efficiency Database System (the “MAEDbS”) and therefore we were not in compliance with a CEC regulation. In order for an appliance to be listed in the MAEDbS, it must be tested at a lab approved by the CEC and the test data must be submitted to the CEC’s Appliance Efficiency Program. We settled this matter with the CEC on May 26, 2020 and agreed to pay a fine of $150,000, of which $75,000 was paid on June 1, 2020 and the remaining payment was made on July 1, 2020. If we are not in compliance with CEC regulations in the future, we may not be permitted to sell certain products in the State of California or may be required to pay a penalty fee to the CEC.</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copies of the energy-efficiency report and certification that were issued for the dehumidifier model at the time of production. We believe this product is compliant, and we, in conjunction with our manufacturing partner, have disputed the Test Notice received from the DOE. As of the date hereof, we cannot reasonably estimate what, if any, penalties may be levied.</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spacing w:after="0" w:line="273" w:lineRule="auto"/>
        <w:rPr>
          <w:sz w:val="20"/>
          <w:szCs w:val="20"/>
          <w:color w:val="auto"/>
        </w:rPr>
      </w:pPr>
      <w:r>
        <w:rPr>
          <w:rFonts w:ascii="Arial" w:cs="Arial" w:eastAsia="Arial" w:hAnsi="Arial"/>
          <w:sz w:val="17"/>
          <w:szCs w:val="17"/>
          <w:color w:val="auto"/>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had placed a hold on the sale of certain of our dehumidifier inventory while it reviewed the matter with us. As of October 2020, we are able to resume selling the products identified by the EPA, and discussions are continuing with the EPA. No penalty has been assessed by the EPA or communicated to us. If we receive a similar notice from the EPA in the future with regards to regulatory compliance of any of our other products, the EPA may place a hold on the sale of our products while it reviews an open matter with us.</w:t>
      </w:r>
    </w:p>
    <w:p>
      <w:pPr>
        <w:spacing w:after="0" w:line="1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cannot be certain of the outcome with the EPA, and we may incur costs and penalties that cannot presently be calculated in the event that we are unable to resolve this matter with the EPA. Notwithstanding the above, we have deemed it appropriate to record an accrual for a potential fine. The final costs and penalties, if any, may be material with respect to our financial condition once determined.</w:t>
      </w:r>
    </w:p>
    <w:p>
      <w:pPr>
        <w:spacing w:after="0" w:line="2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products experience any recalls, product liability claims, or government, customer or consumer concerns about product safety, our reputation and operating results could be harmed.</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products are subject to regulation by the U.S. Consumer Product Safety Commission (the “CPSC”) and similar state and international regulatory authorities, and these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 For example, in May 2018, the board of directors of Mohawk Group, Inc., our wholly-owned subsidiary (“Mohawk Opco”), approved a voluntary recall of the Xtava Allure Hair Dryer. In June 2018, Mohawk Opco filed an application for a voluntary recall with the CPSC pursuant to Section 15(b) of the Consumer Product Safety Act (“CPSA”). Mohawk Opco received approval from the CPSC to provide consumers with replacement units and publicly announced the recall on August 15, 2018. Mohawk Opco estimated it would incur approximately $1.6 million in costs related to the recall for procurement, manufacturing, fulfillment and delivery to consumers who apply and qualify for the recall costs. Mohawk Opco recorded the expense in 2018. As of December 31, 2020, we do not have any recall liability as the recall program for the Xtava Allure Hair Dryer has been materially completed.</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be subject to product liability claims if people or property are harmed by the products we sell. Some of the products we sell may expose us to product liability claims and litigation (including class actions) or regulatory action relating to safety, personal injury, and death or environmental or property damage. For example, in August 2018, we announced a voluntary recall of certain hair dryers that were alleged to have overheated or caused fires. Although no claims have been brought, pursuant to the CPSC and the guidelines set forth by the CPSA, we may be subject to a late reporting penalty if the CPSC decides to perform a late reporting investigation and determines we failed to meet all reporting requirements. If we are determined to have violated the reporting guidelines, a penalty may be material to the consolidated financial statements. In August 2019, we received notice that we have materially completed our obligation on the recall program and, as a result, have eliminated a substantial portion of the remaining liability pertaining to the program. As such, we believe the likelihood that a late reporting investigation will be initiated by the CPSC is remote but we can make no guarantee that CPSC will not open an investigation in the future.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Although we maintain liability insurance, we cannot be certain that our coverage will be adequate for liabilities actually incurred or that insurance will continue to be available to us on economically reasonable terms, or at all. In general, our agreements with members of our supply chain do not indemnify us from product liability for a particular product, and some members of our supply chain may not have sufficient resources or insurance to satisfy their indemnity and defense obligations.</w:t>
      </w:r>
    </w:p>
    <w:p>
      <w:pPr>
        <w:spacing w:after="0" w:line="29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Any failure by us or our vendors to comply with product safety, consumer protection or other laws, or our standard vendor terms and conditions, or to provide safe factory conditions for our or their workers may damage our reputation and brand and harm our business.</w:t>
      </w:r>
    </w:p>
    <w:p>
      <w:pPr>
        <w:spacing w:after="0" w:line="3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products we sell to our clients are subject to regulation by the CPSC, the Federal Trade Commission (“FTC”) and similar state and international regulatory authorities addressing the safety and marketing for our products, among other things. As a result, such products, including our marketing strategy, could be in the future subject to remedial actions, such as product recalls and the manner in which we market our products. Product safety or labeling concerns may require us to voluntarily remove selected merchandise from our inventory. Such recalls or voluntary removal of merchandise can result in, among other things, suspension of our seller accounts on Amazon and other online marketplaces, lost sales, diverted resources, potential harm to our reputation and increased client service costs and legal expenses, which could have a material adverse effect on our operating results.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right="20"/>
        <w:spacing w:after="0" w:line="275" w:lineRule="auto"/>
        <w:rPr>
          <w:sz w:val="20"/>
          <w:szCs w:val="20"/>
          <w:color w:val="auto"/>
        </w:rPr>
      </w:pPr>
      <w:r>
        <w:rPr>
          <w:rFonts w:ascii="Arial" w:cs="Arial" w:eastAsia="Arial" w:hAnsi="Arial"/>
          <w:sz w:val="17"/>
          <w:szCs w:val="17"/>
          <w:color w:val="auto"/>
        </w:rPr>
        <w:t>Some of the products we sell may expose us to product liability claims and litigation or regulatory action relating to personal injury or environmental or property damage. Although we maintain liability insurance and have implemented a quality assurance program that includes obtaining necessary certifications, we cannot be certain that our coverage will be adequate for liabilities actually incurred or that insurance will continue to be available to us on economically reasonable terms or at all. In addition, our agreements with our vendors in general do not indemnify us from product liability for a particular vendor’s products or our vendors may not have sufficient resources or insurance to satisfy their indemnity and defense obligations.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Misclassification or reclassification of our independent contractors or employees could increase our costs and adversely impact our business.</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workers are classified as either employees or independent contractors, and if employees, as either exempt from overtime or non-exempt (and therefore overtime eligible). Regulatory authorities and private parties have recently asserted within several industries that some independent contractors should be classified as employees and that some exempt employees, including those in sales-related positions, should be classified as non-exempt based upon the applicable facts and circumstances and their interpretations of existing rules and regulations. If we are found to have misclassified employees as independent contractors or non-exempt employees as exempt, we could face penalties and have additional exposure under federal and state tax, workers’ compensation, unemployment benefits, labor, employment and tort laws, including for prior periods, as well as potential liability for employee overtime and benefits and tax withholdings. Legislative, judicial or regulatory (including tax) authorities could also introduce proposals or assert interpretations of existing rules and regulations that would change the classification of a significant number of independent contractors doing business with us from independent contractor to employee and a significant number of exempt employees to non-exempt. A reclassification in either case could result in a significant increase in employment-related costs such as wages, benefits and taxes. The costs associated with employee classification, including any related regulatory action or litigation, could have a material adverse effect on our results of operations and our financial position.</w:t>
      </w:r>
    </w:p>
    <w:p>
      <w:pPr>
        <w:spacing w:after="0" w:line="280"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We are subject to U.S. governmental regulation and other legal obligations related to privacy, data protection and information security. If we are unable to comply with these, we may be subject to governmental enforcement actions, litigation, fines and penalties or adverse publicity.</w:t>
      </w:r>
    </w:p>
    <w:p>
      <w:pPr>
        <w:spacing w:after="0" w:line="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collect personally identifiable information and other data from our consumers and prospective consumers. We collect this info automatically through the automated sales processes with e-commerce marketplaces. We, at times, may use this information to provide, support, expand and improve our business, customer service and tailor our marketing and advertising efforts.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such as the FTC, and various state, local and foreign agencies. Our data handling also is subject to contractual obligations and industry standards.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 The laws and regulations relating to privacy and data security are evolving, can be subject to significant change and may result in ever-increasing regulatory and public scrutiny and escalating levels of enforcement and sanctions.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federal and various state governments have adopted or are considering laws, guidelines or rules for the collection, distribution, use and storage of information collected from or about consumers or their devices. For example, California recently passed the California Consumer Privacy Act, effective as of January 1, 2020, which introduced substantial changes to privacy law for businesses that collect personal information from California residents. Additionally, the FTC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Many data protection regimes apply based on where a consumer is located, and as we expand and new laws are enacted or existing laws change, we may be subject to new laws, regulations or standards or new interpretations of existing laws, regulations or standards, which could require us to incur additional costs and restrict our business operations. Any failure or perceived failure by us to comply with rapidly evolving privacy or security laws, such as the Personal Information Security Specification in China (the “China Specification”), policies (including our own stated privacy policies), legal obligations or industry standards or any security incident that results in the unauthorized release or transfer of personally identifiable information or other consumer data may result in governmental enforcement actions, litigation (including consumer class actions), fines and penalties or adverse publicity and could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cause our consumers to lose trust in us, which could have a material adverse effect on our business, results of operations, financial condition and prospects.</w:t>
      </w:r>
    </w:p>
    <w:p>
      <w:pPr>
        <w:spacing w:after="0" w:line="3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We handle credit card and other personal information, and, as such, are subject to governmental regulation and other legal obligations related to the protection of personal data, privacy and information security in certain countries where we do business and there has been and will continue to be a significant increase globally in such laws that restrict or control the use of personal data.</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the sensitive nature of such information, we have implemented policies and procedures to preserve and protect our data and our customers’ data against loss, misuse, corruption, misappropriation caused by systems failures, unauthorized access or misuse. Notwithstanding these policies,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Europe, the data privacy and information security regime has continued to evolve and is subject to increasing regulatory scrutiny.</w:t>
      </w:r>
    </w:p>
    <w:p>
      <w:pPr>
        <w:spacing w:after="0" w:line="1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General Data Protection Regulation (“GDPR”), implements stringent operational requirements for our use of personal data. These stringent requirements include expansive disclosures to tell our consumers about how we may use their personal data, increased controls on profiling customers and increased rights for customers to access, control and delete their personal data. In addition, there are mandatory data breach notification requirements and significantly increased penalties of the greater of €20 million or 4% of global turnover for the preceding financial year. The U.K.’s Network and Information Systems Regulations 2018 (“NID Regulations”) apply to us as an online marketplace and place additional network and information systems security obligations on us, as well as mandatory security incident notification in certain circumstances with penalties of up to £17 million.</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To address these concerns, the GDPR has set forth enumerated requirements as to how websites are meant to properly handle their collection and use of personal data gathered through cookies. Such regulations may have a negative effect on businesses, including ours, that collect and use online usage information for consumer acquisition and marketing, may increase the cost of operating a business that collects or uses such information and undertakes online marketing, may also increase regulatory scrutiny and may increase potential civil liability under data protection or consumer protection laws.</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may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privacy regulations in China that are broader than those of our other operations.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the China Specification is not a mandatory regulation, it nonetheless has a key implementing role in relation to China’s Cyber Security Law in respect of protecting personal information in China. Furthermore, it is likely that the China Specification will be relied on by Chinese government agencies as a standard to determine whether businesses have abided by China’s data protection rules. The China Specification introduced many concepts and protection rules for personal information, such as “Data Controller” from GDPR. From a consent perspective the China Specification and GDPR are similar, but the China Specification has broadened the scope of personal sensitive information (“PSI”) as compared to GDPR (including but not limited to phone number, transaction record and purchase history, bank account, browser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w:t>
      </w:r>
    </w:p>
    <w:p>
      <w:pPr>
        <w:spacing w:after="0" w:line="280"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We are subject to customs and international trade laws that could require us to modify our current business practices and incur increased costs or could result in a delay in getting products through customs and port operations, which may limit our growth and cause us to suffer reputational damage.</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predominately import our products from China. We are subject to numerous regulations, including customs and international trade laws that govern the importation and sale of our goods. 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120"/>
        <w:spacing w:after="0" w:line="257" w:lineRule="auto"/>
        <w:rPr>
          <w:sz w:val="20"/>
          <w:szCs w:val="20"/>
          <w:color w:val="auto"/>
        </w:rPr>
      </w:pPr>
      <w:r>
        <w:rPr>
          <w:rFonts w:ascii="Arial" w:cs="Arial" w:eastAsia="Arial" w:hAnsi="Arial"/>
          <w:sz w:val="18"/>
          <w:szCs w:val="18"/>
          <w:color w:val="auto"/>
        </w:rPr>
        <w:t>particular, in China, where trade relations between the United States and China are uncertain. Our failure to comply with import or export rules and restrictions or to properly classify items under tariff regulations and pay the appropriate duties could expose us to fines and penalties. If these laws or regulations were to change or were violated by our management, employees, retailers or brands, we could experience delays in shipments of our goods, be subject to fines or penalties or suffer reputational harm, which could reduce demand for our products or services and negatively impact our results of operations.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business depends on our ability to source and distribute products in a timely manner. As a result, 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imports from China or any retaliatory trade measures are taken by China, our business and results of operations could be materially and adversely affected.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purchase our products from unaffiliated manufacturers that are located in China. This concentration exposes us to risks associated with doing business globally, including changes in tariffs. The Office of the United States Trade Representative previously identified certain Chinese imported goods for additional tariffs to address China’s trade policies and practices. These tariffs could have a material adverse effect on our business and results of operations. Additionally, the Biden administration has yet to signal whether it will alter existing trade agreements and terms between China and the United States, including limiting trade with China, adjusting the additional tariffs on imports from China and potentially imposing other restrictions on exports from China to the United States. Consequently, it is possible further and or higher tariffs will be imposed on products imported from foreign countries, including China, or that our business will be affected by retaliatory trade measures taken by China or other countries in response to existing or future tariffs. This may cause us to raise prices or make changes to our operations, any of which could have a material adverse effect on our business and results of operations.</w:t>
      </w:r>
    </w:p>
    <w:p>
      <w:pPr>
        <w:spacing w:after="0" w:line="2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financial performance.</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Many of the laws, rules or regulations imposing taxes and other similar obligations were established before the growth of the internet and e-commerce. Tax authorities in non-U.S. jurisdictions and at the U.S. federal, state and local levels are currently reviewing the appropriate treatment of companies engaged in internet commerce and considering changes to existing tax or other laws that could regulate our transmissions and/or levy sales, income, consumption, use or other taxes relating to our activities, and/or impose obligations on us to collect such taxes. For example, in March 2018, the European Commission proposed new rules for taxing digital business activities in the EU. In addition,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such legislation. Furthermore, the U.S. Supreme Court recently held in </w:t>
      </w:r>
      <w:r>
        <w:rPr>
          <w:rFonts w:ascii="Arial" w:cs="Arial" w:eastAsia="Arial" w:hAnsi="Arial"/>
          <w:sz w:val="16"/>
          <w:szCs w:val="16"/>
          <w:i w:val="1"/>
          <w:iCs w:val="1"/>
          <w:color w:val="auto"/>
        </w:rPr>
        <w:t>South Dakota v. Wayfair</w:t>
      </w:r>
      <w:r>
        <w:rPr>
          <w:rFonts w:ascii="Arial" w:cs="Arial" w:eastAsia="Arial" w:hAnsi="Arial"/>
          <w:sz w:val="16"/>
          <w:szCs w:val="16"/>
          <w:color w:val="auto"/>
        </w:rPr>
        <w:t xml:space="preserve"> that a U.S. state may require an online retailer to collect sales taxes imposed by that state, even if the retailer has no physical presence in that state, thus permitting a wider enforcement of such sales tax collection requirements. Such legislation could require us or our retailers and brands to incur substantial costs in order to comply, including costs associated with legal advice, tax calculation, collection, remittance and audit requirements, which could make selling in such markets less attractive and could adversely affect our business. We cannot predict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products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results of operations, financial condition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$87.0 million net operating loss carryforwards as of December 31, 2020,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80"/>
        <w:spacing w:after="0" w:line="274" w:lineRule="auto"/>
        <w:rPr>
          <w:sz w:val="20"/>
          <w:szCs w:val="20"/>
          <w:color w:val="auto"/>
        </w:rPr>
      </w:pPr>
      <w:r>
        <w:rPr>
          <w:rFonts w:ascii="Arial" w:cs="Arial" w:eastAsia="Arial" w:hAnsi="Arial"/>
          <w:sz w:val="17"/>
          <w:szCs w:val="17"/>
          <w:color w:val="auto"/>
        </w:rPr>
        <w:t>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w:t>
      </w:r>
    </w:p>
    <w:p>
      <w:pPr>
        <w:ind w:right="100"/>
        <w:spacing w:after="0" w:line="255" w:lineRule="auto"/>
        <w:rPr>
          <w:sz w:val="20"/>
          <w:szCs w:val="20"/>
          <w:color w:val="auto"/>
        </w:rPr>
      </w:pPr>
      <w:r>
        <w:rPr>
          <w:rFonts w:ascii="Arial" w:cs="Arial" w:eastAsia="Arial" w:hAnsi="Arial"/>
          <w:sz w:val="18"/>
          <w:szCs w:val="18"/>
          <w:color w:val="auto"/>
        </w:rPr>
        <w:t>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2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penalties or significant fines and harm our business and reputation.</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including Cuba, Iran, North Korea, Syria and the Crimea region of Ukraine (“Crimea”) as well as specifically targeted individuals and entities that are identified on U.S. and other blacklists, and those owned by them or those acting on their behalf. Anti-corruption laws, including the U.S. Foreign Corrupt Practices Act (the “FCPA”) and the U.K. Bribery Act (the “Bribery Act”), generally prohibit direct or indirect corrupt payments to government officials and, under certain laws, private persons to obtain or retain business or an improper business advantage. Some of our international operations are conducted in parts of the world, including Ukraine, Philippines and China, where it is common to engage in business practices that are prohibited by these laws.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we have policies and procedures in place designed to promote compliance with laws and regulations, which we review and update as we expand our operations in existing and new jurisdictions in order to proportionately address risks of non-compliance with applicable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9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we expand our operations in existing and new jurisdictions internationally, we will need to increase the scope of our compliance programs to address the risks relating to the potential for violations of the FCPA and the Bribery Act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products or services, reduce net revenue, increase costs or subject us to additional liabilities. Anti-corruption and anti-bribery laws have been enforced aggressively in recent years, are interpreted broadly and prohibit companies and their employees and agents from promising, authorizing, making, offering, soliciting or accepting improper payments or other benefits to or from government officials and others in the private sector. As we increase our international sales and business, particularly in countries with a low score on the Corruptions Perceptions Index by Transparency International and increase our use of third-party business partners such as sales agents, distributors, resellers or consultants, our risks under these laws may increase. Under these laws, we could be held liable for the corrupt or other illegal activities of our employees, representatives, contractors, business partners and agents, even if we do not explicitly authorize or have actual knowledge of such activities. Noncompliance with these laws could subject us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require us to appoint an independent compliance monitor, which can result in added costs and administrative burdens. Any investigations, actions, sanctions or other previously mentioned harm could have a material negative effect on our business,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Relating to the Ownership of our Common Stock</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or smaller reporting companies could make our common stock less attractive to investors.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intend to take advantage of exemptions from various reporting requirements applicable to other public companies but not to “emerging growth companies,” including:</w:t>
      </w:r>
    </w:p>
    <w:p>
      <w:pPr>
        <w:spacing w:after="0" w:line="62" w:lineRule="exact"/>
        <w:rPr>
          <w:sz w:val="20"/>
          <w:szCs w:val="20"/>
          <w:color w:val="auto"/>
        </w:rPr>
      </w:pPr>
    </w:p>
    <w:p>
      <w:pPr>
        <w:ind w:left="1020" w:right="620" w:hanging="37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permission to delay adopting new or revised accounting standards until such time as those standards apply to private companies;</w:t>
      </w:r>
    </w:p>
    <w:p>
      <w:pPr>
        <w:spacing w:after="0" w:line="155" w:lineRule="exact"/>
        <w:rPr>
          <w:rFonts w:ascii="Arial" w:cs="Arial" w:eastAsia="Arial" w:hAnsi="Arial"/>
          <w:sz w:val="17"/>
          <w:szCs w:val="17"/>
          <w:color w:val="auto"/>
        </w:rPr>
      </w:pPr>
    </w:p>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44" w:lineRule="exact"/>
        <w:rPr>
          <w:rFonts w:ascii="Arial" w:cs="Arial" w:eastAsia="Arial" w:hAnsi="Arial"/>
          <w:sz w:val="18"/>
          <w:szCs w:val="18"/>
          <w:color w:val="auto"/>
        </w:rPr>
      </w:pPr>
    </w:p>
    <w:p>
      <w:pPr>
        <w:ind w:left="1020" w:right="20" w:hanging="37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2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intend to take advantage of these and other exemptions until we are no longer an “emerging growth company”. Under the Jumpstart Our Business Startups Act of 2012 (the “JOBS Act”), we will remain an emerging growth company until the earliest of:</w:t>
      </w:r>
    </w:p>
    <w:p>
      <w:pPr>
        <w:spacing w:after="0" w:line="170" w:lineRule="exact"/>
        <w:rPr>
          <w:sz w:val="20"/>
          <w:szCs w:val="20"/>
          <w:color w:val="auto"/>
        </w:rPr>
      </w:pPr>
    </w:p>
    <w:p>
      <w:pPr>
        <w:ind w:left="1020" w:hanging="37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$1.07 billion or more;</w:t>
      </w:r>
    </w:p>
    <w:p>
      <w:pPr>
        <w:spacing w:after="0" w:line="252" w:lineRule="exact"/>
        <w:rPr>
          <w:rFonts w:ascii="Arial" w:cs="Arial" w:eastAsia="Arial" w:hAnsi="Arial"/>
          <w:sz w:val="18"/>
          <w:szCs w:val="18"/>
          <w:color w:val="auto"/>
        </w:rPr>
      </w:pPr>
    </w:p>
    <w:p>
      <w:pPr>
        <w:ind w:left="1020" w:hanging="37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completion of our initial public offering, or December 31, 2024;</w:t>
      </w:r>
    </w:p>
    <w:p>
      <w:pPr>
        <w:spacing w:after="0" w:line="252" w:lineRule="exact"/>
        <w:rPr>
          <w:rFonts w:ascii="Arial" w:cs="Arial" w:eastAsia="Arial" w:hAnsi="Arial"/>
          <w:sz w:val="18"/>
          <w:szCs w:val="18"/>
          <w:color w:val="auto"/>
        </w:rPr>
      </w:pPr>
    </w:p>
    <w:p>
      <w:pPr>
        <w:ind w:left="1020" w:hanging="378"/>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on which we have issued, during the previous three-year period, more than $1.0 billion in non-convertible debt securities; and</w:t>
      </w:r>
    </w:p>
    <w:p>
      <w:pPr>
        <w:spacing w:after="0" w:line="263" w:lineRule="exact"/>
        <w:rPr>
          <w:rFonts w:ascii="Arial" w:cs="Arial" w:eastAsia="Arial" w:hAnsi="Arial"/>
          <w:sz w:val="17"/>
          <w:szCs w:val="17"/>
          <w:color w:val="auto"/>
        </w:rPr>
      </w:pPr>
    </w:p>
    <w:p>
      <w:pPr>
        <w:ind w:left="1020" w:right="60" w:hanging="378"/>
        <w:spacing w:after="0" w:line="296"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date on which we are deemed to be a “large accelerated filer” under the Securities Exchange Act of 1934, as amended (the “Exchange Act”), (i.e., the first day of the fiscal year after we have (1) more than $700.0 million in outstanding common equity held by our non-affiliates, measured each year on the last day of our second fiscal quarter, (2) been public for at least 12 months, and (3) are not eligible to be deemed a “smaller reporting company” because we do not meet the revenue test of the definition of “smaller reporting company”, which includes an initial determination that our annual revenues are more than $100.0 million for the most recently completed fiscal year).</w:t>
      </w:r>
    </w:p>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by our reliance on any of the exemptions afforded emerging growth companies. If some investors find our common stock less attractive because we rely on these exemptions, there may be a less active trading market for our common stock and the market price of our common stock may be more volatile.</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5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(excluding the exemption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Market volatility may affect the value of an investment in our common stock and could subject us to litigation.</w:t>
      </w:r>
    </w:p>
    <w:p>
      <w:pPr>
        <w:spacing w:after="0" w:line="1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approximately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color w:val="auto"/>
        </w:rPr>
        <w:t>$5.56 to $33.85 per share from January 1, 2020 to March 5, 2021.The market price of our common stock could be subject to wide fluctuations in response to many risk factors listed in this section, and others beyond our control, including:</w:t>
      </w:r>
    </w:p>
    <w:p>
      <w:pPr>
        <w:spacing w:after="0" w:line="62" w:lineRule="exact"/>
        <w:rPr>
          <w:sz w:val="20"/>
          <w:szCs w:val="20"/>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perceived impact on our business due to the COVID-19 pandemic;</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and any changes in projected operational and financial results;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offerings by us or our competitors;</w:t>
      </w:r>
    </w:p>
    <w:p>
      <w:pPr>
        <w:spacing w:after="0" w:line="144" w:lineRule="exact"/>
        <w:rPr>
          <w:rFonts w:ascii="Arial" w:cs="Arial" w:eastAsia="Arial" w:hAnsi="Arial"/>
          <w:sz w:val="18"/>
          <w:szCs w:val="18"/>
          <w:color w:val="auto"/>
        </w:rPr>
      </w:pPr>
    </w:p>
    <w:p>
      <w:pPr>
        <w:ind w:left="1020" w:right="500" w:hanging="37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capital-raising activities or commitments;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reaction to our press releases and filings with the SEC;</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operating performance and the valuation of companies perceived by investors to be comparable to us;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contractual lock-up periods, including in connection with acquisition transactions;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common stock by the Company’s executives;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 and</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 and you may not be able to resell your common stock at a desired market price.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shares of common stock began trading on the Nasdaq Capital Market on June 12, 2019. Prior to our IPO, there was no public market for our common stock. Although our common stock is listed on the Nasdaq Capital Market, an active trading market for our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right="80"/>
        <w:spacing w:after="0" w:line="259" w:lineRule="auto"/>
        <w:rPr>
          <w:sz w:val="20"/>
          <w:szCs w:val="20"/>
          <w:color w:val="auto"/>
        </w:rPr>
      </w:pPr>
      <w:r>
        <w:rPr>
          <w:rFonts w:ascii="Arial" w:cs="Arial" w:eastAsia="Arial" w:hAnsi="Arial"/>
          <w:sz w:val="18"/>
          <w:szCs w:val="18"/>
          <w:color w:val="auto"/>
        </w:rPr>
        <w:t>shares may not be sustained. If an active market for our common stock is not sustained, you may not be able to sell your shares quickly or at a desired market price. If no active trading market for our common stock is sustained, you may be unable to sell your shares when you wish to sell them or at a price that you consider attractive or satisfactory. The lack of an active market may also adversely affect our ability to raise capital by selling securities in the future or impair our ability to acquire businesses or technologies using our shares as consideration.</w:t>
      </w:r>
    </w:p>
    <w:p>
      <w:pPr>
        <w:spacing w:after="0" w:line="29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market size and forecasts of market growth included in our publicly-filed documents may prove to be inaccurate, and even if the market in which we compete achieves the forecasted growth, our business could fail to grow at similar rates, if at all.</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opportunity, size estimates and growth forecasts included in our publicly-filed documents are subject to significant uncertainty and are based on assumptions and estimates that may not prove to be accurate. For example, several of the reports and data on which our estimates and forecasts are based rely on projections of consumer adoption and incorporate data from secondary sources such as company websites as well as industry, trade and government publications.</w:t>
      </w:r>
    </w:p>
    <w:p>
      <w:pPr>
        <w:spacing w:after="0" w:line="1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Net revenue and operating results are difficult to forecast because they generally depend on the volume, timing and type of orders we receive, all of which are uncertain. We base our expense levels and investment plans on our estimates of total net revenue and gross margins using human judgment combined with our machine learning, natural language processing and data analytics. We cannot be sure the same growth rates, trends and other key performance metrics are meaningful predictors of future growth. If our assumptions and calculations prove to be wrong, we may spend more than we anticipate acquiring and retaining customers or may generate less net revenue than anticipated, any of which could have a negative impact on our business and results of operations. In addition, as we enter a new consumer product market, we may initially provide discounts to customers to gain market traction, and the amount and effect of these discounts may vary greatly. Finally, we are evaluating our total addressable market with respect to new product offerings and new markets. These estimates of total addressable market and growth forecasts are subject to significant uncertainty, are based on assumptions and estimates that may not prove to be accurate and are based on data published by third parties that we have not independently verified. Even if the market in which we compete meets the size estimates and growth forecasted in our publicly-filed documents, our business could fail to grow at similar rates, if at all.</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business is also affected by general economic and business conditions in the U.S., and we anticipate that it will be increasingly affected by conditions in international markets. In addition, we experience seasonal trends in our business, and our mix of product offerings is highly variable from day-to-day and quarter-to-quarter. This variability makes it difficult to predict sales and could result in significant fluctuations in our net revenue from period-to-period. A significant portion of our expenses is fixed, and as a result, we may be unable to adjust our spending in a timely manner to compensate for any unexpected shortfall in net revenue. Any failure to accurately predict net revenue or gross margins could cause our operating results to be lower than expected, which could materially adversely affect our financial condition and stock price.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and issuances of our capital stock, or the perception that such sales may occur, could cause our stock price to decline.</w:t>
      </w:r>
    </w:p>
    <w:p>
      <w:pPr>
        <w:spacing w:after="0" w:line="1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issue additional securities following the date of this Annual Report on Form 10-K.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to continue to issue shares of our common stock in connection with acquisitions which could result in substantial dilution in the event such acquisitions are not accretive. In connection with the acquisition of the Smash Assets, we issued 4,220,000 shares of common stock, which we agreed to register for resale with the SEC. In connection with the acquisition of the Healing Solutions Assets, we issued 1,387,759 shares of common stock, which we agreed to register for resale with the SEC. In addition, pursuant to a letter agreement with High Trail SA entered into on February 8, 2021, we agreed to prepare and file by March 26, 2021 a registration statement with the SEC for the purpose of registering for resale 980,000 shares of common stock issued to High Trail SA pursuant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00"/>
        <w:spacing w:after="0" w:line="311" w:lineRule="auto"/>
        <w:rPr>
          <w:sz w:val="20"/>
          <w:szCs w:val="20"/>
          <w:color w:val="auto"/>
        </w:rPr>
      </w:pPr>
      <w:r>
        <w:rPr>
          <w:rFonts w:ascii="Arial" w:cs="Arial" w:eastAsia="Arial" w:hAnsi="Arial"/>
          <w:sz w:val="16"/>
          <w:szCs w:val="16"/>
          <w:color w:val="auto"/>
        </w:rPr>
        <w:t>the exercise of a warrant and 1,884,133 shares of common stock underlying a warrant issued to High Trail SA. Registration of these shares under the Securities Act of 1933, as amended (the “Securities Act”) will result in such shares becoming freely tradable without restriction under the Securities Act, subject to certain other conditions. Any sale of these shares could have a materially adverse effect on the trading price of our common stock.</w:t>
      </w: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there are substantial sales of shares of our common stock, or the market perception that such sales may occur, the price of our common stock could decline.</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we intend to file one or more registration statements to register the shares of common stock subject to outstanding options under our equity incentive plans and the shares reserved for awards available for future issuance under our equity incentive plans. Shares registered on these registration statements would be eligible for sale to the public, subject to certain legal and contractual limitations. 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In addition, the Credit Facility and the Notes contain restrictive covenants that limit our ability to pay dividends. Consequently, stockholders must rely on sales of their common stock after price appreciation as the only way to realize any future gains on their investment.</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March 5, 2021, our executive officers, directors and the holders of more than 5% of our outstanding common stock in the aggregate beneficially own approximately 51% of our common stock. This concentrated control limits your ability to influence 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 In addition, as further described below, the Company has entered into voting agreements with a number of parties in connection with its initial public offering and in connection with acquisition transactions. The Company may elect to release one or more parties from voting agreements which could also limit your ability to influence corporate matters for the foreseeable future.</w:t>
      </w:r>
    </w:p>
    <w:p>
      <w:pPr>
        <w:spacing w:after="0" w:line="18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MV II, LLC, Dr. Larisa Storozhenko and Mr. Maximus Yaney (collectively, the “Designating Parties”) have entered into a voting agreement with Asher Delug and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 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 however, a Deemed Liquidation Event shall not include any transaction effected primarily to raise capital for us or a spin-off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ind w:right="160"/>
        <w:spacing w:after="0" w:line="259" w:lineRule="auto"/>
        <w:rPr>
          <w:sz w:val="20"/>
          <w:szCs w:val="20"/>
          <w:color w:val="auto"/>
        </w:rPr>
      </w:pPr>
      <w:r>
        <w:rPr>
          <w:rFonts w:ascii="Arial" w:cs="Arial" w:eastAsia="Arial" w:hAnsi="Arial"/>
          <w:sz w:val="18"/>
          <w:szCs w:val="18"/>
          <w:color w:val="auto"/>
        </w:rPr>
        <w:t>similar divestiture of our product or PaaS business as part of a reorganization of us approved by our board of directors. In addition, the rights and obligations under the Restated Voting Agreement will terminate with respect to shares of capital stock sold by a Designating Party in connection with any arm’s length transaction to a third-party that is not a Designating Party, an affiliate of a Designating Party or any other individual or party that has a direct or indirect familial relationship with any Designating Party.</w:t>
      </w:r>
    </w:p>
    <w:p>
      <w:pPr>
        <w:spacing w:after="0" w:line="18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On April 12, 2019, Asher Delug entered into a voting agreement with us on substantially the same terms as the Restated Voting Agreement (the “Delug Voting Agreement”), pursuant to which Mr. Delug agreed to relinquish the right to vote his shares of capital stock of, and any other equity interest in, us (collectively, the “Delug Voting Interests”) by granting our board of directors the sole right to vote all of the Delug Voting Interests as Mr. Delug’s proxyholder. The Delug Voting Interests include all shares of our common stock currently held by Mr. Delug, as well as any of our securities or other equity interests acquired by Mr. Delug in the future. Pursuant to the proxy granted by Mr. Delug, our board of directors is required to vote all of the Delug Voting Interests in direct proportion to the voting of the shares and equity interests voted by all holders other than Mr. Delug. The proxy granted by</w:t>
      </w:r>
    </w:p>
    <w:p>
      <w:pPr>
        <w:spacing w:after="0" w:line="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Mr. Delug under the Delug Voting Agreement is irrevocable. In addition, the Delug Voting Agreement proxyholder may not be changed unless we receive the prior approval of The Nasdaq Stock Market LLC.</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Delug Voting Agreement became effective on June 12, 2019, and it will continue until the earlier to occur of (a) a Deemed Liquidation Event unless, immediately upon such Deemed Liquidation Event, our common stock is and remains listed on The Nasdaq Stock Market LLC, or (b) Mr. Delug’s death. The definition of “Deemed Liquidation Event” in the Delug Voting Agreement is the same as the definition in the Restated Voting Agreement. In addition, the rights and obligations under the Delug Voting Agreement will terminate with respect to shares of capital stock sold by Mr. Delug in connection with any arm’s length transaction to a third-party that is not an affiliate of Mr. Delug or any other individual or party that has a direct or indirect familial relationship with Mr. Delug.</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1, 2020, 9830 Macarthur LLC (“9830”), one of the sellers of the Smash Assets, entered into a lock-up, voting and standstill agreement with us, pursuant to which 9830 agreed that until December 1, 2025, 9830 will, among other things, vote at each annual or special meeting of our stockholders all shares of common stock held by 9830 in accordance with the recommendations of our board of directors on each matter presented to our stockholders at such meeting.</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2, 2021, Healing Solutions, LLC (“Healing Solutions”), the seller of the Healing Solutions Assets, entered into a lock-up, voting and standstill agreement with us, pursuant to which Healing Solutions agreed that until August 2, 2021, Healing Solutions will, among other things, vote at each annual or special meeting of our stockholders all shares of common stock held by Healing Solutions in accordance with the recommendations of our board of directors on each matter presented to our stockholders at such meeting.</w:t>
      </w:r>
    </w:p>
    <w:p>
      <w:pPr>
        <w:spacing w:after="0" w:line="1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February 9, 2021, each of our executive officers and members of our board of directors, in his or her capacity as a stockholder of us, entered into a voting agreement (collectively, the “</w:t>
      </w:r>
      <w:r>
        <w:rPr>
          <w:rFonts w:ascii="Arial" w:cs="Arial" w:eastAsia="Arial" w:hAnsi="Arial"/>
          <w:sz w:val="16"/>
          <w:szCs w:val="16"/>
          <w:u w:val="single" w:color="auto"/>
          <w:color w:val="auto"/>
        </w:rPr>
        <w:t>Voting Agreements</w:t>
      </w:r>
      <w:r>
        <w:rPr>
          <w:rFonts w:ascii="Arial" w:cs="Arial" w:eastAsia="Arial" w:hAnsi="Arial"/>
          <w:sz w:val="16"/>
          <w:szCs w:val="16"/>
          <w:color w:val="auto"/>
        </w:rPr>
        <w:t>”) pursuant to which he or she agreed to vote, at an annual or special meeting of stockholders, all shares of common stock that he or she holds in favor of certain proposals, including proposals to issue shares of common stock in excess of the limitations imposed by Nasdaq Listing Standard Rule 5635(a) and/or 5635(d) pursuant to a warrant issued to High Trail SA on February 9, 2021 to purchase 750,000 shares of common stock, the December Note, the February Note, a warrant issued to High Trail ON on February 2, 2021 to purchase 469,931 shares of common stock and that certain Asset Purchase Agreement, dated February 2, 2021, by and among us and Truweo, LLC, as Purchaser, Healing Solutions, Jason R. Hope, and for the purposes of Section 5.11 and Article VII, Super Transcontinental Holdings LLC.</w:t>
      </w:r>
    </w:p>
    <w:p>
      <w:pPr>
        <w:spacing w:after="0" w:line="27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the General Corporation Law of the State of Delaware (the “DGCL”) could make an acquisition of us more difficult and may prevent attempts by our stockholders to replace or remove our management.</w:t>
      </w:r>
    </w:p>
    <w:p>
      <w:pPr>
        <w:spacing w:after="0" w:line="3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because we are incorporated in Delaware, we are governed by the provisions of Section 203 of the DGCL, which prohibits stockholders owning in excess of 15% of the outstanding combined organization voting stock from merging or combining with the combined organization.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then-current management by making it more difficult for stockholders to replace members of our board of directors, which is responsible for appointing the members of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could discourage, delay or prevent a change in control of us and may affect the trading price of our common stock.</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shares of our capital stock to a potential acquirer or delay or prevent changes in control or changes in our management without the consent of our board of directors. Our charter documents include the following provisions:</w:t>
      </w:r>
    </w:p>
    <w:p>
      <w:pPr>
        <w:spacing w:after="0" w:line="76" w:lineRule="exact"/>
        <w:rPr>
          <w:sz w:val="20"/>
          <w:szCs w:val="20"/>
          <w:color w:val="auto"/>
        </w:rPr>
      </w:pPr>
    </w:p>
    <w:p>
      <w:pPr>
        <w:ind w:left="1020" w:right="260" w:hanging="37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jc w:val="both"/>
        <w:ind w:left="1020" w:right="320" w:hanging="37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5" w:lineRule="exact"/>
        <w:rPr>
          <w:rFonts w:ascii="Arial" w:cs="Arial" w:eastAsia="Arial" w:hAnsi="Arial"/>
          <w:sz w:val="18"/>
          <w:szCs w:val="18"/>
          <w:color w:val="auto"/>
        </w:rPr>
      </w:pPr>
    </w:p>
    <w:p>
      <w:pPr>
        <w:ind w:left="1020" w:right="340" w:hanging="37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1020" w:right="140" w:hanging="37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stockholders or a hostile acquirer;</w:t>
      </w:r>
    </w:p>
    <w:p>
      <w:pPr>
        <w:spacing w:after="0" w:line="75" w:lineRule="exact"/>
        <w:rPr>
          <w:rFonts w:ascii="Arial" w:cs="Arial" w:eastAsia="Arial" w:hAnsi="Arial"/>
          <w:sz w:val="18"/>
          <w:szCs w:val="18"/>
          <w:color w:val="auto"/>
        </w:rPr>
      </w:pPr>
    </w:p>
    <w:p>
      <w:pPr>
        <w:ind w:left="1020" w:hanging="37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44" w:lineRule="exact"/>
        <w:rPr>
          <w:rFonts w:ascii="Arial" w:cs="Arial" w:eastAsia="Arial" w:hAnsi="Arial"/>
          <w:sz w:val="18"/>
          <w:szCs w:val="18"/>
          <w:color w:val="auto"/>
        </w:rPr>
      </w:pPr>
    </w:p>
    <w:p>
      <w:pPr>
        <w:ind w:left="1020" w:right="60" w:hanging="378"/>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to adopt, amend or repeal our amended and restated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20" w:right="340" w:hanging="37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20" w:right="240" w:hanging="37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62" w:lineRule="exact"/>
        <w:rPr>
          <w:rFonts w:ascii="Arial" w:cs="Arial" w:eastAsia="Arial" w:hAnsi="Arial"/>
          <w:sz w:val="18"/>
          <w:szCs w:val="18"/>
          <w:color w:val="auto"/>
        </w:rPr>
      </w:pPr>
    </w:p>
    <w:p>
      <w:pPr>
        <w:ind w:left="1020" w:right="60" w:hanging="37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the chairperson of the board of directors, the chief executive officer or the president (in the absence of a chief executive officer)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1020" w:hanging="37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These provisions could discourage, delay or prevent a transaction involving a change in control of us. These provisions could also discourage proxy contests and make it more difficult for stockholders to elect directors of their choosing and cause us to take other corporate actions our stockholders desire.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the Exchange Act or any other claim for which the federal courts have exclusive jurisdiction. These choices of forum provisions may limit a stockholder’s ability to bring a claim in a judicial forum that it finds favorable for disputes with us or our directors, officers or other employees, which may discourage such lawsuits against us and our directors, officers and other employees. In addition, stockholders who do bring a claim in the Court of Chancery of the State of Delaware could face additional litigation costs in pursuing any such claim, particularly if they do not reside in or near Delaware.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management team continues to adapt to the additional demands of being a public company and still has limited experience managing a public company.</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chief executive officer has limited experience managing a public company, interacting with public company investors and complying with the increasingly complex laws pertaining to public companies. Additionally, our management team, as a whole, is adapting to and learning how to efficiently manage being a public company subject to significant regulatory oversight and reporting obligations under the federal securities laws and the continuous scrutiny of securities analysts and investors. These obligations and constituents require significant attention from our senior management, particularly from our chief executive officer, and could divert their attention away from the day-to-day management of our business, which could adversely affect our business, operating results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discontinue research coverage, or publish inaccurate or unfavorable research about us, our business or our market, or if they change their recommendations regarding our common stock adversely, the trading price or trading volume of our common stock could decline.</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trading market for our common stock will be influenced in part by the research and reports that securities or industry analysts may publish about us, our business, our market or our competitors. If one or more of the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For example, we are subject to the reporting requirements of the Exchange Act and are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and changes in corporate governance practices. Our compliance with these requirements increase our legal and financial compliance costs and make some activities more time consuming and costly. In addition, our management and other personnel need to divert attention from operational and other business matters to devote substantial time to these public company requirements. In particular, we incur significant expenses and devote substantial management effort toward ensuring compliance with the requirements of Section 404 of the Sarbanes-Oxley Act, which will increase when we are no longer an emerging growth company, as defined by the JOBS Act. We will need to hire additional accounting and financial staff with appropriate public company experience and technical accounting knowledge and maintain an internal audit function. We cannot predict or estimate the amount of additional costs we may incur as a result of operating as a public company or the timing of such costs.</w:t>
      </w:r>
    </w:p>
    <w:p>
      <w:pPr>
        <w:spacing w:after="0" w:line="1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believe that being a public company makes it expensive for us to obtain director and officer liability insurance, and we may be required to accept reduced coverage or incur substantially higher costs to obtain coverage. These factors could also make it more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difficult for us to attract and retain qualified members of our board of directors, particularly to serve on our audit committee and compensation committee, and qualified executive officers.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disclosure of information in our publicly-filed documents, our business and financial condition has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29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Any significant disruption in or unauthorized access to our computer systems or those of third parties that we utilize in our operations, including those relating to cybersecurity or arising from cyber-attacks, could result in a loss or degradation of service, unauthorized disclosure of data, or theft of intellectual property, including digital content assets, which could adversely impact our business.</w:t>
      </w:r>
    </w:p>
    <w:p>
      <w:pPr>
        <w:spacing w:after="0" w:line="5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business is dependent upon the reliable performance and security of our computer systems and those of third parties that we utilize in our operations. These systems may be subject to damage or interruption from, among other things, earthquakes, adverse weather conditions, other natural disasters, terrorist attacks, rogue employees, power loss, telecommunications failures, and cybersecurity risks. Interruptions in these systems, or with the internet in general, could make our service unavailable or degraded or otherwise hinder our ability to operate. Service interruptions, errors in our software or the unavailability of computer systems used in our operations could diminish our overall results.</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computer systems and those of third parties we use in our operations are subject to cybersecurity threats, including cyber-attacks such as computer viruses, denial of service attacks, physical or electronic break-ins and similar disruptions. These systems could experience directed attacks which may lead to interruptions and delays in our operations as well as loss, misuse or theft of personal information and other data, confidential information or intellectual property. Additionally, outside parties may attempt to induce employees or users to disclose sensitive or confidential information in order to gain access to data. Any attempt by hackers to obtain our data or intellectual property (including digital content assets), disrupt our operations, or otherwise access our systems, or those of third parties we use, if successful, could harm our business, be expensive to remedy and damage our reputation. We have implemented certain systems and processes to thwart hackers and protect our data and systems, but the techniques used to gain unauthorized access to data and software are constantly evolving, and we may be unable to anticipate or prevent unauthorized access. There is no assurance that hackers may not have a material impact on our service or systems in the future. Efforts to prevent hackers from disrupting our service or otherwise accessing our systems are expensive to develop, implement and maintain. These efforts require ongoing monitoring and updating as technologies change and efforts to overcome security measures become more sophisticated and may negatively impact our financial results. Any significant disruption to our service or access to our systems could result in a loss of sales and adversely affect our business and results of operation. Further, a penetration of our systems or a third-party’s systems or other misappropriation or misuse of personal information could subject us to business, regulatory, litigation and reputation risk, which could have a negative effect on our business, financial condition, and results of operations.</w:t>
      </w:r>
    </w:p>
    <w:p>
      <w:pPr>
        <w:spacing w:after="0" w:line="27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As a result of our failure to timely file certain financial statements relating to the Smash Assets, we are currently ineligible to file new short form registration statements on Form S-3 or to have resale registration statements declared effective in a timely manner, which may impair our ability to raise capital on terms favorable to us, in a timely manner or at all, or in the case of resale registration statements, could result in an event of default under our credit facilities or a breach of existing obligations to shareholders with registration rights.</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register securities for resale may also be limited as a result of the loss of Form S-3 eligibility.</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SEC rules required us to file certain financial statements relating to the Smash Assets (the “Smash Financial Statements”) no later than February 16, 2021. As of the date of the filing of this Annual Report, we have not yet filed the Smash Financial Statements, and are working diligently to file such financial statements. As a result of our failure to timely file the Smash Financial Statements, we are not currently permitted to use our existing registration statement on Form S-3. As a consequence, absent a waiver of the Form S-3 eligibility requirements, we are not permitted to sell all of the amount of our common stock or other securities we could otherwise sell, which could adversely affect our ability to run our operations and progress our product development programs. We also will not be permitted to conduct an “at the market offering” absent an effective primary registration statement on Form S-3.</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6"/>
          <w:szCs w:val="16"/>
          <w:color w:val="auto"/>
        </w:rPr>
        <w:t>Our inability to use Form S-3 may significantly impair our ability to raise necessary capital to run our operations and progress our product development programs.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Further we may be unable to have our Form S-1 registration statement, or any other resale registration statements that we are required to file, declared effective in the event that the Smash Financial Statements have not been filed. In the event we are unable to file such resale registration statements, and are unable to obtain a waiver, this would result in an event of default under our credit facilities and a breach of our obligations to shareholders who have registration rights, which could have a material adverse impact on our financial condition and business or could lead to substantial dilution. Disclosing a public offering prior to the formal commencement of an offering may result in downward pressure on our stock price. If we are unable to raise capital through a registered offering, we would be required to conduct our equity financing transactions on a private placement basis, which may be subject to pricing, size and other limitations imposed under the rules of The Nasdaq Stock Market LLC, or seek other sources of capital.</w:t>
      </w:r>
    </w:p>
    <w:p>
      <w:pPr>
        <w:spacing w:after="0" w:line="17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Absent a waiver of the Form S-3 eligibility requirements and assuming we continue to timely file our required Exchange Act reports after the Smash Financial Statements are filed, the earliest we would regain the ability to use Form S-3 is 12 months from the date we file the Smash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offices, including shared workspaces, in five locations.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New York office with approximately 5,200 square feet of space is our corporate headquarters and leased for a term of one year initially expiring in March 2021. In March 2021, we extended our New York office lease by two years. Our China office is leased for a term of two years expiring in June 2021 and our Poland office with approximately 5000 square feet of space is leased through July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other offices are either shared workspaces or leases with a short-term commitment (month to month).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Capital Market under the symbol “MWK”.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approximately 144 holders of record of our common stock.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(the “Exchange Act”), and are not required to provide a performance 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intend to retain any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after considering our financial condition, results of operations, capital requirements, business prospects and other factors our board of directors or such committee deems relevant, and subject to the restrictions contained in our current or future financing instruments.</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the Amended and Restated Credit and Security Agreement, dated as of November 23, 2018, with MidCap Funding X Trust as Agent (“MidCap”) and the lenders party thereto, as amended (the “MidCap Credit Agreement”), we are prohibited from paying any dividends without the prior written consent of MidCap. Additionally, pursuant to the Note issued to High Trail on November 30, 2020, we are prohibited from paying any dividends without the prior written consent of High Trail. Further, pursuant to the convertible promissory note issued to High Trail Investments ON LLC (“High Trail ON”) on February 2, 2021, we are prohibited from paying any dividends without the prior written consent of High Trail 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Item 12 of Part III of this Annual Report on Form 10-K regarding information about securities authorized for issuance under our equity compensation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not required to provide the information required under this item as per the amendments to Regulation S-K that eliminate Item 301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contains forward-looking statements that involve a number of risks, uncertainties and assumptions. Actual events or results may differ materially from our expectations. Important factors that could cause actual results to differ materially from those stated or implied by our forward-looking statements include, but are not limited to, those set forth in Part I, “Item 1A. Risk Factors” in this Annual Report on Form 10-K. All forward-looking statements included in this Annual Report on Form 10-K are based on information available to us as of the time we file this Annual Report on Form 10-K and, except as required by law, we undertake no obligation to update publicly or revise any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Mohawk is a rapidly growing technology-enabled consumer products company that uses machine learning, natural language processing, and data analytics to design, develop, market and sell products. Mohawk was founded on the premise that if a company selling consumer packaged goods was founded today, it would apply AI and machine learning, the synthesis of massive quantities of data and the use of social proof to validate high caliber product offerings as opposed to over-reliance on brand value and other traditional marketing tactics. Today, we predominantly operates through online retail channels such as Amazon and Walmart.</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launched and sold hundreds of SKUs on e-commerce platforms. Through the success of a number of those products we have incubated our own brands. We also have recently started to purchase brands and products when we believe it is more advantageous. Today, we own and operate eleven brands which sell products in multiple categories, including home and kitchen appliances, kitchenware, heating, cooling and air quality appliances (dehumidifiers, humidifiers and air conditioners), and health and beauty products. Our eleven brands include, hOmeLabs; Vremi, Xtava; RIF6; Aussie Health; Holonix; Truweo; Mueller; Pursteam; Pohl and Schmitt; and Spiralizer. On February 2, 2021, we acquired the assets of Healing Solutions, LLC, an online seller of essential oils.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and changes in our product mix.</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62" w:lineRule="exact"/>
        <w:rPr>
          <w:sz w:val="20"/>
          <w:szCs w:val="20"/>
          <w:color w:val="auto"/>
        </w:rPr>
      </w:pPr>
    </w:p>
    <w:p>
      <w:pPr>
        <w:ind w:left="1020" w:right="80" w:hanging="378"/>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 goods sold, less fulfillment, online advertising and selling expenses. These costs primarily reflect the estimated variable costs related to the sale of a product.</w:t>
      </w:r>
    </w:p>
    <w:p>
      <w:pPr>
        <w:spacing w:after="0" w:line="78" w:lineRule="exact"/>
        <w:rPr>
          <w:rFonts w:ascii="Arial" w:cs="Arial" w:eastAsia="Arial" w:hAnsi="Arial"/>
          <w:sz w:val="18"/>
          <w:szCs w:val="18"/>
          <w:color w:val="auto"/>
        </w:rPr>
      </w:pPr>
    </w:p>
    <w:p>
      <w:pPr>
        <w:ind w:left="1020" w:right="360" w:hanging="378"/>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1020" w:right="20" w:hanging="378"/>
        <w:spacing w:after="0" w:line="25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As of the date of this Annual Report on Form 10-K, none of our products have achieved the milk phase and we can provide no assurance that any of our products will do so in the future.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 During the second quarter of 2020, we changed how we procure and order products, including our products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right="80"/>
        <w:spacing w:after="0" w:line="296" w:lineRule="auto"/>
        <w:rPr>
          <w:sz w:val="20"/>
          <w:szCs w:val="20"/>
          <w:color w:val="auto"/>
        </w:rPr>
      </w:pPr>
      <w:r>
        <w:rPr>
          <w:rFonts w:ascii="Arial" w:cs="Arial" w:eastAsia="Arial" w:hAnsi="Arial"/>
          <w:sz w:val="16"/>
          <w:szCs w:val="16"/>
          <w:color w:val="auto"/>
        </w:rPr>
        <w:t>the launch phase, by reducing the targeted inventory on hand. For products in the launch phase in particular, we have reduced our initial order quantities to reduce exposure related to product launches which do not meet expectations. This reduced order quantity may impact the time needed for a product to reach the sustain phase and may increase the cost of online advertising and other promotional programs related to product launches, but we believe this reduces the working capital impact from product launches, including product launches which may not meet expectations. In addition, we may shift our focus towards launching a fewer number of products that we believe have larger addressable market opportunities.</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shows the number of launches of new products included in our net revenue which have achieved, or are expected to achieve, more than $0.5 million in net revenue per year. The growth in our direct net revenue (i.e., direct-to-consumer sales) versus the comparable prior year period is the period over period growth of direct sales channel.</w:t>
      </w:r>
    </w:p>
    <w:p>
      <w:pPr>
        <w:spacing w:after="0" w:line="200" w:lineRule="exact"/>
        <w:rPr>
          <w:sz w:val="20"/>
          <w:szCs w:val="20"/>
          <w:color w:val="auto"/>
        </w:rPr>
      </w:pPr>
    </w:p>
    <w:p>
      <w:pPr>
        <w:spacing w:after="0" w:line="205"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Year-Ended</w:t>
      </w:r>
    </w:p>
    <w:p>
      <w:pPr>
        <w:jc w:val="center"/>
        <w:ind w:left="6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6"/>
        </w:trPr>
        <w:tc>
          <w:tcPr>
            <w:tcW w:w="65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10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r>
      <w:tr>
        <w:trPr>
          <w:trHeight w:val="156"/>
        </w:trPr>
        <w:tc>
          <w:tcPr>
            <w:tcW w:w="6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106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32</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r>
      <w:tr>
        <w:trPr>
          <w:trHeight w:val="215"/>
        </w:trPr>
        <w:tc>
          <w:tcPr>
            <w:tcW w:w="7540" w:type="dxa"/>
            <w:vAlign w:val="bottom"/>
            <w:gridSpan w:val="2"/>
          </w:tcPr>
          <w:p>
            <w:pPr>
              <w:spacing w:after="0"/>
              <w:rPr>
                <w:sz w:val="20"/>
                <w:szCs w:val="20"/>
                <w:color w:val="auto"/>
              </w:rPr>
            </w:pPr>
            <w:r>
              <w:rPr>
                <w:rFonts w:ascii="Arial" w:cs="Arial" w:eastAsia="Arial" w:hAnsi="Arial"/>
                <w:sz w:val="18"/>
                <w:szCs w:val="18"/>
                <w:color w:val="auto"/>
              </w:rPr>
              <w:t>Growth in direct net revenue from direct sales versus comparable previous</w:t>
            </w: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year period</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61.3%</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growth in direct revenue can be impacted by the timing and the season in which products are launched.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derive our revenue from the sale of consumer products, primarily in the United States. We sell products directly to consumers through 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 During the year-ended December 31, 2020, we began to sell PPE to certain states and local governments. PPE net revenue is typically recognized when the goods are delivered to the customer’s warehouse as the control of the products has transferred at that point.</w:t>
      </w:r>
    </w:p>
    <w:p>
      <w:pPr>
        <w:spacing w:after="0" w:line="29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 xml:space="preserve">Cost of Goods Sold— </w:t>
      </w:r>
      <w:r>
        <w:rPr>
          <w:rFonts w:ascii="Arial" w:cs="Arial" w:eastAsia="Arial" w:hAnsi="Arial"/>
          <w:sz w:val="17"/>
          <w:szCs w:val="17"/>
          <w:color w:val="auto"/>
        </w:rPr>
        <w:t>Cost of goods sold is comprised of the book value of inventory sold to customers during the reporting period. When circumstances</w:t>
      </w:r>
      <w:r>
        <w:rPr>
          <w:rFonts w:ascii="Arial" w:cs="Arial" w:eastAsia="Arial" w:hAnsi="Arial"/>
          <w:sz w:val="17"/>
          <w:szCs w:val="17"/>
          <w:b w:val="1"/>
          <w:bCs w:val="1"/>
          <w:color w:val="auto"/>
        </w:rPr>
        <w:t xml:space="preserve"> </w:t>
      </w:r>
      <w:r>
        <w:rPr>
          <w:rFonts w:ascii="Arial" w:cs="Arial" w:eastAsia="Arial" w:hAnsi="Arial"/>
          <w:sz w:val="17"/>
          <w:szCs w:val="17"/>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These increases may affect the way and the amount of product we order. For example, in late 2019 we increased our days of inventory on hand to delay the expected impact on increased cost of goods from tariffs and delay increasing pricing to our end customers until late summer 2020. Ultimately, these tariff increases were not implemented by USTR. If tariff increases are enacted in the future, our pricing actions are intended to offset the full gross margin impact from such tariffs. However, there are no assurances that these pricing actions will not reduce customer orders tariffs are implemented in the future. Further, we can provide no assurances that future tariff increases will not be enacted.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travel-related costs and fees paid to outside consultants related to the development of our intellectual property.</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Sales and Distribution Expenses—</w:t>
      </w:r>
      <w:r>
        <w:rPr>
          <w:rFonts w:ascii="Arial" w:cs="Arial" w:eastAsia="Arial" w:hAnsi="Arial"/>
          <w:sz w:val="18"/>
          <w:szCs w:val="18"/>
          <w:color w:val="auto"/>
        </w:rPr>
        <w:t>Shipping and handling expenses are included in our consolidated statements of operations in sales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This includes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FBM, or through e-commerce platform service providers, i.e., fulfillment by Amazon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40"/>
        <w:spacing w:after="0" w:line="291" w:lineRule="auto"/>
        <w:rPr>
          <w:sz w:val="20"/>
          <w:szCs w:val="20"/>
          <w:color w:val="auto"/>
        </w:rPr>
      </w:pPr>
      <w:r>
        <w:rPr>
          <w:rFonts w:ascii="Arial" w:cs="Arial" w:eastAsia="Arial" w:hAnsi="Arial"/>
          <w:sz w:val="16"/>
          <w:szCs w:val="16"/>
          <w:color w:val="auto"/>
        </w:rPr>
        <w:t>(“FBA”).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In the first quarter of 2020 we added five FBM warehouses to our direct fulfillment platform, enabling FBM One Day Prime delivery for sales through Amazon, for approximately 76% of the U.S., based on our sales history. Expanding our third-party warehouse locations to have greater geographic reach, reduces the average last mile shipping zones to the end customer and as such our speed of delivery improves while our shipping costs to customers decreases, prior to the impacts in shipping providers rates.</w:t>
      </w:r>
    </w:p>
    <w:p>
      <w:pPr>
        <w:spacing w:after="0" w:line="16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Interest Expense, Net</w:t>
      </w:r>
      <w:r>
        <w:rPr>
          <w:rFonts w:ascii="Arial" w:cs="Arial" w:eastAsia="Arial" w:hAnsi="Arial"/>
          <w:sz w:val="18"/>
          <w:szCs w:val="18"/>
          <w:color w:val="auto"/>
        </w:rPr>
        <w:t>—Interest expense, net includes the interest cost from our credit facility and term loan, and includes amortization of deferred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debt discounts from our credit facility with MidCap (the “Credit Facility”), our term loan with Horizon, which was refinanced on December 1, 2020 through a new term loan with High Trail. Also included in interest expense is the net interest and amortization of deferred finance costs, warrant and debt discounts from our term loan with High Trail.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and Changing Prices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that inflation and changing prices have had an immaterial effect on our net revenue or our business, financial condition or results of operations during the years-ended December 31, 2019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Annual Report on Form 10-K have been prepared in a manner that complies, in all material respects, with generally accepted accounting principles in the United States (“GAAP”). However, for the reasons discussed below, we have presented certain non-GAAP measures herein.</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presented the following non-GAAP measures to assist investors in understanding our core net operating results on an on-going basis: (i) Contribution Margin; (ii) Contribution margin as a percentage of net revenue; (iii) Adjusted EBITDA; and (iv) Adjusted EBITDA as a percentage of net revenue. These non-GAAP financial measures may also assist investors in making comparisons of our core operating results with those of other companies.</w:t>
      </w:r>
    </w:p>
    <w:p>
      <w:pPr>
        <w:spacing w:after="0" w:line="1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used herein, Contribution margin represents operating loss plus general and administrative expenses, research and development expenses, fixed sales and distribution expenses, changes in fair-market value of earn-outs and amortization of inventory step-up from acquisitions (included in cost of goods sold).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changes in fair-market value of earn-outs, amortization of inventory step-up from acquisitions (included in cost of goods sold), changes in fair-market value of warrant liability, professional fees related to acquisitions, loss from extinguishment of debt and other expenses, net. As used herein, Adjusted EBTIDA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100"/>
        <w:spacing w:after="0" w:line="271" w:lineRule="auto"/>
        <w:rPr>
          <w:sz w:val="20"/>
          <w:szCs w:val="20"/>
          <w:color w:val="auto"/>
        </w:rPr>
      </w:pPr>
      <w:r>
        <w:rPr>
          <w:rFonts w:ascii="Arial" w:cs="Arial" w:eastAsia="Arial" w:hAnsi="Arial"/>
          <w:sz w:val="17"/>
          <w:szCs w:val="17"/>
          <w:color w:val="auto"/>
        </w:rPr>
        <w:t>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211" w:lineRule="exact"/>
        <w:rPr>
          <w:sz w:val="20"/>
          <w:szCs w:val="20"/>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interest expense or the cash requirements necessary to service interest expense or principal payments, associated with indebtedness;</w:t>
      </w:r>
    </w:p>
    <w:p>
      <w:pPr>
        <w:spacing w:after="0" w:line="263"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 or</w:t>
      </w:r>
    </w:p>
    <w:p>
      <w:pPr>
        <w:spacing w:after="0" w:line="252"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and is expected to remain a key element of our overall long-term incentive compensation package.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70"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and administrative expense necessary to operate our business;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 or</w:t>
      </w:r>
    </w:p>
    <w:p>
      <w:pPr>
        <w:spacing w:after="0" w:line="252"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391"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Year-Ended</w:t>
      </w:r>
    </w:p>
    <w:p>
      <w:pPr>
        <w:jc w:val="cente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5"/>
        </w:trPr>
        <w:tc>
          <w:tcPr>
            <w:tcW w:w="5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755"/>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40" w:type="dxa"/>
            <w:vAlign w:val="bottom"/>
            <w:gridSpan w:val="3"/>
          </w:tcPr>
          <w:p>
            <w:pPr>
              <w:jc w:val="right"/>
              <w:ind w:right="513"/>
              <w:spacing w:after="0" w:line="155" w:lineRule="exact"/>
              <w:rPr>
                <w:sz w:val="20"/>
                <w:szCs w:val="20"/>
                <w:color w:val="auto"/>
              </w:rPr>
            </w:pPr>
            <w:r>
              <w:rPr>
                <w:rFonts w:ascii="Arial" w:cs="Arial" w:eastAsia="Arial" w:hAnsi="Arial"/>
                <w:sz w:val="14"/>
                <w:szCs w:val="14"/>
                <w:color w:val="auto"/>
              </w:rPr>
              <w:t>(in thousands, except percentages)</w:t>
            </w:r>
          </w:p>
        </w:tc>
        <w:tc>
          <w:tcPr>
            <w:tcW w:w="18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rPr>
              <w:t>2,489</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25,123</w:t>
            </w:r>
          </w:p>
        </w:tc>
        <w:tc>
          <w:tcPr>
            <w:tcW w:w="1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(54,191)</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(57,547)</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Adjusted EBITDA</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(19,469)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2,494</w:t>
            </w:r>
          </w:p>
        </w:tc>
        <w:tc>
          <w:tcPr>
            <w:tcW w:w="1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1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Margin</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Contribution margin represents operating loss plus general and administrative expenses, research and development expenses, fixed sales and distribution expenses, changes in fair-market value of earn-outs and amortization of inventory step-up from acquisitions (included in cost of goods sold). Contribution margin as a percentage of net revenue represents Contribution margin divided by net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ind w:right="240"/>
        <w:spacing w:after="0" w:line="277" w:lineRule="auto"/>
        <w:rPr>
          <w:sz w:val="20"/>
          <w:szCs w:val="20"/>
          <w:color w:val="auto"/>
        </w:rPr>
      </w:pPr>
      <w:r>
        <w:rPr>
          <w:rFonts w:ascii="Arial" w:cs="Arial" w:eastAsia="Arial" w:hAnsi="Arial"/>
          <w:sz w:val="18"/>
          <w:szCs w:val="18"/>
          <w:color w:val="auto"/>
        </w:rPr>
        <w:t>revenue. The following table provides a reconciliation of Contribution margin to operating loss, which is the most directly comparable financial measure presented in accordance with GAAP (in thousands, except percentages):</w:t>
      </w:r>
    </w:p>
    <w:p>
      <w:pPr>
        <w:spacing w:after="0" w:line="391"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Year-Ended</w:t>
      </w:r>
    </w:p>
    <w:p>
      <w:pPr>
        <w:jc w:val="center"/>
        <w:ind w:left="64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5"/>
        </w:trPr>
        <w:tc>
          <w:tcPr>
            <w:tcW w:w="63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(54,333)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(34,751)</w:t>
            </w:r>
          </w:p>
        </w:tc>
        <w:tc>
          <w:tcPr>
            <w:tcW w:w="180" w:type="dxa"/>
            <w:vAlign w:val="bottom"/>
            <w:shd w:val="clear" w:color="auto" w:fill="CFF0FC"/>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33,506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30,631</w:t>
            </w:r>
          </w:p>
        </w:tc>
        <w:tc>
          <w:tcPr>
            <w:tcW w:w="180" w:type="dxa"/>
            <w:vAlign w:val="bottom"/>
            <w:shd w:val="clear" w:color="auto" w:fill="CFF0FC"/>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10,661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8,130</w:t>
            </w:r>
          </w:p>
        </w:tc>
        <w:tc>
          <w:tcPr>
            <w:tcW w:w="180" w:type="dxa"/>
            <w:vAlign w:val="bottom"/>
          </w:tcPr>
          <w:p>
            <w:pPr>
              <w:spacing w:after="0"/>
              <w:rPr>
                <w:sz w:val="19"/>
                <w:szCs w:val="19"/>
                <w:color w:val="auto"/>
              </w:rPr>
            </w:pPr>
          </w:p>
        </w:tc>
      </w:tr>
      <w:tr>
        <w:trPr>
          <w:trHeight w:val="215"/>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fixed expenses, including</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12,655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w:t>
            </w:r>
          </w:p>
        </w:tc>
        <w:tc>
          <w:tcPr>
            <w:tcW w:w="180" w:type="dxa"/>
            <w:vAlign w:val="bottom"/>
            <w:shd w:val="clear" w:color="auto" w:fill="CFF0FC"/>
          </w:tcPr>
          <w:p>
            <w:pPr>
              <w:spacing w:after="0"/>
              <w:rPr>
                <w:sz w:val="20"/>
                <w:szCs w:val="20"/>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12,731</w:t>
            </w:r>
          </w:p>
        </w:tc>
        <w:tc>
          <w:tcPr>
            <w:tcW w:w="180" w:type="dxa"/>
            <w:vAlign w:val="bottom"/>
          </w:tcPr>
          <w:p>
            <w:pPr>
              <w:spacing w:after="0"/>
              <w:rPr>
                <w:sz w:val="19"/>
                <w:szCs w:val="19"/>
                <w:color w:val="auto"/>
              </w:rPr>
            </w:pPr>
          </w:p>
        </w:tc>
      </w:tr>
      <w:tr>
        <w:trPr>
          <w:trHeight w:val="22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w w:val="96"/>
              </w:rPr>
              <w:t>Amortization of inventory step-up from acquisitions (included in cost of goods sold)</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FF0FC"/>
          </w:tcPr>
          <w:p>
            <w:pPr>
              <w:spacing w:after="0"/>
              <w:rPr>
                <w:sz w:val="19"/>
                <w:szCs w:val="19"/>
                <w:color w:val="auto"/>
              </w:rPr>
            </w:pPr>
          </w:p>
        </w:tc>
      </w:tr>
      <w:tr>
        <w:trPr>
          <w:trHeight w:val="223"/>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Contribution margin</w:t>
            </w:r>
          </w:p>
        </w:tc>
        <w:tc>
          <w:tcPr>
            <w:tcW w:w="3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25,123</w:t>
            </w:r>
          </w:p>
        </w:tc>
        <w:tc>
          <w:tcPr>
            <w:tcW w:w="180" w:type="dxa"/>
            <w:vAlign w:val="bottom"/>
            <w:tcBorders>
              <w:bottom w:val="single" w:sz="8" w:color="CFF0FC"/>
            </w:tcBorders>
          </w:tcPr>
          <w:p>
            <w:pPr>
              <w:spacing w:after="0"/>
              <w:rPr>
                <w:sz w:val="19"/>
                <w:szCs w:val="19"/>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 as a percentage of net revenue</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EBITDA represents net loss plus depreciation and amortization, interest expense, net and income tax expense. Adjusted EBITDA represents EBITDA plus stock-based compensation expense, changes in fair-market value of earn-outs, amortization of inventory step-up from acquisitions (included in cost of goods sold), change in fair-market value of warrant liability, professional fees related to acquisitions, loss from extinguishment of debt and other expenses, net. As used herein, Adjusted EBITDA as a percentage of net revenue represents Adjusted EBITDA divided by net revenue. The following table provides a reconciliation of EBITDA and Adjusted EBITDA to net loss, which is the most directly comparable financial measure presented in accordance with GAAP (in thousands, except percentages):</w:t>
      </w:r>
    </w:p>
    <w:p>
      <w:pPr>
        <w:spacing w:after="0" w:line="198"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Year-Ended</w:t>
      </w:r>
    </w:p>
    <w:p>
      <w:pPr>
        <w:jc w:val="cente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642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(58,789)</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(63,126)</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Add (deduct)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3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(54,191)</w:t>
            </w:r>
          </w:p>
        </w:tc>
        <w:tc>
          <w:tcPr>
            <w:tcW w:w="3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(57,547)</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w w:val="97"/>
              </w:rPr>
              <w:t>Amortization of inventory step-up from acquisitions (included in cost of goods sold)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Professional fees related to acquisitions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34,681</w:t>
            </w:r>
          </w:p>
        </w:tc>
        <w:tc>
          <w:tcPr>
            <w:tcW w:w="3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22,716</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w:t>
            </w:r>
          </w:p>
        </w:tc>
        <w:tc>
          <w:tcPr>
            <w:tcW w:w="3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6420" w:type="dxa"/>
            <w:vAlign w:val="bottom"/>
          </w:tcPr>
          <w:p>
            <w:pPr>
              <w:ind w:left="496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Years-Ended December 31, 2019 and 2020</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our results of operations for the years-ended December 31, 2019 and 2020, together with the changes in those items in dollars and percentages (in thousands, except percentages):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Year-Ended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185,704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100,958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68,005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(2,531)</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 expenses (1)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(2,875)</w:t>
            </w: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119,497</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(54,333)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(34,751)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(63,078)</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(58,789)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(63,126)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hanging="852"/>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 (in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Years-Ended 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89"/>
              </w:rPr>
              <w:t>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bottom w:val="single" w:sz="8" w:color="CFF0FC"/>
            </w:tcBorders>
          </w:tcPr>
          <w:p>
            <w:pPr>
              <w:spacing w:after="0"/>
              <w:rPr>
                <w:sz w:val="20"/>
                <w:szCs w:val="20"/>
                <w:color w:val="auto"/>
              </w:rPr>
            </w:pPr>
          </w:p>
        </w:tc>
        <w:tc>
          <w:tcPr>
            <w:tcW w:w="180" w:type="dxa"/>
            <w:vAlign w:val="bottom"/>
            <w:tcBorders>
              <w:top w:val="single" w:sz="8" w:color="auto"/>
              <w:bottom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(1,746)</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(30.6)%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(5,394)</w:t>
            </w:r>
          </w:p>
        </w:tc>
        <w:tc>
          <w:tcPr>
            <w:tcW w:w="1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34,681</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22,716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(11,965)</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(34.5)%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30"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Year-Ended</w:t>
      </w:r>
    </w:p>
    <w:p>
      <w:pPr>
        <w:jc w:val="center"/>
        <w:ind w:left="4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51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4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040" w:type="dxa"/>
            <w:vAlign w:val="bottom"/>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9"/>
                <w:szCs w:val="19"/>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r>
      <w:tr>
        <w:trPr>
          <w:trHeight w:val="20"/>
        </w:trPr>
        <w:tc>
          <w:tcPr>
            <w:tcW w:w="5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revenue disaggregated by product categories (in thousands, except percentages):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Year-Ended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111,358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164,218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52,860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1331.1%</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PaaS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114,451</w:t>
            </w:r>
          </w:p>
        </w:tc>
        <w:tc>
          <w:tcPr>
            <w:tcW w:w="20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185,704</w:t>
            </w:r>
          </w:p>
        </w:tc>
        <w:tc>
          <w:tcPr>
            <w:tcW w:w="2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71,253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Net revenue increased $71.3 million, or 62.3%, to $185.7 million during the year-ended December 31, 2020 compared to $114.5 million for the year-ended December 31, 2019. The increase in net revenue was primarily attributable to increased direct sales volume of $52.8 million, or a 47.5% increase, which increased due to increased pricing, growth in our existing sustain product portfolio, including the impact of products released in the second half of 2019, new product launches in 2020 and new products obtained through acquisitions. We also saw an increase in wholesale revenue of $18.7 million versus the prior year primarily from the sale of PPE in 2020. Finally, we saw a decrease in PaaS revenue of $0.3 million in 2020.</w:t>
      </w:r>
    </w:p>
    <w:p>
      <w:pPr>
        <w:spacing w:after="0" w:line="172"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Year-Ended</w:t>
      </w:r>
    </w:p>
    <w:p>
      <w:pPr>
        <w:jc w:val="center"/>
        <w:ind w:left="5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2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Kitchen appliances</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29,711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15,488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Home office</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184,368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PaaS</w:t>
            </w:r>
          </w:p>
        </w:tc>
        <w:tc>
          <w:tcPr>
            <w:tcW w:w="2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net revenue</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432"/>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40" w:type="dxa"/>
            <w:vAlign w:val="bottom"/>
          </w:tcPr>
          <w:p>
            <w:pPr>
              <w:jc w:val="right"/>
              <w:ind w:right="127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ind w:right="220"/>
        <w:spacing w:after="0" w:line="263" w:lineRule="auto"/>
        <w:rPr>
          <w:sz w:val="20"/>
          <w:szCs w:val="20"/>
          <w:color w:val="auto"/>
        </w:rPr>
      </w:pPr>
      <w:r>
        <w:rPr>
          <w:rFonts w:ascii="Arial" w:cs="Arial" w:eastAsia="Arial" w:hAnsi="Arial"/>
          <w:sz w:val="18"/>
          <w:szCs w:val="18"/>
          <w:color w:val="auto"/>
        </w:rPr>
        <w:t>Heating, cooling and air quality products accounted for $58.0 million in net revenue in 2019 and accounted for $78.4 million in net revenue for 2020, an increase of $20.4 million versus 2019 from new products launched and growth in our existing products. We continued to expand our kitchen appliances products, which increased $2.7 million in net revenue compared to 2019.</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started selling health and beauty products in 2019 which generated $14.9 million in net revenue for 2019 and accounted for $26.0 million in net revenue in 2020. This increase of $11.1 million came from new products launched, growth in our existing products and new products obtained through acquisitions. We started selling PPE in 2020 which generated $15.5 million in net revenue for 2020. Net revenue from cookware, kitchen tools and gadgets increased approximately $8.0 million year-over-year from new products launched, growth in our existing products and new products obtained through acquisitions.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223"/>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40" w:type="dxa"/>
            <w:vAlign w:val="bottom"/>
            <w:gridSpan w:val="6"/>
          </w:tcPr>
          <w:p>
            <w:pPr>
              <w:jc w:val="right"/>
              <w:ind w:right="1039"/>
              <w:spacing w:after="0"/>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69,411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rPr>
              <w:t>31,547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45,040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84,746</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99"/>
              <w:spacing w:after="0"/>
              <w:rPr>
                <w:sz w:val="20"/>
                <w:szCs w:val="20"/>
                <w:color w:val="auto"/>
              </w:rPr>
            </w:pPr>
            <w:r>
              <w:rPr>
                <w:rFonts w:ascii="Arial" w:cs="Arial" w:eastAsia="Arial" w:hAnsi="Arial"/>
                <w:sz w:val="18"/>
                <w:szCs w:val="18"/>
                <w:color w:val="auto"/>
              </w:rPr>
              <w:t>39,706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r>
    </w:tbl>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cost of goods sold was primarily attributable to increased sales volume due to growth in our existing product portfolio and impact of products launched during the year in 2020, and new products obtained through acquisitions and was partially offset by volume discounts received from manufacturers. Included in the year-ended December 31, 2020 cost of goods sold includes approximately $0.6 million of amortization of inventory step-up from acquisition valuations.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Gross margin increased to 45.6% for the year-ended December 31, 2020 compared to 39.4% for the year-ended December 31, 2019. The improvement in gross margin was due to a decrease in overall cost of product per unit as a result of increased sales prices and improved pricing from our manufacturers including favorable volume discounts.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40" w:type="dxa"/>
            <w:vAlign w:val="bottom"/>
            <w:gridSpan w:val="6"/>
          </w:tcPr>
          <w:p>
            <w:pPr>
              <w:jc w:val="right"/>
              <w:ind w:right="1042"/>
              <w:spacing w:after="0"/>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55,206</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12,799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w:t>
            </w: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Sales and distribution expenses increased by $12.8 million from $55.2 million for the year-ended December 31, 2019 to $68.0 million for the year-ended December 31, 2020. The increase in sales and distribution expenses for the year-ended December 31, 2020 compared to the prior year period was primarily attributable to the increase in the volume of products sold for the year-ended December 31, 2020. Our sales and distribution fixed costs (i.e., salary and office expenses) decreased slightly to $5.2 million for the year-ended December 31, 2020 from $5.3 million for the year-ended December 31, 2019, as we relocated certain operation and marketplace functions to lower cost regions. Sales and distribution expenses for the year-ended December 31, 2020 also included a decrease in stock-based compensation expense of $4.9 million as compared to $2.5 million from $7.4 million as compared to the prior year period due to expense reversals from the termination of certain employees whose equity award grants did not vest and the completion of vesting of certain equity award grants during the period which are no longer expensed.</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a percentage of net revenue, sales and distribution expenses decreased to 36.6% in the year-ended December 31, 2020 from 48.2% in the year-ended December 31, 2019. Online advertising, selling and logistics expenses included within sales and distribution expenses, as a percentage of net revenue, were 32.4% in the year-ended December 31, 2020 as compared to 37.1% in the year-ended December 31, 2019. This decrease was due to our warehouse expansion, which has reduced last mile shipping costs due to shorter distances and improved pricing with our delivery partners, which took effect in April 2020. We believe that e-commerce customers prefer to have delivery of their purchases as soon as possible (i.e., in one day). In an effort to deliver products as soon as possible, while managing our logistics spend, we fulfill product sales ourselves by leveraging our direct fulfillment platform (i.e., FBM) through third-party warehouses, instead of fulfilling through e-commerce platform service providers (i.e., FBA), which enables us to reduce our logistics spend and improve our product unit economics, especially on oversized goods. During the year-ended December 31, 2020, we added five third-party FBM warehouses to our direct fulfillment platform, enabling One Day Prime delivery for approximately 76% of the United States, based on our sales</w:t>
      </w:r>
    </w:p>
    <w:p>
      <w:pPr>
        <w:spacing w:after="0" w:line="6" w:lineRule="exact"/>
        <w:rPr>
          <w:sz w:val="20"/>
          <w:szCs w:val="20"/>
          <w:color w:val="auto"/>
        </w:rPr>
      </w:pPr>
    </w:p>
    <w:p>
      <w:pPr>
        <w:jc w:val="both"/>
        <w:ind w:right="700"/>
        <w:spacing w:after="0" w:line="255" w:lineRule="auto"/>
        <w:rPr>
          <w:sz w:val="20"/>
          <w:szCs w:val="20"/>
          <w:color w:val="auto"/>
        </w:rPr>
      </w:pPr>
      <w:r>
        <w:rPr>
          <w:rFonts w:ascii="Arial" w:cs="Arial" w:eastAsia="Arial" w:hAnsi="Arial"/>
          <w:sz w:val="18"/>
          <w:szCs w:val="18"/>
          <w:color w:val="auto"/>
        </w:rPr>
        <w:t>history. Expanding our third-party warehouse locations to have greater geographic reach, reduces the average last mile shipping zones to the end customer and as such our speed of delivery improves while our shipping costs to customers decreases, subject to changes with respect to shipping providers’ rates.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5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6"/>
          </w:tcPr>
          <w:p>
            <w:pPr>
              <w:jc w:val="center"/>
              <w:ind w:right="122"/>
              <w:spacing w:after="0" w:line="155" w:lineRule="exact"/>
              <w:rPr>
                <w:sz w:val="20"/>
                <w:szCs w:val="20"/>
                <w:color w:val="auto"/>
              </w:rPr>
            </w:pPr>
            <w:r>
              <w:rPr>
                <w:rFonts w:ascii="Arial" w:cs="Arial" w:eastAsia="Arial" w:hAnsi="Arial"/>
                <w:sz w:val="14"/>
                <w:szCs w:val="14"/>
                <w:color w:val="auto"/>
                <w:w w:val="90"/>
              </w:rPr>
              <w:t>(in thousands, except percentages)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10,661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(2,531)</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r>
    </w:tbl>
    <w:p>
      <w:pPr>
        <w:spacing w:after="0" w:line="20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decrease in research and development expenses was attributable to a decrease of stock-based compensation expense of $1.7 million due to the expensing of certain new equity awards granted after June 2019 which vested during the year-ended December 31, 2020 and a decrease in fixed costs of $0.8 million as we continue to centralize our research and development facilities primarily into Poland.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5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6"/>
          </w:tcPr>
          <w:p>
            <w:pPr>
              <w:jc w:val="center"/>
              <w:ind w:right="122"/>
              <w:spacing w:after="0" w:line="155" w:lineRule="exact"/>
              <w:rPr>
                <w:sz w:val="20"/>
                <w:szCs w:val="20"/>
                <w:color w:val="auto"/>
              </w:rPr>
            </w:pPr>
            <w:r>
              <w:rPr>
                <w:rFonts w:ascii="Arial" w:cs="Arial" w:eastAsia="Arial" w:hAnsi="Arial"/>
                <w:sz w:val="14"/>
                <w:szCs w:val="14"/>
                <w:color w:val="auto"/>
                <w:w w:val="90"/>
              </w:rPr>
              <w:t>(in thousands, except percentages)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33,506</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(2,875)</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general and administrative expenses was primarily attributable to a decrease in stock-based compensation expense of $5.4 million due to the completion of vesting of certain equity award grants during the period which are no longer expensed. This decrease was offset by an increase in insurance costs, primarily directors’ and officers’ liability insurance, professional fees and headcount expenses of $2.2 million, which increased because we were a public company for the full twelve months of 2020 versus six months in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center"/>
              <w:ind w:right="602"/>
              <w:spacing w:after="0" w:line="155" w:lineRule="exact"/>
              <w:rPr>
                <w:sz w:val="20"/>
                <w:szCs w:val="20"/>
                <w:color w:val="auto"/>
              </w:rPr>
            </w:pPr>
            <w:r>
              <w:rPr>
                <w:rFonts w:ascii="Arial" w:cs="Arial" w:eastAsia="Arial" w:hAnsi="Arial"/>
                <w:sz w:val="14"/>
                <w:szCs w:val="14"/>
                <w:color w:val="auto"/>
                <w:w w:val="90"/>
              </w:rPr>
              <w:t>(in thousands, except percentages)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7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increase in change in fair value of contingent earn-out liabilities was related to our acquisitions, which include re-assessment of the estimated fair value of contingent consideration as part of the purchase price, primarily driven by the increase of our share price since the date of each acquisition.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6"/>
          </w:tcPr>
          <w:p>
            <w:pPr>
              <w:jc w:val="center"/>
              <w:ind w:right="122"/>
              <w:spacing w:after="0" w:line="155" w:lineRule="exact"/>
              <w:rPr>
                <w:sz w:val="20"/>
                <w:szCs w:val="20"/>
                <w:color w:val="auto"/>
              </w:rPr>
            </w:pPr>
            <w:r>
              <w:rPr>
                <w:rFonts w:ascii="Arial" w:cs="Arial" w:eastAsia="Arial" w:hAnsi="Arial"/>
                <w:sz w:val="14"/>
                <w:szCs w:val="14"/>
                <w:color w:val="auto"/>
                <w:w w:val="90"/>
              </w:rPr>
              <w:t>(in thousands, except percentages)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4,386</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interest expense was primarily related to lower average borrowings under the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center"/>
              <w:ind w:right="602"/>
              <w:spacing w:after="0" w:line="155" w:lineRule="exact"/>
              <w:rPr>
                <w:sz w:val="20"/>
                <w:szCs w:val="20"/>
                <w:color w:val="auto"/>
              </w:rPr>
            </w:pPr>
            <w:r>
              <w:rPr>
                <w:rFonts w:ascii="Arial" w:cs="Arial" w:eastAsia="Arial" w:hAnsi="Arial"/>
                <w:sz w:val="14"/>
                <w:szCs w:val="14"/>
                <w:color w:val="auto"/>
                <w:w w:val="90"/>
              </w:rPr>
              <w:t>(in thousands, except percentages)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7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increase is attributable to the payment and termination of the Horizon term loan, which resulted in $2.0 million in loss on extinguishment of debt consisting of unamortized deferred finance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5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center"/>
              <w:ind w:right="602"/>
              <w:spacing w:after="0" w:line="155" w:lineRule="exact"/>
              <w:rPr>
                <w:sz w:val="20"/>
                <w:szCs w:val="20"/>
                <w:color w:val="auto"/>
              </w:rPr>
            </w:pPr>
            <w:r>
              <w:rPr>
                <w:rFonts w:ascii="Arial" w:cs="Arial" w:eastAsia="Arial" w:hAnsi="Arial"/>
                <w:sz w:val="14"/>
                <w:szCs w:val="14"/>
                <w:color w:val="auto"/>
                <w:w w:val="90"/>
              </w:rPr>
              <w:t>(in thousands, except percentages)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7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is attributable to the issuance of the warrant in connection with the Note and the change in the fair value of warrant liability for the year-ended December 31, 2020, which was primarily driven by the increase of our share price since the issuance of the Warrant.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Years-Ended December 31, 2019 and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our cash flows for the years-ended December 31, 2019 and 2020, respectively (in thousands):</w:t>
      </w:r>
    </w:p>
    <w:p>
      <w:pPr>
        <w:spacing w:after="0" w:line="33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Year- Ended December 31,</w:t>
            </w:r>
          </w:p>
        </w:tc>
      </w:t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(39,054)</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10,081</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(692)</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used in operating activities was $25.2 million for the year-ended December 31, 2019, resulting from our net cash losses from operations of $22.5 million, compounded by cash used in working capital of $2.7 million from changes in accounts receivable, purchase of inventory and insurance and payments of accounts payable.</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provided by operating activities was $6.1 million for the year-ended December 31, 2020, resulting from our net cash losses from operations of $2.4 million, offset by cash from working capital of $8.5 million from changes in accounts receivable, purchase of inventory and insurance and payments of accounts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for the year-ended December 31, 2019 was primarily from the acquisition of the Aussie Health Assets for $1.2 million.</w:t>
      </w:r>
    </w:p>
    <w:p>
      <w:pPr>
        <w:spacing w:after="0" w:line="2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used in investing activities for the year-ended December 31, 2020 was primarily from the acquisition of Truweo Assets for $14.0 million and Smash Assets for $25.0 million.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the year-ended December 31, 2019, cash provided by financing activities of $36.6 million was primarily from the net proceeds of our initial public offering of $30.6 million, net proceeds from insurance financing of $1.0 million and $5.0 million in credit facility borrowings net of payments related to debt issuance costs.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year-ended December 31, 2020, cash provided by financing activities of $32.3 million was primarily from the net proceeds of our August 2020 underwritten public offering of $23.4 million and borrowings from the High Trail term loan, net of $35.8 million, which was offset by net repayments on the Credit Facility of $10.1 million and repayments of the Horizon Term Loan of $16.0 million.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an early-stage growth company. Accordingly, we endeavor to continuously invest in the launch of new products, the development of our software, and the expansion of our sales and distribution infrastructure in order to accelerate revenue growth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9" w:name="page60"/>
    <w:bookmarkEnd w:id="59"/>
    <w:p>
      <w:pPr>
        <w:spacing w:after="0" w:line="303" w:lineRule="auto"/>
        <w:rPr>
          <w:sz w:val="20"/>
          <w:szCs w:val="20"/>
          <w:color w:val="auto"/>
        </w:rPr>
      </w:pPr>
      <w:r>
        <w:rPr>
          <w:rFonts w:ascii="Arial" w:cs="Arial" w:eastAsia="Arial" w:hAnsi="Arial"/>
          <w:sz w:val="17"/>
          <w:szCs w:val="17"/>
          <w:color w:val="auto"/>
        </w:rPr>
        <w:t>scale operations to support such growth. We also intend to pursue growth through strategic acquisitions of digital native brands that have the potential to be quickly on-boarded onto our e-commerce platform. Our liquidity is materially influenced by the level of investment in our inventory and other working capital items; the size and number of acquisitions we close in any given period; and the availability of financing as described below.</w:t>
      </w:r>
    </w:p>
    <w:p>
      <w:pPr>
        <w:spacing w:after="0" w:line="15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principal sources of liquidity since inception have been through equity issuances, debt and cash flows from operations. Further, our recent acquisitions have been financed through a combination of cash on-hand or issuances of equity and/or debt. We believe we will continue to use such methods to finance future acquisitions.</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As of December 31, 2020, we had $26.7 million of cash and cash equivalents. Our forecasts, which include cash flows from our recent acquisitions, anticipate we will continue to produce positive operating cash flows and we expect to maintain compliance with our financial covenants.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MidCap Credit Facility and Term Loan</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On November 23, 2018, we exited a credit facility with MidCap and entered into the Credit Facility, which was a three-year $25.0 million revolving credit facility. The Credit Facility could be increased, subject to certain conditions, to $50.0 million. Loans under the Credit Facility are determined based on percentages of our eligible accounts receivable and eligible inventory. The Credit Facility bears interest at a rate of the London Interbank Offered Rate (“LIBOR”) plus 5.75% for outstanding borrowings. We are required to pay a facility availability fee of 0.5% on the average unused portion of the facility. On December 1, 2020, we entered into an amendment with MidCap (the “Amendment”) to the MidCap Credit Agreement, (i) providing for a $30.0 million revolving credit facility which can be increased, subject to certain conditions, to $50.0 million, (ii) permitting the incurrence of certain debt under certain conditions and restrictions, including the Note, (iii) permitting certain payments to High Trail as required under the Note, (iv) permitting the acquisition of the Smash Assets, and (v) extending the MidCap Credit Agreement to November 23, 2022. As of December 31, 2020, there was $12.9 million outstanding under the Credit Facility and an available balance of approximately $1.4 million. We were in compliance with the financial covenants contained within the Credit Facility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22222"/>
        </w:rPr>
        <w:t xml:space="preserve">On December 1, 2020, we paid off all obligations under the $15.0 million Horizon Term Loan </w:t>
      </w:r>
      <w:r>
        <w:rPr>
          <w:rFonts w:ascii="Arial" w:cs="Arial" w:eastAsia="Arial" w:hAnsi="Arial"/>
          <w:sz w:val="17"/>
          <w:szCs w:val="17"/>
          <w:color w:val="000000"/>
        </w:rPr>
        <w:t>and all obligations owed under the Horizon Term Loan</w:t>
      </w:r>
      <w:r>
        <w:rPr>
          <w:rFonts w:ascii="Arial" w:cs="Arial" w:eastAsia="Arial" w:hAnsi="Arial"/>
          <w:sz w:val="17"/>
          <w:szCs w:val="17"/>
          <w:color w:val="222222"/>
        </w:rPr>
        <w:t xml:space="preserve"> </w:t>
      </w:r>
      <w:r>
        <w:rPr>
          <w:rFonts w:ascii="Arial" w:cs="Arial" w:eastAsia="Arial" w:hAnsi="Arial"/>
          <w:sz w:val="17"/>
          <w:szCs w:val="17"/>
          <w:color w:val="000000"/>
        </w:rPr>
        <w:t>Agreement were terminated. During the year ended December 31, 2020, total repayments were $16.0 million including the payoff of $14.1 million, which included a prepayment fee in an amount equal to 3% of the outstanding principal balance of the Horizon Term Loan, or $0.3 million.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Trail Term Loan</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December 1, 2020, we refinanced our existing term loan with Horizon through the issuance of the Note to High Trail SA. We received gross proceeds of $38.0 million in exchange for the issuance to High Trail SA of the Note with an aggregate principal amount of $43.0 million (the “High Trail Loan”). The High Trail Loan will be repaid over 24 equal monthly cash payments of $1.8 million.</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Note, we issued to High Trail the Warrant to purchase an aggregate of 2,864,133 shares of our common stock at an exercise price of $9.01 per share (the “Warrant”). The Warrant initially provided that it would be exercisable on June 1, 2021, expire five years from the date of issuance and would be exercisable on a cash basis, unless there is not an effective registration statement covering the resale of the shares issuable upon exercise of the Warrant, in which case the Warrant would also be exercisable on a cashless exercise basis at High Trail’s election. The Warrant included a provision that provided us with the right to require High Trail to exercise the Warrant if the price of our common stock exceeds 200% of the exercise price of the Warrant for 20 consecutive trading days and certain other conditions are satisfied. We utilized the Monte-Carlo Simulation model to determine the fair value of the Warrant. The fair value of the Warrant on issuance was $10.5 million, which has been recorded as a debt discount against the High Trail Loan. We were in compliance with the financial covenants contained within the High Trail Loan as of December 31, 2020.</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intend to refinance all of our currently outstanding debt, including the High Trail Loan, the MidCap Credit Facility and subsequent debt issued to High Trail related to the Healing Solution acquisition (the “Refinancing”). The new senior secured note is expected to have an 8% annual interest rate payable in cash on a quarterly basis with a three-year maturity and will provide for the issuance to the institutional lender of a warrant to purchase additional shares of our common stock in an amount to be determined at the closing of the Refinancing. The Refinancing is expected to close in April 2021, and is subject to entry into definitive documentation and other customary closing conditions.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acquisition of the Smash Assets, the sellers are entitled to earn-out payments based on the achievement of certain contribution margin thresholds on certain products of the acquired business. Earn-out payments will be due to the sellers for year one, or calendar year 2021, and year two, or calendar year 2022. During the year-ending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During the year-ending December 31, 2022 (year two of the earn-out), the earn-out payment will be calculated based on the contribution margin generated on certain products for an amount in excess of $15.5 million for each $0.5 million of such contribution that is subject to a cap of $27.5 million. Such earn-out payment will be an amount in cash equal to the value of 100,000 shares of Common Stock multiplied by the average of the volume-weighted average closing price per share of Common Stock, as reported on Nasdaq for the 30 consecutive trading days ending on December 31, 2022.</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1, 2020, the acquisition date, the initial fair value amount of the earn-out payment was appropriately $9.8 million. During the year-ended December 31, 2020, the fair value amount of this earn-out payment was approximately $22.5 million which includes a change of fair value impact of approximately $12.7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1, 2020, the initial fair value of the Warrant on issuance was $10.5 million, which has been recorded as a debt discount against the High Trail Term Loan. During the year-ended December 31, 2020, the fair value amount of this warrant liability was approximately $31.8 million which includes a change of fair value impact of approximately $21.3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preventive and precautionary measures that we, other businesses and governments are taking, continues to evolve as of the date of this report. As such, the future impact on our personnel, business and global operations, and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we may be unable to launch new products, replenish inventory for existing products, ship into or receive inventory into our third-party warehouses or ship or sell products to customers, in each case on a timely basis or at all. We may also be unable to forecast demand for our products during the pendency of this pandemic and may experience a substantial decrease in the demand for our products, most of which are considered not essential. In addition, the majority of our personnel are currently working remotely, which creates challenges in the way we operate our business, including, but not limited to, how we test products and our ability to meet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Due to the uncertainty as to the severity and duration of the pandemic, the impact on our future revenues, profitability, liquidity, financial condition, business and results of operations is uncertain at this time.</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second quarter of 2020, we preserved our liquidity and capital resources through various actions, which included delaying and negotiating the delay of payments to certain vendors, and the effect of such actions did not have an adverse impact on our business, including our relationships with these vendors.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COVID-19 pandemic began to have an unfavorable impact on us, including our key manufacturing partners, in January 2020. Substantially all of our products are sourced and manufactured in China, including new products that we expect to launch during 2021. In addition, we rely on our team in Shenzhen for a number of functions relating to product sourcing and development, among other things. Our key manufacturing partner in China re-opened its facilities as of February 10, 2020 and reached and maintained over 90% capacity since early March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1" w:name="page62"/>
    <w:bookmarkEnd w:id="61"/>
    <w:p>
      <w:pPr>
        <w:spacing w:after="0" w:line="268" w:lineRule="auto"/>
        <w:rPr>
          <w:sz w:val="20"/>
          <w:szCs w:val="20"/>
          <w:color w:val="auto"/>
        </w:rPr>
      </w:pPr>
      <w:r>
        <w:rPr>
          <w:rFonts w:ascii="Arial" w:cs="Arial" w:eastAsia="Arial" w:hAnsi="Arial"/>
          <w:sz w:val="17"/>
          <w:szCs w:val="17"/>
          <w:color w:val="auto"/>
        </w:rPr>
        <w:t>To date we have had few material overall negative impacts to our business and operations from the COVID-19 pandemic. As reported, we have seen 47.5% growth in our net revenue from direct sales for the year-ended December 31, 2020 versus the prior year. The shift of consumer spending from traditional retail to online spending has increased dramatically due to the COVID-19 pandemic. This has benefited us as historically over 90% of our revenues come from the sale of products online in the U.S. and we believe this shift to increased online consumer spending will continue even after the COVID-19 pandemic ends. Our investments in our infrastructure and software and our expansion of our third-party warehousing network have also allowed us to continue to deliver our products, even when Amazon itself limited its delivery services. We have had no material impacts to our vendor or other business relationships to date as we, in certain circumstances, have negotiated improved credit and other terms. Further, to our knowledge, to date, none of our key operations vendors has had any material negative impacts related to COVID-19 or changes that have negatively affected our business, our borrowing capabilities or financial covenants. During the first half 2021, we are expecting some impacts to our margins as it relates to increased international freight demands, lack of ship containers and general international freight congestion due to the continued increase demand of goods being sold on ecommerce marketplaces. Further, we expect to see increases in last mile shipping costs as shipping providers continue to see increased demand due to the increase of goods sold on ecommerce marketplaces which stresses their delivery networks. We believe these short-term increases in cost to be directly related to COVID-19 pandemic.</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Though the COVID-19 pandemic is fluid and we are expecting certain short-term impacts in early 2021, we believe at this time that our business will continue to minimize the impact from this current pandemic given our ability to work remotely, continued consumer demand for products on e-commerce channels and the business continuity plans of our key manufacturing partners and other vendors. We believe this combination of factors may help to mitigate risk from the COVID-19 pandemic.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do not currently have any off-balance sheet arrangements and did not have any such arrangements during the years-ended December 31, 2019 and 2020. We have not entered any off-balance sheet arrangements during the year-ended December 31, 2020 and do not have any holdings in variable interest entities.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18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account for revenue in accordance with Financial Accounting Standards Board (“FASB”) ASC Topic 606, Revenue from</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with Customers.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derive our revenue from the sale of consumer products. We sell our products directly to consumers through online retail channels and through wholesale channels. For direct-to-consumer sales, we consider customer order confirmations to be a contract with the customer. Customer confirmations are executed at the time an order is placed through third-party online channels. For wholesale sales, we consider the customer purchase order to be the contract. For all of our sales and distribution channels, revenue is recognized when control of the product is transferred to the customer (i.e., when our performance obligation is satisfied), which typically occurs at shipment date. As a result, we have a present and unconditional right to payment and record the amount due from the customer in accounts receivable.</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Our refund liability for sales returns was $0.5 million and $0.5 million at December 31, 2019 and 2020, respectively, which is included in accrued liabilities and represents the expected value of the refund that will be due to our customers.</w:t>
      </w:r>
    </w:p>
    <w:p>
      <w:pPr>
        <w:spacing w:after="0" w:line="18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Warrant Liability</w:t>
      </w:r>
      <w:r>
        <w:rPr>
          <w:rFonts w:ascii="Arial" w:cs="Arial" w:eastAsia="Arial" w:hAnsi="Arial"/>
          <w:sz w:val="18"/>
          <w:szCs w:val="18"/>
          <w:color w:val="auto"/>
        </w:rPr>
        <w:t>—The fair values of the outstanding warrants were measured using the Monte Carlo Simulation model. Due to the complexity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issued, we use an outside expert to assist in providing the mark to market fair valuation of the liabilities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spacing w:after="0" w:line="275" w:lineRule="auto"/>
        <w:rPr>
          <w:sz w:val="20"/>
          <w:szCs w:val="20"/>
          <w:color w:val="auto"/>
        </w:rPr>
      </w:pPr>
      <w:r>
        <w:rPr>
          <w:rFonts w:ascii="Arial" w:cs="Arial" w:eastAsia="Arial" w:hAnsi="Arial"/>
          <w:sz w:val="17"/>
          <w:szCs w:val="17"/>
          <w:color w:val="auto"/>
        </w:rPr>
        <w:t>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warranty line item on the statement of operations.</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Accounting for contingent consideration</w:t>
      </w:r>
      <w:r>
        <w:rPr>
          <w:rFonts w:ascii="Arial" w:cs="Arial" w:eastAsia="Arial" w:hAnsi="Arial"/>
          <w:sz w:val="17"/>
          <w:szCs w:val="17"/>
          <w:color w:val="auto"/>
        </w:rPr>
        <w:t>—Our acquisitions may include contingent consideration as part of the purchase price. The fair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contingent consideration is estimated as of the acquisition date based on the present value of the contingent payments to be made using a weighted probability of possible payments. 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 as discussed in Note 16 to our consolidated financial statements included in this Annual Report on Form 10-K. Should actual results increase or decrease as compared to the assumption used in our analysis, the fair value of the contingent consideration obligations will increase or decrease, up to the contracted limit, as applicable. Changes in the fair value of the contingent earn-out consideration could cause a material impact and volatility in our operating results.</w:t>
      </w:r>
    </w:p>
    <w:p>
      <w:pPr>
        <w:spacing w:after="0" w:line="17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Accounting for Business Combinations</w:t>
      </w:r>
      <w:r>
        <w:rPr>
          <w:rFonts w:ascii="Arial" w:cs="Arial" w:eastAsia="Arial" w:hAnsi="Arial"/>
          <w:sz w:val="16"/>
          <w:szCs w:val="16"/>
          <w:color w:val="auto"/>
        </w:rPr>
        <w:t>—We allocate the purchase price of acquired companies to the tangible and intangible assets acquired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Examples of critical estimates in valuing certain of the intangible assets we have acquired or may acquire in the future include but are not limited to:</w:t>
      </w:r>
    </w:p>
    <w:p>
      <w:pPr>
        <w:spacing w:after="0" w:line="237"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expected cash flows from product sales or other customer contracts;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costs of fulfillment including marketing, warehousing and product sales;</w:t>
      </w:r>
    </w:p>
    <w:p>
      <w:pPr>
        <w:spacing w:after="0" w:line="144"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Inventory and cost of goods sold</w:t>
      </w:r>
      <w:r>
        <w:rPr>
          <w:rFonts w:ascii="Arial" w:cs="Arial" w:eastAsia="Arial" w:hAnsi="Arial"/>
          <w:sz w:val="18"/>
          <w:szCs w:val="18"/>
          <w:color w:val="auto"/>
        </w:rPr>
        <w:t>—Our inventory consists almost entirely of finished goods. We currently record inventory on our balance sheet on a first-in first-out basis, or net realizable value, if it is below our recorded cost. Our costs include the amounts we pay manufacturers for product, tariffs and duties associated with transporting product across national borders, and freight costs associated with transporting the product from our manufacturers to our warehouses, as applicable.</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“Cost of goods sold” line item in the consolidated statements of operations is comprised of the book value of inventory sold to customers during the reporting period. When circumstances dictate that we use net realizable value as the basis for recording inventory, it bases its estimates on expected future selling prices less expected disposal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2012, the Jumpstart Our Business Startups Act of 2012 (the “JOBS Act”) was enacted. Section 107 of the JOBS Act provides that an “emerging growth company” (“EGC”) can take advantage of the extended transition period provided in Section 7(a)(2)(B) of the Securities Act of 1933, as amended, for complying with new or revised accounting standards.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In addition, as an EGC, we have taken advantage of certain exemptions from various reporting requirements that are applicable to other public companies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are not “emerging growth companies” including, but not limited to,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reduced disclosure obligations regarding executive compensation in our periodic reports and proxy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not previously approved.</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remain an EGC until the earlier of (i) the last day of the fiscal year in which we have total annual gross revenues of $1.07 billion or more; (ii) the last day of the fiscal year following the fifth anniversary of the completion of our initial public offering, or December 31, 2024; (iii) the date on which we have issued more than $1.0 billion in non-convertible debt during the previous three years; or (iv) the date on which we are deemed to be a large accelerated filer under the rules of the Securities and Exchange Commission (the “SEC”) (i.e., the first day of the fiscal year after we have (1) more than $700.0 million in outstanding common equity held by our non-affiliates, measured each year on the last day of our second fiscal quarter, (2) been public for at least 12 months, and (3) are not eligible to be deemed a “smaller reporting company” because we do not meet the revenue test of the definition of “smaller reporting company”, which includes an initial determination that our annual revenues are more than $100.0 million for the most recently completed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Accounting Standards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June 2018, the FASB issued Accounting Standards Update (“ASU”) No. 2018-07, Compensation—Stock Compensation (Topic 718): Improvements to Nonemployee Share-based Payment Accounting, which expands the scope of ASC Topic 718, Compensation— Stock Compensation, which currently only includes share-based payments issued to employees, to also include share-based payments issued to nonemployees for goods and services. This ASU is effective for all annual reporting periods beginning after December 15, 2019, including interim periods therein. The new guidance was adopted on January 1, 2020 with no material impact on the consolidated financial statements.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2018, the FASB issued ASU No. 2018-02, Income Statement—Reporting Comprehensive Income (Topic 220) (“ASU 2018-02”). ASU 2018-02 addresses the effect of the change in the U.S. federal corporate tax rate due to the enactment of the Tax Cuts and Jobs Act of 2017 on items within accumulated other comprehensive income (loss). The new guidance was adopted on January 1, 2020 with no material impact on the consolidated financial statements.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August 2018, the FASB issued ASU No. 2018-13, Fair Value Measurement (Topic 820): Disclosure Framework—Changes to the Disclosure Requirements for Fair Value Measurement, which changes the fair value measurement disclosure requirements of ASC Topic 820. The amendments in this 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The new guidance was adopted on January 1, 2020 with no material impact on the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ASU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we have not completed its evaluation of the impact of adoption of this standard, we do not expect it to have a material impact on our consolidated financial statements.</w:t>
      </w:r>
    </w:p>
    <w:p>
      <w:pPr>
        <w:spacing w:after="0" w:line="16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 (Topic 326).</w:t>
      </w:r>
      <w:r>
        <w:rPr>
          <w:rFonts w:ascii="Arial" w:cs="Arial" w:eastAsia="Arial" w:hAnsi="Arial"/>
          <w:sz w:val="18"/>
          <w:szCs w:val="18"/>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right="60"/>
        <w:spacing w:after="0" w:line="301" w:lineRule="auto"/>
        <w:rPr>
          <w:sz w:val="20"/>
          <w:szCs w:val="20"/>
          <w:color w:val="auto"/>
        </w:rPr>
      </w:pPr>
      <w:r>
        <w:rPr>
          <w:rFonts w:ascii="Arial" w:cs="Arial" w:eastAsia="Arial" w:hAnsi="Arial"/>
          <w:sz w:val="16"/>
          <w:szCs w:val="16"/>
          <w:color w:val="auto"/>
        </w:rPr>
        <w:t>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we have not completed our evaluation of the impact of adoption of this standard, we do not expect it to have a material impact on our consolidated financial statements.</w:t>
      </w:r>
    </w:p>
    <w:p>
      <w:pPr>
        <w:spacing w:after="0" w:line="15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In December 2019, the FASB issued </w:t>
      </w:r>
      <w:r>
        <w:rPr>
          <w:rFonts w:ascii="Arial" w:cs="Arial" w:eastAsia="Arial" w:hAnsi="Arial"/>
          <w:sz w:val="16"/>
          <w:szCs w:val="16"/>
          <w:i w:val="1"/>
          <w:iCs w:val="1"/>
          <w:color w:val="auto"/>
        </w:rPr>
        <w:t>ASU 2019-12, Income Taxes</w:t>
      </w:r>
      <w:r>
        <w:rPr>
          <w:rFonts w:ascii="Arial" w:cs="Arial" w:eastAsia="Arial" w:hAnsi="Arial"/>
          <w:sz w:val="16"/>
          <w:szCs w:val="16"/>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we have not completed our evaluation of the impact of adoption of this standard, we do not expect it to have a material impact on our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have outstanding debt under the MidCap Credit Agreement that bears interest. As of December 31, 2020, our outstanding indebtedness under the Credit Facility was $12.9 million, which bears interest at a rate of LIBOR plus 5.75%.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 The High Trail Loan is at a fixed rate and as such we are not exposed to interest rate effects for that loan.</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less than 1% of our net revenue for the years-ended December 31, 2019 and 2020.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the years-ended December 31, 2019 and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MOHAWK GROUP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NDEX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vMerge w:val="restart"/>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 of Independent Registered Public Accounting Firm</w:t>
              </w:r>
            </w:hyperlink>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340" w:type="dxa"/>
            <w:vAlign w:val="bottom"/>
            <w:vMerge w:val="continue"/>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Balance Sheets as of December 31, 2019 and 2020</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Operations for the Year-Ended December 31, 2019 and 2020</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Comprehensive Loss for the Year-Ended December 31, 2019 and 2020</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Stockholders’ Equity for the Year-Ended December 31, 2019 and 2020</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Cash Flows for the Year-Ended December 31, 2019 and 2020</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30"/>
        </w:trPr>
        <w:tc>
          <w:tcPr>
            <w:tcW w:w="1034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Notes to Consolidated Financial Statements for the Year-Ended December 31, 2019 and 2020</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540"/>
        </w:trPr>
        <w:tc>
          <w:tcPr>
            <w:tcW w:w="10340" w:type="dxa"/>
            <w:vAlign w:val="bottom"/>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w:t>
            </w:r>
            <w:r>
              <w:rPr>
                <w:rFonts w:ascii="Arial" w:cs="Arial" w:eastAsia="Arial" w:hAnsi="Arial"/>
                <w:sz w:val="18"/>
                <w:szCs w:val="18"/>
                <w:b w:val="1"/>
                <w:bCs w:val="1"/>
                <w:color w:val="auto"/>
              </w:rPr>
              <w: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4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Schedule II—Valuation and Qualifying Accounts and Reserves for the Year-Ended December 31, 2019 and 2020</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F-33</w:t>
            </w:r>
          </w:p>
        </w:tc>
        <w:tc>
          <w:tcPr>
            <w:tcW w:w="0" w:type="dxa"/>
            <w:vAlign w:val="bottom"/>
          </w:tcPr>
          <w:p>
            <w:pPr>
              <w:spacing w:after="0"/>
              <w:rPr>
                <w:sz w:val="1"/>
                <w:szCs w:val="1"/>
                <w:color w:val="auto"/>
              </w:rPr>
            </w:pPr>
          </w:p>
        </w:tc>
      </w:tr>
      <w:tr>
        <w:trPr>
          <w:trHeight w:val="675"/>
        </w:trPr>
        <w:tc>
          <w:tcPr>
            <w:tcW w:w="10340" w:type="dxa"/>
            <w:vAlign w:val="bottom"/>
          </w:tcPr>
          <w:p>
            <w:pPr>
              <w:ind w:left="550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Mohawk Group Holdings,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Mohawk Group Holdings, Inc. and subsidiaries (the “Company”) as of December 31, 2019 and 2020, the related consolidated statements of operations, comprehensive loss, stockholders’ equity, and cash flows, for each of the two years in the period ended December 31, 2020, and the related notes and the financial statement schedule listed in the accompanying index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INTANGIBLES—net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Credit facility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21,657</w:t>
            </w:r>
          </w:p>
        </w:tc>
        <w:tc>
          <w:tcPr>
            <w:tcW w:w="2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Term loan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Seller notes</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Contingent earn-out liability</w:t>
            </w:r>
          </w:p>
        </w:tc>
        <w:tc>
          <w:tcPr>
            <w:tcW w:w="2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CONTINGENT EARN-OUT LIABILITY</w:t>
            </w:r>
          </w:p>
        </w:tc>
        <w:tc>
          <w:tcPr>
            <w:tcW w:w="2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TERM LOANS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17,736,649 shares outstanding at December 31, 2019; 500,000,000 shares authorized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27,074,791 shares outstanding at December 31, 2020</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140,477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(129,809)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(192,935)</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74,424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Year-Ended 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Sales and distribution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99,373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13,516,844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17,167,999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Year-Ended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(58,789)</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(63,126)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(58,772)</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(63,174)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300" w:type="dxa"/>
            <w:vAlign w:val="bottom"/>
            <w:gridSpan w:val="6"/>
          </w:tcPr>
          <w:p>
            <w:pPr>
              <w:ind w:left="64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Stockholders’</w:t>
            </w:r>
          </w:p>
        </w:tc>
        <w:tc>
          <w:tcPr>
            <w:tcW w:w="0" w:type="dxa"/>
            <w:vAlign w:val="bottom"/>
          </w:tcPr>
          <w:p>
            <w:pPr>
              <w:spacing w:after="0"/>
              <w:rPr>
                <w:sz w:val="1"/>
                <w:szCs w:val="1"/>
                <w:color w:val="auto"/>
              </w:rPr>
            </w:pPr>
          </w:p>
        </w:tc>
      </w:tr>
      <w:tr>
        <w:trPr>
          <w:trHeight w:val="143"/>
        </w:trPr>
        <w:tc>
          <w:tcPr>
            <w:tcW w:w="468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4"/>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b w:val="1"/>
                <w:bCs w:val="1"/>
                <w:color w:val="auto"/>
              </w:rPr>
              <w:t>Capital</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5"/>
              <w:spacing w:after="0"/>
              <w:rPr>
                <w:sz w:val="20"/>
                <w:szCs w:val="20"/>
                <w:color w:val="auto"/>
              </w:rPr>
            </w:pPr>
            <w:r>
              <w:rPr>
                <w:rFonts w:ascii="Arial" w:cs="Arial" w:eastAsia="Arial" w:hAnsi="Arial"/>
                <w:sz w:val="12"/>
                <w:szCs w:val="12"/>
                <w:b w:val="1"/>
                <w:bCs w:val="1"/>
                <w:color w:val="auto"/>
                <w:w w:val="90"/>
              </w:rPr>
              <w:t>Income</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5"/>
              <w:spacing w:after="0"/>
              <w:rPr>
                <w:sz w:val="20"/>
                <w:szCs w:val="20"/>
                <w:color w:val="auto"/>
              </w:rPr>
            </w:pPr>
            <w:r>
              <w:rPr>
                <w:rFonts w:ascii="Arial" w:cs="Arial" w:eastAsia="Arial" w:hAnsi="Arial"/>
                <w:sz w:val="12"/>
                <w:szCs w:val="12"/>
                <w:b w:val="1"/>
                <w:bCs w:val="1"/>
                <w:color w:val="auto"/>
                <w:w w:val="87"/>
              </w:rPr>
              <w:t>Equity</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BALANCE—January 1, 2019</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11,534,190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76,348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(71,020)</w:t>
            </w:r>
          </w:p>
        </w:tc>
        <w:tc>
          <w:tcPr>
            <w:tcW w:w="1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260"/>
              <w:spacing w:after="0"/>
              <w:rPr>
                <w:sz w:val="20"/>
                <w:szCs w:val="20"/>
                <w:color w:val="auto"/>
              </w:rPr>
            </w:pPr>
            <w:r>
              <w:rPr>
                <w:rFonts w:ascii="Arial" w:cs="Arial" w:eastAsia="Arial" w:hAnsi="Arial"/>
                <w:sz w:val="15"/>
                <w:szCs w:val="15"/>
                <w:color w:val="auto"/>
              </w:rPr>
              <w:t>Net loss</w:t>
            </w: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(58,789)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(58,789)</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8"/>
              </w:rPr>
              <w:t>Issuance of 2,406,618 shares of restricted common stock on March</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20, 2019</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2,406,618</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Issuance of 88,548 shares of restricted common stock on May 17,</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60"/>
              <w:spacing w:after="0"/>
              <w:rPr>
                <w:sz w:val="20"/>
                <w:szCs w:val="20"/>
                <w:color w:val="auto"/>
              </w:rPr>
            </w:pPr>
            <w:r>
              <w:rPr>
                <w:rFonts w:ascii="Arial" w:cs="Arial" w:eastAsia="Arial" w:hAnsi="Arial"/>
                <w:sz w:val="15"/>
                <w:szCs w:val="15"/>
                <w:color w:val="auto"/>
              </w:rPr>
              <w:t>2019 and forfeiture of 69,141 shares of restricted common stock</w:t>
            </w:r>
          </w:p>
        </w:tc>
        <w:tc>
          <w:tcPr>
            <w:tcW w:w="900" w:type="dxa"/>
            <w:vAlign w:val="bottom"/>
          </w:tcPr>
          <w:p>
            <w:pPr>
              <w:jc w:val="right"/>
              <w:spacing w:after="0"/>
              <w:rPr>
                <w:sz w:val="20"/>
                <w:szCs w:val="20"/>
                <w:color w:val="auto"/>
              </w:rPr>
            </w:pPr>
            <w:r>
              <w:rPr>
                <w:rFonts w:ascii="Arial" w:cs="Arial" w:eastAsia="Arial" w:hAnsi="Arial"/>
                <w:sz w:val="15"/>
                <w:szCs w:val="15"/>
                <w:color w:val="auto"/>
              </w:rPr>
              <w:t>19,407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9"/>
              </w:rPr>
              <w:t>Issuance of 64,982 shares of restricted common stock on June 12,</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2019</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64,982</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w w:val="94"/>
              </w:rPr>
              <w:t>Issuance of 3,600,000 shares of common stock on June 14, 2019, net</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60"/>
              <w:spacing w:after="0"/>
              <w:rPr>
                <w:sz w:val="20"/>
                <w:szCs w:val="20"/>
                <w:color w:val="auto"/>
              </w:rPr>
            </w:pPr>
            <w:r>
              <w:rPr>
                <w:rFonts w:ascii="Arial" w:cs="Arial" w:eastAsia="Arial" w:hAnsi="Arial"/>
                <w:sz w:val="15"/>
                <w:szCs w:val="15"/>
                <w:color w:val="auto"/>
              </w:rPr>
              <w:t>of professional fees and offering costs</w:t>
            </w:r>
          </w:p>
        </w:tc>
        <w:tc>
          <w:tcPr>
            <w:tcW w:w="900" w:type="dxa"/>
            <w:vAlign w:val="bottom"/>
          </w:tcPr>
          <w:p>
            <w:pPr>
              <w:jc w:val="right"/>
              <w:spacing w:after="0"/>
              <w:rPr>
                <w:sz w:val="20"/>
                <w:szCs w:val="20"/>
                <w:color w:val="auto"/>
              </w:rPr>
            </w:pPr>
            <w:r>
              <w:rPr>
                <w:rFonts w:ascii="Arial" w:cs="Arial" w:eastAsia="Arial" w:hAnsi="Arial"/>
                <w:sz w:val="15"/>
                <w:szCs w:val="15"/>
                <w:color w:val="auto"/>
              </w:rPr>
              <w:t>3,600,000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29,446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29,447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4"/>
              </w:rPr>
              <w:t>Issuance of 84,975 shares of restricted common stock in August 2019</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(see Note 11)</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84,975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w w:val="98"/>
              </w:rPr>
              <w:t>Issuance of 74,510 shares of restricted common stock in November</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60"/>
              <w:spacing w:after="0"/>
              <w:rPr>
                <w:sz w:val="20"/>
                <w:szCs w:val="20"/>
                <w:color w:val="auto"/>
              </w:rPr>
            </w:pPr>
            <w:r>
              <w:rPr>
                <w:rFonts w:ascii="Arial" w:cs="Arial" w:eastAsia="Arial" w:hAnsi="Arial"/>
                <w:sz w:val="15"/>
                <w:szCs w:val="15"/>
                <w:color w:val="auto"/>
              </w:rPr>
              <w:t>2019 and forfeiture of 48,520 shares of restricted common stock</w:t>
            </w:r>
          </w:p>
        </w:tc>
        <w:tc>
          <w:tcPr>
            <w:tcW w:w="900" w:type="dxa"/>
            <w:vAlign w:val="bottom"/>
          </w:tcPr>
          <w:p>
            <w:pPr>
              <w:jc w:val="right"/>
              <w:spacing w:after="0"/>
              <w:rPr>
                <w:sz w:val="20"/>
                <w:szCs w:val="20"/>
                <w:color w:val="auto"/>
              </w:rPr>
            </w:pPr>
            <w:r>
              <w:rPr>
                <w:rFonts w:ascii="Arial" w:cs="Arial" w:eastAsia="Arial" w:hAnsi="Arial"/>
                <w:sz w:val="15"/>
                <w:szCs w:val="15"/>
                <w:color w:val="auto"/>
              </w:rPr>
              <w:t>25,990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34,681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5"/>
                <w:szCs w:val="15"/>
                <w:color w:val="auto"/>
              </w:rPr>
              <w:t>487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comprehensive income</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2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line="169" w:lineRule="exact"/>
              <w:rPr>
                <w:sz w:val="20"/>
                <w:szCs w:val="20"/>
                <w:color w:val="auto"/>
              </w:rPr>
            </w:pPr>
            <w:r>
              <w:rPr>
                <w:rFonts w:ascii="Arial" w:cs="Arial" w:eastAsia="Arial" w:hAnsi="Arial"/>
                <w:sz w:val="15"/>
                <w:szCs w:val="15"/>
                <w:color w:val="auto"/>
              </w:rPr>
              <w:t>BALANCE—December 31, 2019</w:t>
            </w: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17,736,649</w:t>
            </w:r>
          </w:p>
        </w:tc>
        <w:tc>
          <w:tcPr>
            <w:tcW w:w="160" w:type="dxa"/>
            <w:vAlign w:val="bottom"/>
          </w:tcPr>
          <w:p>
            <w:pPr>
              <w:spacing w:after="0"/>
              <w:rPr>
                <w:sz w:val="14"/>
                <w:szCs w:val="14"/>
                <w:color w:val="auto"/>
              </w:rPr>
            </w:pPr>
          </w:p>
        </w:tc>
        <w:tc>
          <w:tcPr>
            <w:tcW w:w="240" w:type="dxa"/>
            <w:vAlign w:val="bottom"/>
            <w:gridSpan w:val="2"/>
          </w:tcPr>
          <w:p>
            <w:pPr>
              <w:jc w:val="right"/>
              <w:ind w:right="4"/>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140,477</w:t>
            </w:r>
          </w:p>
        </w:tc>
        <w:tc>
          <w:tcPr>
            <w:tcW w:w="22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(129,809)</w:t>
            </w:r>
          </w:p>
        </w:tc>
        <w:tc>
          <w:tcPr>
            <w:tcW w:w="1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57</w:t>
            </w:r>
          </w:p>
        </w:tc>
        <w:tc>
          <w:tcPr>
            <w:tcW w:w="20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10,727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FF0FC"/>
            </w:tcBorders>
            <w:shd w:val="clear" w:color="auto" w:fill="CFF0FC"/>
          </w:tcPr>
          <w:p>
            <w:pPr>
              <w:spacing w:after="0" w:line="20" w:lineRule="exact"/>
              <w:rPr>
                <w:sz w:val="1"/>
                <w:szCs w:val="1"/>
                <w:color w:val="auto"/>
              </w:rPr>
            </w:pPr>
          </w:p>
        </w:tc>
        <w:tc>
          <w:tcPr>
            <w:tcW w:w="900" w:type="dxa"/>
            <w:vAlign w:val="bottom"/>
            <w:tcBorders>
              <w:bottom w:val="single" w:sz="8" w:color="auto"/>
            </w:tcBorders>
            <w:shd w:val="clear" w:color="auto" w:fill="CFF0FC"/>
          </w:tcPr>
          <w:p>
            <w:pPr>
              <w:spacing w:after="0" w:line="20" w:lineRule="exact"/>
              <w:rPr>
                <w:sz w:val="1"/>
                <w:szCs w:val="1"/>
                <w:color w:val="auto"/>
              </w:rPr>
            </w:pPr>
          </w:p>
        </w:tc>
        <w:tc>
          <w:tcPr>
            <w:tcW w:w="160" w:type="dxa"/>
            <w:vAlign w:val="bottom"/>
            <w:tcBorders>
              <w:bottom w:val="single" w:sz="8" w:color="CFF0FC"/>
            </w:tcBorders>
            <w:shd w:val="clear" w:color="auto" w:fill="CFF0FC"/>
          </w:tcPr>
          <w:p>
            <w:pPr>
              <w:spacing w:after="0" w:line="20" w:lineRule="exact"/>
              <w:rPr>
                <w:sz w:val="1"/>
                <w:szCs w:val="1"/>
                <w:color w:val="auto"/>
              </w:rPr>
            </w:pPr>
          </w:p>
        </w:tc>
        <w:tc>
          <w:tcPr>
            <w:tcW w:w="80" w:type="dxa"/>
            <w:vAlign w:val="bottom"/>
            <w:tcBorders>
              <w:bottom w:val="single" w:sz="8" w:color="CFF0FC"/>
            </w:tcBorders>
            <w:shd w:val="clear" w:color="auto" w:fill="CFF0FC"/>
          </w:tcPr>
          <w:p>
            <w:pPr>
              <w:spacing w:after="0" w:line="20" w:lineRule="exact"/>
              <w:rPr>
                <w:sz w:val="1"/>
                <w:szCs w:val="1"/>
                <w:color w:val="auto"/>
              </w:rPr>
            </w:pPr>
          </w:p>
        </w:tc>
        <w:tc>
          <w:tcPr>
            <w:tcW w:w="160" w:type="dxa"/>
            <w:vAlign w:val="bottom"/>
            <w:tcBorders>
              <w:bottom w:val="single" w:sz="8" w:color="CFF0FC"/>
            </w:tcBorders>
            <w:shd w:val="clear" w:color="auto" w:fill="000000"/>
          </w:tcPr>
          <w:p>
            <w:pPr>
              <w:spacing w:after="0" w:line="20" w:lineRule="exact"/>
              <w:rPr>
                <w:sz w:val="1"/>
                <w:szCs w:val="1"/>
                <w:color w:val="auto"/>
              </w:rPr>
            </w:pPr>
          </w:p>
        </w:tc>
        <w:tc>
          <w:tcPr>
            <w:tcW w:w="760" w:type="dxa"/>
            <w:vAlign w:val="bottom"/>
            <w:tcBorders>
              <w:bottom w:val="single" w:sz="8" w:color="CFF0FC"/>
            </w:tcBorders>
            <w:shd w:val="clear" w:color="auto" w:fill="000000"/>
          </w:tcPr>
          <w:p>
            <w:pPr>
              <w:spacing w:after="0" w:line="20" w:lineRule="exact"/>
              <w:rPr>
                <w:sz w:val="1"/>
                <w:szCs w:val="1"/>
                <w:color w:val="auto"/>
              </w:rPr>
            </w:pPr>
          </w:p>
        </w:tc>
        <w:tc>
          <w:tcPr>
            <w:tcW w:w="240" w:type="dxa"/>
            <w:vAlign w:val="bottom"/>
            <w:tcBorders>
              <w:bottom w:val="single" w:sz="8" w:color="CFF0FC"/>
            </w:tcBorders>
            <w:shd w:val="clear" w:color="auto" w:fill="CFF0FC"/>
          </w:tcPr>
          <w:p>
            <w:pPr>
              <w:spacing w:after="0" w:line="20" w:lineRule="exact"/>
              <w:rPr>
                <w:sz w:val="1"/>
                <w:szCs w:val="1"/>
                <w:color w:val="auto"/>
              </w:rPr>
            </w:pPr>
          </w:p>
        </w:tc>
        <w:tc>
          <w:tcPr>
            <w:tcW w:w="120" w:type="dxa"/>
            <w:vAlign w:val="bottom"/>
            <w:tcBorders>
              <w:bottom w:val="single" w:sz="8" w:color="CFF0FC"/>
            </w:tcBorders>
            <w:shd w:val="clear" w:color="auto" w:fill="000000"/>
          </w:tcPr>
          <w:p>
            <w:pPr>
              <w:spacing w:after="0" w:line="20" w:lineRule="exact"/>
              <w:rPr>
                <w:sz w:val="1"/>
                <w:szCs w:val="1"/>
                <w:color w:val="auto"/>
              </w:rPr>
            </w:pPr>
          </w:p>
        </w:tc>
        <w:tc>
          <w:tcPr>
            <w:tcW w:w="76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shd w:val="clear" w:color="auto" w:fill="CFF0FC"/>
          </w:tcPr>
          <w:p>
            <w:pPr>
              <w:spacing w:after="0" w:line="20" w:lineRule="exact"/>
              <w:rPr>
                <w:sz w:val="1"/>
                <w:szCs w:val="1"/>
                <w:color w:val="auto"/>
              </w:rPr>
            </w:pPr>
          </w:p>
        </w:tc>
        <w:tc>
          <w:tcPr>
            <w:tcW w:w="80" w:type="dxa"/>
            <w:vAlign w:val="bottom"/>
            <w:tcBorders>
              <w:bottom w:val="single" w:sz="8" w:color="CFF0FC"/>
            </w:tcBorders>
            <w:shd w:val="clear" w:color="auto" w:fill="000000"/>
          </w:tcPr>
          <w:p>
            <w:pPr>
              <w:spacing w:after="0" w:line="20" w:lineRule="exact"/>
              <w:rPr>
                <w:sz w:val="1"/>
                <w:szCs w:val="1"/>
                <w:color w:val="auto"/>
              </w:rPr>
            </w:pPr>
          </w:p>
        </w:tc>
        <w:tc>
          <w:tcPr>
            <w:tcW w:w="80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bottom w:val="single" w:sz="8" w:color="CFF0FC"/>
            </w:tcBorders>
            <w:shd w:val="clear" w:color="auto" w:fill="CFF0FC"/>
          </w:tcPr>
          <w:p>
            <w:pPr>
              <w:spacing w:after="0" w:line="20" w:lineRule="exact"/>
              <w:rPr>
                <w:sz w:val="1"/>
                <w:szCs w:val="1"/>
                <w:color w:val="auto"/>
              </w:rPr>
            </w:pPr>
          </w:p>
        </w:tc>
        <w:tc>
          <w:tcPr>
            <w:tcW w:w="80" w:type="dxa"/>
            <w:vAlign w:val="bottom"/>
            <w:tcBorders>
              <w:bottom w:val="single" w:sz="8" w:color="CFF0FC"/>
            </w:tcBorders>
            <w:shd w:val="clear" w:color="auto" w:fill="CFF0FC"/>
          </w:tcPr>
          <w:p>
            <w:pPr>
              <w:spacing w:after="0" w:line="20" w:lineRule="exact"/>
              <w:rPr>
                <w:sz w:val="1"/>
                <w:szCs w:val="1"/>
                <w:color w:val="auto"/>
              </w:rPr>
            </w:pPr>
          </w:p>
        </w:tc>
        <w:tc>
          <w:tcPr>
            <w:tcW w:w="80" w:type="dxa"/>
            <w:vAlign w:val="bottom"/>
            <w:tcBorders>
              <w:bottom w:val="single" w:sz="8" w:color="CFF0FC"/>
            </w:tcBorders>
            <w:shd w:val="clear" w:color="auto" w:fill="000000"/>
          </w:tcPr>
          <w:p>
            <w:pPr>
              <w:spacing w:after="0" w:line="20" w:lineRule="exact"/>
              <w:rPr>
                <w:sz w:val="1"/>
                <w:szCs w:val="1"/>
                <w:color w:val="auto"/>
              </w:rPr>
            </w:pPr>
          </w:p>
        </w:tc>
        <w:tc>
          <w:tcPr>
            <w:tcW w:w="800" w:type="dxa"/>
            <w:vAlign w:val="bottom"/>
            <w:tcBorders>
              <w:bottom w:val="single" w:sz="8" w:color="CFF0FC"/>
            </w:tcBorders>
            <w:shd w:val="clear" w:color="auto" w:fill="000000"/>
          </w:tcPr>
          <w:p>
            <w:pPr>
              <w:spacing w:after="0" w:line="20" w:lineRule="exact"/>
              <w:rPr>
                <w:sz w:val="1"/>
                <w:szCs w:val="1"/>
                <w:color w:val="auto"/>
              </w:rPr>
            </w:pPr>
          </w:p>
        </w:tc>
        <w:tc>
          <w:tcPr>
            <w:tcW w:w="200" w:type="dxa"/>
            <w:vAlign w:val="bottom"/>
            <w:tcBorders>
              <w:bottom w:val="single" w:sz="8" w:color="CFF0FC"/>
            </w:tcBorders>
            <w:shd w:val="clear" w:color="auto" w:fill="CFF0FC"/>
          </w:tcPr>
          <w:p>
            <w:pPr>
              <w:spacing w:after="0" w:line="20" w:lineRule="exact"/>
              <w:rPr>
                <w:sz w:val="1"/>
                <w:szCs w:val="1"/>
                <w:color w:val="auto"/>
              </w:rPr>
            </w:pPr>
          </w:p>
        </w:tc>
        <w:tc>
          <w:tcPr>
            <w:tcW w:w="100" w:type="dxa"/>
            <w:vAlign w:val="bottom"/>
            <w:tcBorders>
              <w:bottom w:val="single" w:sz="8" w:color="CFF0FC"/>
            </w:tcBorders>
            <w:shd w:val="clear" w:color="auto" w:fill="000000"/>
          </w:tcPr>
          <w:p>
            <w:pPr>
              <w:spacing w:after="0" w:line="20" w:lineRule="exact"/>
              <w:rPr>
                <w:sz w:val="1"/>
                <w:szCs w:val="1"/>
                <w:color w:val="auto"/>
              </w:rPr>
            </w:pPr>
          </w:p>
        </w:tc>
        <w:tc>
          <w:tcPr>
            <w:tcW w:w="78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shd w:val="clear" w:color="auto" w:fill="CFF0FC"/>
          </w:tcPr>
          <w:p>
            <w:pPr>
              <w:ind w:left="260"/>
              <w:spacing w:after="0" w:line="156" w:lineRule="exact"/>
              <w:rPr>
                <w:sz w:val="20"/>
                <w:szCs w:val="20"/>
                <w:color w:val="auto"/>
              </w:rPr>
            </w:pPr>
            <w:r>
              <w:rPr>
                <w:rFonts w:ascii="Arial" w:cs="Arial" w:eastAsia="Arial" w:hAnsi="Arial"/>
                <w:sz w:val="15"/>
                <w:szCs w:val="15"/>
                <w:color w:val="auto"/>
              </w:rPr>
              <w:t>Net loss</w:t>
            </w:r>
          </w:p>
        </w:tc>
        <w:tc>
          <w:tcPr>
            <w:tcW w:w="106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line="156" w:lineRule="exact"/>
              <w:rPr>
                <w:sz w:val="20"/>
                <w:szCs w:val="20"/>
                <w:color w:val="auto"/>
              </w:rPr>
            </w:pPr>
            <w:r>
              <w:rPr>
                <w:rFonts w:ascii="Arial" w:cs="Arial" w:eastAsia="Arial" w:hAnsi="Arial"/>
                <w:sz w:val="15"/>
                <w:szCs w:val="15"/>
                <w:color w:val="auto"/>
              </w:rPr>
              <w:t>(63,126)</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(63,126)</w:t>
            </w: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Issuance of 439,145 shares of restricted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60"/>
              <w:spacing w:after="0"/>
              <w:rPr>
                <w:sz w:val="20"/>
                <w:szCs w:val="20"/>
                <w:color w:val="auto"/>
              </w:rPr>
            </w:pPr>
            <w:r>
              <w:rPr>
                <w:rFonts w:ascii="Arial" w:cs="Arial" w:eastAsia="Arial" w:hAnsi="Arial"/>
                <w:sz w:val="15"/>
                <w:szCs w:val="15"/>
                <w:color w:val="auto"/>
              </w:rPr>
              <w:t>common stock on March 12, 2020</w:t>
            </w:r>
          </w:p>
        </w:tc>
        <w:tc>
          <w:tcPr>
            <w:tcW w:w="900" w:type="dxa"/>
            <w:vAlign w:val="bottom"/>
          </w:tcPr>
          <w:p>
            <w:pPr>
              <w:jc w:val="right"/>
              <w:spacing w:after="0"/>
              <w:rPr>
                <w:sz w:val="20"/>
                <w:szCs w:val="20"/>
                <w:color w:val="auto"/>
              </w:rPr>
            </w:pPr>
            <w:r>
              <w:rPr>
                <w:rFonts w:ascii="Arial" w:cs="Arial" w:eastAsia="Arial" w:hAnsi="Arial"/>
                <w:sz w:val="15"/>
                <w:szCs w:val="15"/>
                <w:color w:val="auto"/>
              </w:rPr>
              <w:t>439,145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Forfeiture of 371,329 shares of restricted</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common stock</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(371,329)</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Forfeiture of 134,366 shares of</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60"/>
              <w:spacing w:after="0"/>
              <w:rPr>
                <w:sz w:val="20"/>
                <w:szCs w:val="20"/>
                <w:color w:val="auto"/>
              </w:rPr>
            </w:pPr>
            <w:r>
              <w:rPr>
                <w:rFonts w:ascii="Arial" w:cs="Arial" w:eastAsia="Arial" w:hAnsi="Arial"/>
                <w:sz w:val="15"/>
                <w:szCs w:val="15"/>
                <w:color w:val="auto"/>
              </w:rPr>
              <w:t>restricted common stock</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(134,366)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134,364 shares of</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restricted common stock</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134,364</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Issuance of 3,860,710 shares of common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360"/>
              <w:spacing w:after="0" w:line="162" w:lineRule="exact"/>
              <w:rPr>
                <w:sz w:val="20"/>
                <w:szCs w:val="20"/>
                <w:color w:val="auto"/>
              </w:rPr>
            </w:pPr>
            <w:r>
              <w:rPr>
                <w:rFonts w:ascii="Arial" w:cs="Arial" w:eastAsia="Arial" w:hAnsi="Arial"/>
                <w:sz w:val="15"/>
                <w:szCs w:val="15"/>
                <w:color w:val="auto"/>
              </w:rPr>
              <w:t>stock in connection with follow-on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360"/>
              <w:spacing w:after="0" w:line="162" w:lineRule="exact"/>
              <w:rPr>
                <w:sz w:val="20"/>
                <w:szCs w:val="20"/>
                <w:color w:val="auto"/>
              </w:rPr>
            </w:pPr>
            <w:r>
              <w:rPr>
                <w:rFonts w:ascii="Arial" w:cs="Arial" w:eastAsia="Arial" w:hAnsi="Arial"/>
                <w:sz w:val="15"/>
                <w:szCs w:val="15"/>
                <w:color w:val="auto"/>
              </w:rPr>
              <w:t>public offering, including underwriter's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360"/>
              <w:spacing w:after="0" w:line="162" w:lineRule="exact"/>
              <w:rPr>
                <w:sz w:val="20"/>
                <w:szCs w:val="20"/>
                <w:color w:val="auto"/>
              </w:rPr>
            </w:pPr>
            <w:r>
              <w:rPr>
                <w:rFonts w:ascii="Arial" w:cs="Arial" w:eastAsia="Arial" w:hAnsi="Arial"/>
                <w:sz w:val="15"/>
                <w:szCs w:val="15"/>
                <w:color w:val="auto"/>
              </w:rPr>
              <w:t>over-allotment, net of offering costs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60"/>
              <w:spacing w:after="0"/>
              <w:rPr>
                <w:sz w:val="20"/>
                <w:szCs w:val="20"/>
                <w:color w:val="auto"/>
              </w:rPr>
            </w:pPr>
            <w:r>
              <w:rPr>
                <w:rFonts w:ascii="Arial" w:cs="Arial" w:eastAsia="Arial" w:hAnsi="Arial"/>
                <w:sz w:val="15"/>
                <w:szCs w:val="15"/>
                <w:color w:val="auto"/>
              </w:rPr>
              <w:t>and underwriter's discount</w:t>
            </w:r>
          </w:p>
        </w:tc>
        <w:tc>
          <w:tcPr>
            <w:tcW w:w="900" w:type="dxa"/>
            <w:vAlign w:val="bottom"/>
          </w:tcPr>
          <w:p>
            <w:pPr>
              <w:jc w:val="right"/>
              <w:spacing w:after="0"/>
              <w:rPr>
                <w:sz w:val="20"/>
                <w:szCs w:val="20"/>
                <w:color w:val="auto"/>
              </w:rPr>
            </w:pPr>
            <w:r>
              <w:rPr>
                <w:rFonts w:ascii="Arial" w:cs="Arial" w:eastAsia="Arial" w:hAnsi="Arial"/>
                <w:sz w:val="15"/>
                <w:szCs w:val="15"/>
                <w:color w:val="auto"/>
              </w:rPr>
              <w:t>3,860,710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23,416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23,416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10,000 shares of restricted</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common stock on July 13, 2020</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Issuance of 95,500 shares of restricted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60"/>
              <w:spacing w:after="0"/>
              <w:rPr>
                <w:sz w:val="20"/>
                <w:szCs w:val="20"/>
                <w:color w:val="auto"/>
              </w:rPr>
            </w:pPr>
            <w:r>
              <w:rPr>
                <w:rFonts w:ascii="Arial" w:cs="Arial" w:eastAsia="Arial" w:hAnsi="Arial"/>
                <w:sz w:val="15"/>
                <w:szCs w:val="15"/>
                <w:color w:val="auto"/>
              </w:rPr>
              <w:t>common stock on July 20, 2020</w:t>
            </w:r>
          </w:p>
        </w:tc>
        <w:tc>
          <w:tcPr>
            <w:tcW w:w="900" w:type="dxa"/>
            <w:vAlign w:val="bottom"/>
          </w:tcPr>
          <w:p>
            <w:pPr>
              <w:jc w:val="right"/>
              <w:spacing w:after="0"/>
              <w:rPr>
                <w:sz w:val="20"/>
                <w:szCs w:val="20"/>
                <w:color w:val="auto"/>
              </w:rPr>
            </w:pPr>
            <w:r>
              <w:rPr>
                <w:rFonts w:ascii="Arial" w:cs="Arial" w:eastAsia="Arial" w:hAnsi="Arial"/>
                <w:sz w:val="15"/>
                <w:szCs w:val="15"/>
                <w:color w:val="auto"/>
              </w:rPr>
              <w:t>95,500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22,700 shares of restricted</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common stock on September 30, 2020</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Issuance of 25,000 warrants on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60"/>
              <w:spacing w:after="0"/>
              <w:rPr>
                <w:sz w:val="20"/>
                <w:szCs w:val="20"/>
                <w:color w:val="auto"/>
              </w:rPr>
            </w:pPr>
            <w:r>
              <w:rPr>
                <w:rFonts w:ascii="Arial" w:cs="Arial" w:eastAsia="Arial" w:hAnsi="Arial"/>
                <w:sz w:val="15"/>
                <w:szCs w:val="15"/>
                <w:color w:val="auto"/>
              </w:rPr>
              <w:t>August 18, 2020</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90,000 shares of restricted</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common stock on August 10, 2020</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90,000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Issuance of 90,000 shares of restricted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60"/>
              <w:spacing w:after="0"/>
              <w:rPr>
                <w:sz w:val="20"/>
                <w:szCs w:val="20"/>
                <w:color w:val="auto"/>
              </w:rPr>
            </w:pPr>
            <w:r>
              <w:rPr>
                <w:rFonts w:ascii="Arial" w:cs="Arial" w:eastAsia="Arial" w:hAnsi="Arial"/>
                <w:sz w:val="15"/>
                <w:szCs w:val="15"/>
                <w:color w:val="auto"/>
              </w:rPr>
              <w:t>common stock on November 16, 2020</w:t>
            </w:r>
          </w:p>
        </w:tc>
        <w:tc>
          <w:tcPr>
            <w:tcW w:w="900" w:type="dxa"/>
            <w:vAlign w:val="bottom"/>
          </w:tcPr>
          <w:p>
            <w:pPr>
              <w:jc w:val="right"/>
              <w:spacing w:after="0"/>
              <w:rPr>
                <w:sz w:val="20"/>
                <w:szCs w:val="20"/>
                <w:color w:val="auto"/>
              </w:rPr>
            </w:pPr>
            <w:r>
              <w:rPr>
                <w:rFonts w:ascii="Arial" w:cs="Arial" w:eastAsia="Arial" w:hAnsi="Arial"/>
                <w:sz w:val="15"/>
                <w:szCs w:val="15"/>
                <w:color w:val="auto"/>
              </w:rPr>
              <w:t>90,000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4,220,000 shares of common stock in connection with</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asset purchase agreement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4,220,000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29,076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260"/>
              <w:spacing w:after="0" w:line="162" w:lineRule="exact"/>
              <w:rPr>
                <w:sz w:val="20"/>
                <w:szCs w:val="20"/>
                <w:color w:val="auto"/>
              </w:rPr>
            </w:pPr>
            <w:r>
              <w:rPr>
                <w:rFonts w:ascii="Arial" w:cs="Arial" w:eastAsia="Arial" w:hAnsi="Arial"/>
                <w:sz w:val="15"/>
                <w:szCs w:val="15"/>
                <w:color w:val="auto"/>
              </w:rPr>
              <w:t>Issuance of 890,000 shares of restricted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60"/>
              <w:spacing w:after="0"/>
              <w:rPr>
                <w:sz w:val="20"/>
                <w:szCs w:val="20"/>
                <w:color w:val="auto"/>
              </w:rPr>
            </w:pPr>
            <w:r>
              <w:rPr>
                <w:rFonts w:ascii="Arial" w:cs="Arial" w:eastAsia="Arial" w:hAnsi="Arial"/>
                <w:sz w:val="15"/>
                <w:szCs w:val="15"/>
                <w:color w:val="auto"/>
              </w:rPr>
              <w:t>common stock on December 14, 2020</w:t>
            </w:r>
          </w:p>
        </w:tc>
        <w:tc>
          <w:tcPr>
            <w:tcW w:w="900" w:type="dxa"/>
            <w:vAlign w:val="bottom"/>
          </w:tcPr>
          <w:p>
            <w:pPr>
              <w:jc w:val="right"/>
              <w:spacing w:after="0"/>
              <w:rPr>
                <w:sz w:val="20"/>
                <w:szCs w:val="20"/>
                <w:color w:val="auto"/>
              </w:rPr>
            </w:pPr>
            <w:r>
              <w:rPr>
                <w:rFonts w:ascii="Arial" w:cs="Arial" w:eastAsia="Arial" w:hAnsi="Arial"/>
                <w:sz w:val="15"/>
                <w:szCs w:val="15"/>
                <w:color w:val="auto"/>
              </w:rPr>
              <w:t>890,000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23,500 shares of restricted</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common stock on December 17, 2020</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80" w:type="dxa"/>
            <w:vAlign w:val="bottom"/>
          </w:tcPr>
          <w:p>
            <w:pPr>
              <w:ind w:left="260"/>
              <w:spacing w:after="0"/>
              <w:rPr>
                <w:sz w:val="20"/>
                <w:szCs w:val="20"/>
                <w:color w:val="auto"/>
              </w:rPr>
            </w:pPr>
            <w:r>
              <w:rPr>
                <w:rFonts w:ascii="Arial" w:cs="Arial" w:eastAsia="Arial" w:hAnsi="Arial"/>
                <w:sz w:val="15"/>
                <w:szCs w:val="15"/>
                <w:color w:val="auto"/>
              </w:rPr>
              <w:t>Shares of common stock retired in connection with vesting</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(42,779)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21,770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5"/>
                <w:szCs w:val="15"/>
                <w:color w:val="auto"/>
              </w:rPr>
              <w:t>10,697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comprehensive loss</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5"/>
                <w:szCs w:val="15"/>
                <w:color w:val="auto"/>
              </w:rPr>
              <w:t>BALANCE—December 31, 2020</w:t>
            </w: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27,074,791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216,305</w:t>
            </w:r>
          </w:p>
        </w:tc>
        <w:tc>
          <w:tcPr>
            <w:tcW w:w="22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(192,935)</w:t>
            </w:r>
          </w:p>
        </w:tc>
        <w:tc>
          <w:tcPr>
            <w:tcW w:w="1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9</w:t>
            </w:r>
          </w:p>
        </w:tc>
        <w:tc>
          <w:tcPr>
            <w:tcW w:w="20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23,382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4"/>
              </w:rPr>
              <w:t>Year-Ended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OPERATING ACTIVITIES:</w:t>
            </w:r>
          </w:p>
        </w:tc>
        <w:tc>
          <w:tcPr>
            <w:tcW w:w="9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Net loss</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(58,789)</w:t>
            </w:r>
          </w:p>
        </w:tc>
        <w:tc>
          <w:tcPr>
            <w:tcW w:w="7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(63,126)</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sales returns</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Amortization of deferred financing cost and debt discounts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Allowance for doubtful accounts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Loss from extinguishment of Horizon term loan</w:t>
            </w:r>
          </w:p>
        </w:tc>
        <w:tc>
          <w:tcPr>
            <w:tcW w:w="9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from increase of contingent liabilities</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Change in fair value of warrants</w:t>
            </w:r>
          </w:p>
        </w:tc>
        <w:tc>
          <w:tcPr>
            <w:tcW w:w="9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21,338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assets and liabilities:</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500"/>
              <w:spacing w:after="0"/>
              <w:rPr>
                <w:sz w:val="20"/>
                <w:szCs w:val="20"/>
                <w:color w:val="auto"/>
              </w:rPr>
            </w:pPr>
            <w:r>
              <w:rPr>
                <w:rFonts w:ascii="Arial" w:cs="Arial" w:eastAsia="Arial" w:hAnsi="Arial"/>
                <w:sz w:val="13"/>
                <w:szCs w:val="13"/>
                <w:color w:val="auto"/>
              </w:rPr>
              <w:t>Accounts receivable</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(4,703)</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Inventory</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(5,360)</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500"/>
              <w:spacing w:after="0"/>
              <w:rPr>
                <w:sz w:val="20"/>
                <w:szCs w:val="20"/>
                <w:color w:val="auto"/>
              </w:rPr>
            </w:pPr>
            <w:r>
              <w:rPr>
                <w:rFonts w:ascii="Arial" w:cs="Arial" w:eastAsia="Arial" w:hAnsi="Arial"/>
                <w:sz w:val="13"/>
                <w:szCs w:val="13"/>
                <w:color w:val="auto"/>
              </w:rPr>
              <w:t>Prepaid and other current assets</w:t>
            </w:r>
          </w:p>
        </w:tc>
        <w:tc>
          <w:tcPr>
            <w:tcW w:w="9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(1,004)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payable, accrued and other liabilities</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(6,991)</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740"/>
              <w:spacing w:after="0"/>
              <w:rPr>
                <w:sz w:val="20"/>
                <w:szCs w:val="20"/>
                <w:color w:val="auto"/>
              </w:rPr>
            </w:pPr>
            <w:r>
              <w:rPr>
                <w:rFonts w:ascii="Arial" w:cs="Arial" w:eastAsia="Arial" w:hAnsi="Arial"/>
                <w:sz w:val="13"/>
                <w:szCs w:val="13"/>
                <w:color w:val="auto"/>
              </w:rPr>
              <w:t>Cash (used in) provided by operating activities</w:t>
            </w: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(25,200)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INVESTING ACTIVITIES:</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Purchase of fixed assets</w:t>
            </w:r>
          </w:p>
        </w:tc>
        <w:tc>
          <w:tcPr>
            <w:tcW w:w="9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Aussie Health Co. assets</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(1,176)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Purchase of Truweo assets</w:t>
            </w:r>
          </w:p>
        </w:tc>
        <w:tc>
          <w:tcPr>
            <w:tcW w:w="9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(13,965)</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Smash assets</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62"/>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Proceeds on sale of fixed assets</w:t>
            </w: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Cash used in investing activities</w:t>
            </w:r>
          </w:p>
        </w:tc>
        <w:tc>
          <w:tcPr>
            <w:tcW w:w="9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(1,284)</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(39,054)</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FINANCING ACTIVITIES:</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initial public offering, net of issuance costs</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Issuance costs from initial public offering</w:t>
            </w:r>
          </w:p>
        </w:tc>
        <w:tc>
          <w:tcPr>
            <w:tcW w:w="9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(5,446)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common stock from follow-on public offering, net of issuance costs</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Repayments on note payable to Aussie Health Co.</w:t>
            </w:r>
          </w:p>
        </w:tc>
        <w:tc>
          <w:tcPr>
            <w:tcW w:w="9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Tax paid in connection with RSAs</w:t>
            </w:r>
          </w:p>
        </w:tc>
        <w:tc>
          <w:tcPr>
            <w:tcW w:w="9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from MidCap credit facility</w:t>
            </w:r>
          </w:p>
        </w:tc>
        <w:tc>
          <w:tcPr>
            <w:tcW w:w="9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98,663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123,633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Repayments from MidCap credit facility</w:t>
            </w:r>
          </w:p>
        </w:tc>
        <w:tc>
          <w:tcPr>
            <w:tcW w:w="9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(92,165)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(133,782)</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issuance costs from MidCap credit facility</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(581)</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Debt issuance costs from Horizon term loan</w:t>
            </w:r>
          </w:p>
        </w:tc>
        <w:tc>
          <w:tcPr>
            <w:tcW w:w="9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(900)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for Horizon term loan</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(15,990)</w:t>
            </w: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Borrowings from High Trail term loan</w:t>
            </w:r>
          </w:p>
        </w:tc>
        <w:tc>
          <w:tcPr>
            <w:tcW w:w="9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issuance costs High Trail term loan</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Insurance financing proceeds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Insurance obligation payments</w:t>
            </w:r>
          </w:p>
        </w:tc>
        <w:tc>
          <w:tcPr>
            <w:tcW w:w="9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(2,783)</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(3,066)</w:t>
            </w: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Capital lease obligation payments</w:t>
            </w:r>
          </w:p>
        </w:tc>
        <w:tc>
          <w:tcPr>
            <w:tcW w:w="9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5"/>
        </w:trPr>
        <w:tc>
          <w:tcPr>
            <w:tcW w:w="77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color w:val="auto"/>
              </w:rPr>
              <w:t>Cash provided by financing activities</w:t>
            </w:r>
          </w:p>
        </w:tc>
        <w:tc>
          <w:tcPr>
            <w:tcW w:w="9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36,566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32,319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EFFECT OF EXCHANGE RATE ON CASH</w:t>
            </w:r>
          </w:p>
        </w:tc>
        <w:tc>
          <w:tcPr>
            <w:tcW w:w="9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CHANGE IN CASH AND RESTRICTED CASH FOR THE YEAR</w:t>
            </w: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60" w:type="dxa"/>
            <w:vAlign w:val="bottom"/>
            <w:vMerge w:val="continue"/>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62"/>
        </w:trPr>
        <w:tc>
          <w:tcPr>
            <w:tcW w:w="77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RESTRICTED CASH AT BEGINNING OF YEAR</w:t>
            </w: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20,708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30,789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CASH AND RESTRICTED CASH AT END OF YEAR</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30,789</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RECONCILIATION OF CASH AND RESTRICTED CASH</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CASH</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30,353</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RESTRICTED CASH—Prepaid and other current assets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RESTRICTED CASH—Other non-current assets</w:t>
            </w:r>
          </w:p>
        </w:tc>
        <w:tc>
          <w:tcPr>
            <w:tcW w:w="9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3"/>
                <w:szCs w:val="13"/>
                <w:color w:val="auto"/>
              </w:rPr>
              <w:t>TOTAL CASH AND RESTRICTED CASH</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30,789</w:t>
            </w:r>
          </w:p>
        </w:tc>
        <w:tc>
          <w:tcPr>
            <w:tcW w:w="160" w:type="dxa"/>
            <w:vAlign w:val="bottom"/>
          </w:tcPr>
          <w:p>
            <w:pPr>
              <w:spacing w:after="0"/>
              <w:rPr>
                <w:sz w:val="17"/>
                <w:szCs w:val="17"/>
                <w:color w:val="auto"/>
              </w:rPr>
            </w:pPr>
          </w:p>
        </w:tc>
        <w:tc>
          <w:tcPr>
            <w:tcW w:w="7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30,097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SUPPLEMENTAL DISCLOSURES OF CASH FLOW INFORMATION</w:t>
            </w:r>
          </w:p>
        </w:tc>
        <w:tc>
          <w:tcPr>
            <w:tcW w:w="9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Cash paid for interest</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3,201</w:t>
            </w:r>
          </w:p>
        </w:tc>
        <w:tc>
          <w:tcPr>
            <w:tcW w:w="160" w:type="dxa"/>
            <w:vAlign w:val="bottom"/>
          </w:tcPr>
          <w:p>
            <w:pPr>
              <w:spacing w:after="0"/>
              <w:rPr>
                <w:sz w:val="14"/>
                <w:szCs w:val="14"/>
                <w:color w:val="auto"/>
              </w:rPr>
            </w:pPr>
          </w:p>
        </w:tc>
        <w:tc>
          <w:tcPr>
            <w:tcW w:w="7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Cash paid for taxes</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Non-cash barter exchange of inventory for advertising credits</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Non-cash consideration paid to contractors</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Equity fundraising costs not paid</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Debt issuance costs not paid</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Original issue discount</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Discount of debt relating to warrants issuance</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Notes payable related to acquisitions</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Issuance of common stock in connection with acquisition</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29,075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Fair value of contingent consideration</w:t>
            </w: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YEARS-ENDED DECEMBER 31,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ind w:left="800" w:hanging="792"/>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Mohawk Group Holdings, Inc., and its subsidiaries (“Mohawk” or the “Company”), is a rapidly growing technology-enabled consumer products company that uses machine learning, natural language processing, and data analytics to design, develop, market and sell products. Mohawk predominantly operates through online retail channels such as Amazon and Walmart. The Company owns and operates eleven brands, which were either incubated or purchased, selling products in multiple categories, including home and kitchen appliances, kitchenware, heating, cooling and air quality appliances (dehumidifiers, humidifiers and air conditioners), and health and beauty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Mohawk’s offices can be found in China, Philippines, Israel and Poland.</w:t>
      </w:r>
    </w:p>
    <w:p>
      <w:pPr>
        <w:spacing w:after="0" w:line="22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Initial Public Offering—</w:t>
      </w:r>
      <w:r>
        <w:rPr>
          <w:rFonts w:ascii="Arial" w:cs="Arial" w:eastAsia="Arial" w:hAnsi="Arial"/>
          <w:sz w:val="18"/>
          <w:szCs w:val="18"/>
          <w:color w:val="auto"/>
        </w:rPr>
        <w:t>On June 14, 2019, the Company completed its initial public offering (“IPO”), selling 3,600,000 shares of common stock at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 of $10.00 per share. Net proceeds to the Company from the offering were approximately $29.4 million, after deducting legal, underwriting and other offering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Equity Offering—</w:t>
      </w:r>
      <w:r>
        <w:rPr>
          <w:rFonts w:ascii="Arial" w:cs="Arial" w:eastAsia="Arial" w:hAnsi="Arial"/>
          <w:sz w:val="18"/>
          <w:szCs w:val="18"/>
          <w:color w:val="auto"/>
        </w:rPr>
        <w:t>On August 26, 2020, the Company completed an underwritten public offering (the “Follow-On Offering”)</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3,860,710 shares of common stock, which includes the exercise by the underwriters of their option to purchase additional shares of common stock solely to cover over-allotments, at a public offering price of $7.00 per share, less underwriting discounts and commissions. The Company received net proceeds of approximately $23.4 million after deducting underwriting discounts and commissions of approximately $2.2 million and other offering expenses payable by the Company of approximately $1.4 million.</w:t>
      </w:r>
    </w:p>
    <w:p>
      <w:pPr>
        <w:spacing w:after="0" w:line="10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Truweo Acquisition—</w:t>
      </w:r>
      <w:r>
        <w:rPr>
          <w:rFonts w:ascii="Arial" w:cs="Arial" w:eastAsia="Arial" w:hAnsi="Arial"/>
          <w:sz w:val="16"/>
          <w:szCs w:val="16"/>
          <w:color w:val="auto"/>
        </w:rPr>
        <w:t>On August 26, 2020, the Company completed the acquisition of the assets of a leading e-commerce brand in the health and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wellness category (the “Truweo Assets”) for total consideration of $16.4 million which was comprised of cash of $14.0 million and an unsecured promissory note for $2.4 million. The unsecured promissory note accrues interest at a rate of 8% per annum, with $0.6 million principal and accrued interest payments due on November 30, 2021, February 28, 2022 and May 31, 2022, and matures on August 22, 2022 (See Note 16 – Acquisitions).</w:t>
      </w:r>
    </w:p>
    <w:p>
      <w:pPr>
        <w:spacing w:after="0" w:line="15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Smash Acquisition—</w:t>
      </w:r>
      <w:r>
        <w:rPr>
          <w:rFonts w:ascii="Arial" w:cs="Arial" w:eastAsia="Arial" w:hAnsi="Arial"/>
          <w:sz w:val="17"/>
          <w:szCs w:val="17"/>
          <w:color w:val="auto"/>
        </w:rPr>
        <w:t>On December 1, 2020, the Company acquired the assets of leading e-commerce business brands Mueller, Pursteam, Pohl and</w:t>
      </w:r>
      <w:r>
        <w:rPr>
          <w:rFonts w:ascii="Arial" w:cs="Arial" w:eastAsia="Arial" w:hAnsi="Arial"/>
          <w:sz w:val="17"/>
          <w:szCs w:val="17"/>
          <w:b w:val="1"/>
          <w:bCs w:val="1"/>
          <w:color w:val="auto"/>
        </w:rPr>
        <w:t xml:space="preserve"> </w:t>
      </w:r>
      <w:r>
        <w:rPr>
          <w:rFonts w:ascii="Arial" w:cs="Arial" w:eastAsia="Arial" w:hAnsi="Arial"/>
          <w:sz w:val="17"/>
          <w:szCs w:val="17"/>
          <w:color w:val="auto"/>
        </w:rPr>
        <w:t>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 In addition, subject to achievement of certain contribution margin thresholds on certain products of the acquired business for the fiscal years ending December 31, 2021 and December 31, 2022, the sellers will be entitled to receive earn out payments (See Note 16 – Acquisitions).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COVID-19 Pandemic—</w:t>
      </w:r>
      <w:r>
        <w:rPr>
          <w:rFonts w:ascii="Arial" w:cs="Arial" w:eastAsia="Arial" w:hAnsi="Arial"/>
          <w:sz w:val="16"/>
          <w:szCs w:val="16"/>
          <w:color w:val="auto"/>
        </w:rPr>
        <w:t>On January 30, 2020, the World Health Organization (the “WHO”) announced a global health emergency because of a new strain</w:t>
      </w:r>
      <w:r>
        <w:rPr>
          <w:rFonts w:ascii="Arial" w:cs="Arial" w:eastAsia="Arial" w:hAnsi="Arial"/>
          <w:sz w:val="16"/>
          <w:szCs w:val="16"/>
          <w:b w:val="1"/>
          <w:bCs w:val="1"/>
          <w:color w:val="auto"/>
        </w:rPr>
        <w:t xml:space="preserve"> </w:t>
      </w:r>
      <w:r>
        <w:rPr>
          <w:rFonts w:ascii="Arial" w:cs="Arial" w:eastAsia="Arial" w:hAnsi="Arial"/>
          <w:sz w:val="16"/>
          <w:szCs w:val="16"/>
          <w:color w:val="auto"/>
        </w:rPr>
        <w:t>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the Company, other businesses and governments are taking, continues to evolve as of the date of this report. As such, the future impact on the Company’s personnel, business and global operations, and on the Company’s suppliers, logistics providers, marketplaces and other business partners is uncertain and cannot be reasonably estimated at this time. Given the nature of the COVID-19 pandemic, it is possible that any and every aspect of the Company’s value chain could be disrupted, and such impact could have a material adverse impact on the Company’s business, financial condition, operating results and prospects. For example, the Company may be unable to launch new products, replenish inventory for existing products, ship into or receive inventory in its third-party warehouses, or ship or sell products to customers, in each case on a timely basis or at all. The Company may also be unable to forecast demand for its products during the pendency of this pandemic and the Company may experience a substantial decrease in the demand for its products, most of which are considered not essential. In addition, the majority of the Company’s personnel are currently working remotely, which creates challenges in the way the Company operates its business, including, but not limited to, the manner in which the Company tests products and its ability to meet its reporting obligations. The Company’s ability to execute its operations could be further impacted if any of the Company’s key personnel contracts COVID-19. While the potential economic impact brought by, and the duration of, COVID-19 may be difficult to assess or predict, the continued widespread pandemic could result in significant disruption of global financial markets, reducing the Company’s ability to access capital, which could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ind w:right="120"/>
        <w:spacing w:after="0" w:line="277" w:lineRule="auto"/>
        <w:rPr>
          <w:sz w:val="20"/>
          <w:szCs w:val="20"/>
          <w:color w:val="auto"/>
        </w:rPr>
      </w:pPr>
      <w:r>
        <w:rPr>
          <w:rFonts w:ascii="Arial" w:cs="Arial" w:eastAsia="Arial" w:hAnsi="Arial"/>
          <w:sz w:val="18"/>
          <w:szCs w:val="18"/>
          <w:color w:val="auto"/>
        </w:rPr>
        <w:t>future negatively affect its liquidity. Due to the uncertainty as to the severity and duration of the pandemic, the impact on the Company’s future revenues, profitability, liquidity, financial condition, business and results of operations is uncertain at this time.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COVID-19 pandemic began to have an unfavorable impact on the Company, including its key manufacturing partners, in January 2020. Substantially all of the Company’s products are sourced and manufactured in China, including new products that the Company expects to launch during 2021. In addition, the Company relies on its team in Shenzhen for a number of functions relating to product sourcing and development, among other things. The Company’s key manufacturing partner in China re-opened its facilities as of February 10, 2020 and reached and maintained over 90% capacity since early March 2020.</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second quarter of 2020, the Company preserved its liquidity and capital resources through various actions, which included delaying and negotiating the delay of payments to certain vendors, and the effect of such actions did not have an adverse impact on the Company’s business, including its relationships with these vendors. The Company’s operations rely on third-parties to manufacture its products, to provide logistics and warehousing services and to facilitate sales of its products, and accordingly the Company relies on the business continuity plans of these third parties to operate during the pandemic and have limited ability to influence their plans.</w:t>
      </w:r>
    </w:p>
    <w:p>
      <w:pPr>
        <w:spacing w:after="0" w:line="18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To date the Company has had few material overall negative impacts to its business and operations from the COVID-19 pandemic. The Company has seen 62.3% growth in its net revenue for the year-ended December 31, 2020 versus the prior year. The shift of consumer spending from traditional retail to online spending has increased dramatically due to the COVID-19 pandemic. This has benefited the Company as historically over 90% of its net revenue comes from the sale of products online in the U.S. and it believes this shift to increased online consumer spending will continue even after the COVID-19 pandemic ends. The Company’s investments in its infrastructure and software and the expansion of its third-party warehousing network have also allowed the Company to continue to deliver its products, even when Amazon itself limited its delivery services. The Company has had no material impacts to its vendor or other business relationships to date and in certain circumstances it has been able to negotiate improved credit and other terms. Further, to date, none of the Company’s key operations vendors has had any material negative impacts related to COVID-19 or changes that have negatively affected the Company’s business, borrowing capabilities or financial covenants. Though the COVID-19 pandemic is fluid, the Company believes at this time that its business may continue to minimize the impact from this current pandemic given the Company’s ability to work remotely, continued consumer demand for products on e-commerce channels and the business continuity plans of its key manufacturing partners and other vendors. The Company believes this combination of factors may help to mitigate risk from the COVID-19 pandemic.</w:t>
      </w:r>
    </w:p>
    <w:p>
      <w:pPr>
        <w:spacing w:after="0" w:line="23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continue to consider the impact of COVID-19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the Company's results of operations, financial position, and liquidity.</w:t>
      </w:r>
    </w:p>
    <w:p>
      <w:pPr>
        <w:spacing w:after="0" w:line="26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consolidated financial statements and accompanying notes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(“US GAAP”).</w:t>
      </w:r>
    </w:p>
    <w:p>
      <w:pPr>
        <w:spacing w:after="0" w:line="1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—Preparation of financial statements in conformity with US GAAP requires management to make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its wholly-owned subsidiaries. All inter-company balances and transactions have been eliminated in consolidation.</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Restricted Cash</w:t>
      </w:r>
      <w:r>
        <w:rPr>
          <w:rFonts w:ascii="Arial" w:cs="Arial" w:eastAsia="Arial" w:hAnsi="Arial"/>
          <w:sz w:val="17"/>
          <w:szCs w:val="17"/>
          <w:color w:val="auto"/>
        </w:rPr>
        <w:t>—The Company has restricted cash with its primary banks for use as required minimum restricted capital for its Chinese subsidiary.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2019, the Company has classified the following as restricted cash: $0.3 million for collateral with its credit cards in “prepaid and other current assets” on the Consolidated Balance Sheets and $0.1 million related to its Chinese subsidiary, in “other non-current assets” on the Consolidated Balance Sheets. As of December 31, 2020, the Company no longer has collateral with its credit cards in prepaid and other current assets. As of December 31, 2020, the Company has classified the following as restricted cash: $0.1 million related to its Chinese subsidiary within “other non-current assets” on the Consolidated Balance Sheets and $3.3 million related to a returned deposit for inventory that the manufacturer required the Company to pay into an escrow account within “prepaid and other current assets” on the Consolidated Balance Sheet.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4" w:name="page75"/>
    <w:bookmarkEnd w:id="74"/>
    <w:p>
      <w:pPr>
        <w:ind w:right="60"/>
        <w:spacing w:after="0" w:line="298"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are stated at historical cost less allowance for doubtful accounts. On a periodic basis, management evaluates</w:t>
      </w:r>
      <w:r>
        <w:rPr>
          <w:rFonts w:ascii="Arial" w:cs="Arial" w:eastAsia="Arial" w:hAnsi="Arial"/>
          <w:sz w:val="16"/>
          <w:szCs w:val="16"/>
          <w:b w:val="1"/>
          <w:bCs w:val="1"/>
          <w:color w:val="auto"/>
        </w:rPr>
        <w:t xml:space="preserve"> </w:t>
      </w:r>
      <w:r>
        <w:rPr>
          <w:rFonts w:ascii="Arial" w:cs="Arial" w:eastAsia="Arial" w:hAnsi="Arial"/>
          <w:sz w:val="16"/>
          <w:szCs w:val="16"/>
          <w:color w:val="auto"/>
        </w:rPr>
        <w:t>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On December 31, 2019 and 2020, the Company had no allowance for doubtful accounts.</w:t>
      </w:r>
    </w:p>
    <w:p>
      <w:pPr>
        <w:spacing w:after="0" w:line="154"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Concentration of Credit Risk</w:t>
      </w:r>
      <w:r>
        <w:rPr>
          <w:rFonts w:ascii="Arial" w:cs="Arial" w:eastAsia="Arial" w:hAnsi="Arial"/>
          <w:sz w:val="17"/>
          <w:szCs w:val="17"/>
          <w:color w:val="auto"/>
        </w:rPr>
        <w:t>—Financial instruments that potentially subject the Company to concentrations of credit risk consist primarily of cash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receivable. The Company maintains cash and restricted cash with various domestic and foreign financial institutions of high credit quality. The Company performs periodic evaluations of the relative credit standing of all of the aforementioned institutions.</w:t>
      </w:r>
    </w:p>
    <w:p>
      <w:pPr>
        <w:spacing w:after="0" w:line="16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2019 and 2020, the Company had no customer that accounted for 10% or more of total net revenue. In addition, as of December 31, 2019 and 2020, the Company has no customer that accounted for 10% or more of gross accounts receivable. As of December 31, 2019 and 2020, approximately 74% and 68%, respectively, of its accounts receivable is held by the Company’s sales platform vendor, Amazon, which collects money on the Company’s behalf from its customers.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2019, approximately 95% of the Company’s revenue was through or with the Amazon sales platform and in 2020, 88% of its net revenue was through or with the Amazon sales platform.</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and amortization. Depreciation is provided for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w w:val="95"/>
              </w:rPr>
              <w:t>The estimated useful lives for significant property and equipment categories are as follows:</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 and capital leases</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Shorter of remaining</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66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lease term 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660" w:type="dxa"/>
            <w:vAlign w:val="bottom"/>
            <w:shd w:val="clear" w:color="auto" w:fill="CFF0FC"/>
          </w:tcPr>
          <w:p>
            <w:pPr>
              <w:spacing w:after="0"/>
              <w:rPr>
                <w:sz w:val="20"/>
                <w:szCs w:val="20"/>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estimated useful life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accounts for income taxes under the asset and liability method. Deferred tax assets and liabilities are recognized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spacing w:after="0" w:line="16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Codification (“ASC”) Topic 606, Revenue from Contracts with Customers (“ASC Topic 606”). The Company adopted ASC Topic 606 as of January 1, 2017 using the full retrospective method. The standard did not affect the Company’s consolidated net loss, financial position, or cash flows. There were no changes to the timing of revenue recognition as a result of the adoption.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5" w:name="page76"/>
    <w:bookmarkEnd w:id="75"/>
    <w:p>
      <w:pPr>
        <w:ind w:right="80"/>
        <w:spacing w:after="0" w:line="277"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$0.5 million and $0.5 million at December 31, 2019 and 2020, respectively, which is included in accrued liabilities and represents the expected value of the refund that will be due to our customers.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it owns and controls all the goods before they are transferred to the customer. The Company can, at any time, direct Amazon, similarly,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A performance obligation is a promise in a contract to transfer a distinct good to the customer and is the unit of account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2019 and 2020 were de minimis.</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direct and wholesale revenue for the years-ended December 31, 2019 and 2020 are recognized at a point in 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taxes</w:t>
      </w:r>
      <w:r>
        <w:rPr>
          <w:rFonts w:ascii="Arial" w:cs="Arial" w:eastAsia="Arial" w:hAnsi="Arial"/>
          <w:sz w:val="16"/>
          <w:szCs w:val="16"/>
          <w:color w:val="auto"/>
        </w:rPr>
        <w:t>—Consistent with prior periods, sales taxes collected from customers are presented on a net basis and as such are excluded from net revenue.</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3"/>
              </w:rPr>
              <w:t>Year-Ended December 31, 2019</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06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Direct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w w:val="98"/>
              </w:rPr>
              <w:t>Wholesale</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PaaS</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111,168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114,261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111,358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80" w:type="dxa"/>
            <w:vAlign w:val="bottom"/>
            <w:gridSpan w:val="2"/>
          </w:tcPr>
          <w:p>
            <w:pPr>
              <w:jc w:val="right"/>
              <w:ind w:right="147"/>
              <w:spacing w:after="0"/>
              <w:rPr>
                <w:sz w:val="20"/>
                <w:szCs w:val="20"/>
                <w:color w:val="auto"/>
              </w:rPr>
            </w:pPr>
            <w:r>
              <w:rPr>
                <w:rFonts w:ascii="Arial" w:cs="Arial" w:eastAsia="Arial" w:hAnsi="Arial"/>
                <w:sz w:val="18"/>
                <w:szCs w:val="18"/>
                <w:color w:val="auto"/>
              </w:rPr>
              <w:t>F-11</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Year-Ended December 31, 2020</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Direct</w:t>
            </w:r>
          </w:p>
        </w:tc>
        <w:tc>
          <w:tcPr>
            <w:tcW w:w="140" w:type="dxa"/>
            <w:vAlign w:val="bottom"/>
          </w:tcPr>
          <w:p>
            <w:pPr>
              <w:spacing w:after="0"/>
              <w:rPr>
                <w:sz w:val="13"/>
                <w:szCs w:val="13"/>
                <w:color w:val="auto"/>
              </w:rPr>
            </w:pPr>
          </w:p>
        </w:tc>
        <w:tc>
          <w:tcPr>
            <w:tcW w:w="10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Wholesale</w:t>
            </w:r>
          </w:p>
        </w:tc>
        <w:tc>
          <w:tcPr>
            <w:tcW w:w="220" w:type="dxa"/>
            <w:vAlign w:val="bottom"/>
          </w:tcPr>
          <w:p>
            <w:pPr>
              <w:spacing w:after="0"/>
              <w:rPr>
                <w:sz w:val="13"/>
                <w:szCs w:val="13"/>
                <w:color w:val="auto"/>
              </w:rPr>
            </w:pPr>
          </w:p>
        </w:tc>
        <w:tc>
          <w:tcPr>
            <w:tcW w:w="80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PaaS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164,162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by Product Categories</w:t>
      </w:r>
      <w:r>
        <w:rPr>
          <w:rFonts w:ascii="Arial" w:cs="Arial" w:eastAsia="Arial" w:hAnsi="Arial"/>
          <w:sz w:val="17"/>
          <w:szCs w:val="17"/>
          <w:color w:val="auto"/>
        </w:rPr>
        <w:t>: The following table sets forth the Company’s net revenue disaggregated by product categories (in thousands):</w:t>
      </w:r>
    </w:p>
    <w:p>
      <w:pPr>
        <w:spacing w:after="0" w:line="33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Year-Ended December 31,</w:t>
            </w:r>
          </w:p>
        </w:tc>
      </w:tr>
      <w:tr>
        <w:trPr>
          <w:trHeight w:val="155"/>
        </w:trPr>
        <w:tc>
          <w:tcPr>
            <w:tcW w:w="53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78,424</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Kitchen appliances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29,711</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15,488</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14,868</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Home office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7,669</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184,368</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PaaS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Company’s financial instruments, including net accounts receivable, accounts payable, and accrued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liabilities are carried at historical cost. At December 31, 2020, the carrying amounts of these instruments approximated their fair values because of their short-term nature. The Company’s credit facility is carried at amortized cost at December 31, 2019 and December 31, 2020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77" w:name="page78"/>
    <w:bookmarkEnd w:id="77"/>
    <w:p>
      <w:pPr>
        <w:ind w:right="60"/>
        <w:spacing w:after="0" w:line="287"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 Goodwill is the excess of the acquisition cost of an acquired business over the fair value of the identifiable net assets acquired. Goodwill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indefinite lived intangible assets are not amortized. These assets are reviewed annually (or more frequently under various conditions) for impairment using a fair value approach. The Company performs its annual, or interim, goodwill impairment test by comparing the fair value of its reporting unit with their carrying amounts. The Company performs its annual impairment testing on December 31 of the calendar year. The Company would recognize an impairment charge for the amount by which the carrying amount exceeds the reporting unit’s fair value. Additionally, the Company considers income tax effects from any tax-deductible goodwill on the carrying amount of its reporting unit when measuring the goodwill impairment loss, if applicable. The fair value of the reporting unit is estimated using discounted cash flow methodologies, as well as considering third-party market value indicators. The Company’s use of a discounted cash flow methodology includes estimates of future revenue based upon budgets and projections. The Company also develops estimates for future levels of gross and operating profits and projected capital expenditures. The Company’s methodology also includes the use of estimated discount rates based upon industry and competitor analysis as well as other factors. Calculating the fair value of the reporting unit requires significant estimates and assumptions by management. Should the estimates and assumptions regarding the fair value of the reporting unit prove to be incorrect, the Company may be required to record impairments to its goodwill in future periods and such impairments could be material.</w:t>
      </w:r>
    </w:p>
    <w:p>
      <w:pPr>
        <w:spacing w:after="0" w:line="16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Intangible assets</w:t>
      </w:r>
      <w:r>
        <w:rPr>
          <w:rFonts w:ascii="Arial" w:cs="Arial" w:eastAsia="Arial" w:hAnsi="Arial"/>
          <w:sz w:val="17"/>
          <w:szCs w:val="17"/>
          <w:color w:val="auto"/>
        </w:rPr>
        <w:t>—Intangible assets with finite lives are amortized over their estimated useful life on a straight-line basis. The Company monitors</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related to these assets to determine whether events and circumstances warrant a revision to the remaining amortization. The Company tests these assets for potential impairment whenever its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16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—In accordance with FASB ASC Topic 805 “Business Combinations", acquired assets and liabilities assumed as part of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w:t>
      </w:r>
    </w:p>
    <w:p>
      <w:pPr>
        <w:spacing w:after="0" w:line="1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Accounting and Contingent Consideration</w:t>
      </w:r>
      <w:r>
        <w:rPr>
          <w:rFonts w:ascii="Arial" w:cs="Arial" w:eastAsia="Arial" w:hAnsi="Arial"/>
          <w:sz w:val="16"/>
          <w:szCs w:val="16"/>
          <w:color w:val="auto"/>
        </w:rPr>
        <w:t>—The Company’s acquisitions include contingent consideration as part of the purchase price. The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contingent consideration is estimated as of the acquisition date based on the present value of the contingent payments to be made using a weighted probability of possible payments. 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measurements. If actual results increase or decrease as compared to the assumption used in the Company’s analysis, the fair value of the contingent consideration obligations will increase or decrease, up to the contracted limit, as applicable. Changes in the fair value of the contingent earn-out consideration could cause a material impact and volatility in the Company’s operating results.</w:t>
      </w:r>
    </w:p>
    <w:p>
      <w:pPr>
        <w:spacing w:after="0" w:line="15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Inventory and Cost of Goods Sold</w:t>
      </w:r>
      <w:r>
        <w:rPr>
          <w:rFonts w:ascii="Arial" w:cs="Arial" w:eastAsia="Arial" w:hAnsi="Arial"/>
          <w:sz w:val="18"/>
          <w:szCs w:val="18"/>
          <w:color w:val="auto"/>
        </w:rPr>
        <w:t>—The Company’s inventory consists almost entirely of finished goods. The Company currently records inventory on</w:t>
      </w:r>
      <w:r>
        <w:rPr>
          <w:rFonts w:ascii="Arial" w:cs="Arial" w:eastAsia="Arial" w:hAnsi="Arial"/>
          <w:sz w:val="18"/>
          <w:szCs w:val="18"/>
          <w:b w:val="1"/>
          <w:bCs w:val="1"/>
          <w:color w:val="auto"/>
        </w:rPr>
        <w:t xml:space="preserve"> </w:t>
      </w:r>
      <w:r>
        <w:rPr>
          <w:rFonts w:ascii="Arial" w:cs="Arial" w:eastAsia="Arial" w:hAnsi="Arial"/>
          <w:sz w:val="18"/>
          <w:szCs w:val="18"/>
          <w:color w:val="auto"/>
        </w:rPr>
        <w:t>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“Cost of goods sold” line item in the consolidated statements of operations is comprised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80" w:lineRule="exact"/>
        <w:rPr>
          <w:sz w:val="20"/>
          <w:szCs w:val="20"/>
          <w:color w:val="auto"/>
        </w:rPr>
      </w:pPr>
    </w:p>
    <w:p>
      <w:pPr>
        <w:ind w:right="740"/>
        <w:spacing w:after="0" w:line="314" w:lineRule="auto"/>
        <w:rPr>
          <w:sz w:val="20"/>
          <w:szCs w:val="20"/>
          <w:color w:val="auto"/>
        </w:rPr>
      </w:pPr>
      <w:r>
        <w:rPr>
          <w:rFonts w:ascii="Arial" w:cs="Arial" w:eastAsia="Arial" w:hAnsi="Arial"/>
          <w:sz w:val="16"/>
          <w:szCs w:val="16"/>
          <w:b w:val="1"/>
          <w:bCs w:val="1"/>
          <w:color w:val="auto"/>
        </w:rPr>
        <w:t>Sales and Distribution—</w:t>
      </w:r>
      <w:r>
        <w:rPr>
          <w:rFonts w:ascii="Arial" w:cs="Arial" w:eastAsia="Arial" w:hAnsi="Arial"/>
          <w:sz w:val="16"/>
          <w:szCs w:val="16"/>
          <w:color w:val="auto"/>
        </w:rPr>
        <w:t>Sales and distribution expenses consist of online advertising costs, marketing and promotional costs, sales and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fulfillment, including shipping and handling, warehouse costs and employee compensation and benefits. Costs associated with the Company’s advertising and sales promotion are expensed as incurred and are included in sales and distribution expenses. For the years-ended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p>
      <w:pPr>
        <w:ind w:right="20"/>
        <w:spacing w:after="0" w:line="258" w:lineRule="auto"/>
        <w:rPr>
          <w:sz w:val="20"/>
          <w:szCs w:val="20"/>
          <w:color w:val="auto"/>
        </w:rPr>
      </w:pPr>
      <w:r>
        <w:rPr>
          <w:rFonts w:ascii="Arial" w:cs="Arial" w:eastAsia="Arial" w:hAnsi="Arial"/>
          <w:sz w:val="18"/>
          <w:szCs w:val="18"/>
          <w:color w:val="auto"/>
        </w:rPr>
        <w:t>December 31, 2019 and 2020, the Company recognized $</w:t>
      </w:r>
      <w:r>
        <w:rPr>
          <w:rFonts w:ascii="Arial" w:cs="Arial" w:eastAsia="Arial" w:hAnsi="Arial"/>
          <w:sz w:val="18"/>
          <w:szCs w:val="18"/>
          <w:b w:val="1"/>
          <w:bCs w:val="1"/>
          <w:color w:val="auto"/>
        </w:rPr>
        <w:t>4.8</w:t>
      </w:r>
      <w:r>
        <w:rPr>
          <w:rFonts w:ascii="Arial" w:cs="Arial" w:eastAsia="Arial" w:hAnsi="Arial"/>
          <w:sz w:val="18"/>
          <w:szCs w:val="18"/>
          <w:color w:val="auto"/>
        </w:rPr>
        <w:t xml:space="preserve"> million and $6.3 million, respectively, for advertising costs, which consists primarily of online advertising expense. Shipping and handling expense is included in the Company’s consolidated statements of operations within sales and distribution expenses. This includes pick and pack costs and outbound transportation costs to ship goods to customers performed by e-commerce platforms or incurred directly by the Company’s own fulfillment operations. The Company’s expense for shipping and handling was $</w:t>
      </w:r>
      <w:r>
        <w:rPr>
          <w:rFonts w:ascii="Arial" w:cs="Arial" w:eastAsia="Arial" w:hAnsi="Arial"/>
          <w:sz w:val="18"/>
          <w:szCs w:val="18"/>
          <w:b w:val="1"/>
          <w:bCs w:val="1"/>
          <w:color w:val="auto"/>
        </w:rPr>
        <w:t>17.2</w:t>
      </w:r>
      <w:r>
        <w:rPr>
          <w:rFonts w:ascii="Arial" w:cs="Arial" w:eastAsia="Arial" w:hAnsi="Arial"/>
          <w:sz w:val="18"/>
          <w:szCs w:val="18"/>
          <w:color w:val="auto"/>
        </w:rPr>
        <w:t xml:space="preserve"> million and $</w:t>
      </w:r>
      <w:r>
        <w:rPr>
          <w:rFonts w:ascii="Arial" w:cs="Arial" w:eastAsia="Arial" w:hAnsi="Arial"/>
          <w:sz w:val="18"/>
          <w:szCs w:val="18"/>
          <w:b w:val="1"/>
          <w:bCs w:val="1"/>
          <w:color w:val="auto"/>
        </w:rPr>
        <w:t>20.4</w:t>
      </w:r>
      <w:r>
        <w:rPr>
          <w:rFonts w:ascii="Arial" w:cs="Arial" w:eastAsia="Arial" w:hAnsi="Arial"/>
          <w:sz w:val="18"/>
          <w:szCs w:val="18"/>
          <w:color w:val="auto"/>
        </w:rPr>
        <w:t xml:space="preserve"> million during fiscal years 2019 and 2020, respectively.</w:t>
      </w:r>
    </w:p>
    <w:p>
      <w:pPr>
        <w:spacing w:after="0" w:line="183"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Research and Development</w:t>
      </w:r>
      <w:r>
        <w:rPr>
          <w:rFonts w:ascii="Arial" w:cs="Arial" w:eastAsia="Arial" w:hAnsi="Arial"/>
          <w:sz w:val="17"/>
          <w:szCs w:val="17"/>
          <w:color w:val="auto"/>
        </w:rPr>
        <w:t>—Research and development expenses include compensation and employee benefits for technology development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travel related costs, and fees paid to outside consultants related to development of the Company’s owned intellectual property.</w:t>
      </w:r>
    </w:p>
    <w:p>
      <w:pPr>
        <w:spacing w:after="0" w:line="140" w:lineRule="exact"/>
        <w:rPr>
          <w:sz w:val="20"/>
          <w:szCs w:val="20"/>
          <w:color w:val="auto"/>
        </w:rPr>
      </w:pPr>
    </w:p>
    <w:p>
      <w:pPr>
        <w:ind w:right="400"/>
        <w:spacing w:after="0" w:line="312" w:lineRule="auto"/>
        <w:rPr>
          <w:sz w:val="20"/>
          <w:szCs w:val="20"/>
          <w:color w:val="auto"/>
        </w:rPr>
      </w:pPr>
      <w:r>
        <w:rPr>
          <w:rFonts w:ascii="Arial" w:cs="Arial" w:eastAsia="Arial" w:hAnsi="Arial"/>
          <w:sz w:val="17"/>
          <w:szCs w:val="17"/>
          <w:b w:val="1"/>
          <w:bCs w:val="1"/>
          <w:color w:val="auto"/>
        </w:rPr>
        <w:t>General and Administrative</w:t>
      </w:r>
      <w:r>
        <w:rPr>
          <w:rFonts w:ascii="Arial" w:cs="Arial" w:eastAsia="Arial" w:hAnsi="Arial"/>
          <w:sz w:val="17"/>
          <w:szCs w:val="17"/>
          <w:color w:val="auto"/>
        </w:rPr>
        <w:t>—General and administrative expenses include compensation and employee benefits for executive management,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legal, and human resources, facility costs, travel, professional service fees and other general overhead costs.</w:t>
      </w:r>
    </w:p>
    <w:p>
      <w:pPr>
        <w:spacing w:after="0" w:line="140"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Stock-based compensation expense to employees is measured based on the grant-date fair value of the awards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in the consolidated statements of operations over the period during which the employee is required to perform services in exchange for the award (the vesting period of the award). The Company estimates the fair value of stock options granted using the Black-Scholes option valuation model.</w:t>
      </w:r>
    </w:p>
    <w:p>
      <w:pPr>
        <w:spacing w:after="0" w:line="1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Black-Scholes option-pricing model requires the input of highly subjective assumptions, including the fair value of the Company’s underlying common stock, the expected term of stock options, the expected volatility of the price of its common stock, risk-free interest rates and the expected dividend yield of its common stock. The assumptions used in the Company’s option-pricing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1020" w:right="480" w:hanging="378"/>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The Company must estimate the fair value of common stock, as discussed in the section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below.</w:t>
      </w:r>
    </w:p>
    <w:p>
      <w:pPr>
        <w:spacing w:after="0" w:line="62" w:lineRule="exact"/>
        <w:rPr>
          <w:rFonts w:ascii="Arial" w:cs="Arial" w:eastAsia="Arial" w:hAnsi="Arial"/>
          <w:sz w:val="18"/>
          <w:szCs w:val="18"/>
          <w:color w:val="auto"/>
        </w:rPr>
      </w:pPr>
    </w:p>
    <w:p>
      <w:pPr>
        <w:ind w:left="1020" w:right="560" w:hanging="378"/>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The Company based the risk-free interest rate used in the Black-Scholes valuation model on the implied yield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on U.S. Treasury zero-coupon bonds with an equivalent remaining term of the stock options for each stock option group.</w:t>
      </w:r>
    </w:p>
    <w:p>
      <w:pPr>
        <w:spacing w:after="0" w:line="15" w:lineRule="exact"/>
        <w:rPr>
          <w:rFonts w:ascii="Arial" w:cs="Arial" w:eastAsia="Arial" w:hAnsi="Arial"/>
          <w:sz w:val="16"/>
          <w:szCs w:val="16"/>
          <w:color w:val="auto"/>
        </w:rPr>
      </w:pPr>
    </w:p>
    <w:p>
      <w:pPr>
        <w:ind w:left="1020" w:right="160" w:hanging="378"/>
        <w:spacing w:after="0" w:line="25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based on the average period the stock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generally calculated as the midpoint of the stock options vesting term and contractual expiration period, as it does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8"/>
          <w:szCs w:val="18"/>
          <w:color w:val="auto"/>
        </w:rPr>
      </w:pPr>
    </w:p>
    <w:p>
      <w:pPr>
        <w:ind w:left="1020" w:right="60" w:hanging="378"/>
        <w:spacing w:after="0" w:line="25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determines the price volatility factor based on the historical volatility of publicly-traded industry peers.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its peer group of companies, the Company considers public companies in the technology industry and selects those that are similar to the Company in size, stage of life cycle and financial leverage. The Company does not rely on implied volatilities of traded options in its industry peers’ common stock because the volume of activity is relatively low.</w:t>
      </w:r>
    </w:p>
    <w:p>
      <w:pPr>
        <w:spacing w:after="0" w:line="78" w:lineRule="exact"/>
        <w:rPr>
          <w:rFonts w:ascii="Arial" w:cs="Arial" w:eastAsia="Arial" w:hAnsi="Arial"/>
          <w:sz w:val="18"/>
          <w:szCs w:val="18"/>
          <w:color w:val="auto"/>
        </w:rPr>
      </w:pPr>
    </w:p>
    <w:p>
      <w:pPr>
        <w:ind w:left="1020" w:right="640" w:hanging="378"/>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cash dividends in the foreseeable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uses an expected dividend yield of zero.</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any of the assumptions used in the Black-Scholes option-pricing model changes significantly, stock-based compensation for future awards may differ materially compared with the awards granted previously. The Company recognizes forfeitures as they occur, which results in a reduction in compensation expense at the time of forfeiture.</w:t>
      </w:r>
    </w:p>
    <w:p>
      <w:pPr>
        <w:spacing w:after="0" w:line="1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—The functional currency of the Company’s foreign subsidiaries is the local currency. All assets and liabilities of foreign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adjustment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less than $0.1 million for each of the years-ended December 31, 2019 and 2020.</w:t>
      </w:r>
    </w:p>
    <w:p>
      <w:pPr>
        <w:spacing w:after="0" w:line="17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Net Loss Per Share</w:t>
      </w:r>
      <w:r>
        <w:rPr>
          <w:rFonts w:ascii="Arial" w:cs="Arial" w:eastAsia="Arial" w:hAnsi="Arial"/>
          <w:sz w:val="16"/>
          <w:szCs w:val="16"/>
          <w:color w:val="auto"/>
        </w:rPr>
        <w:t>—The Company computes basic earnings per share using the weighted-average number of shares of common stock outstanding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ind w:right="100"/>
        <w:spacing w:after="0" w:line="282"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—The Company reports segment information in accordance with ASC Topic No. 280 “Segment Reporting.” The Company has one</w:t>
      </w:r>
      <w:r>
        <w:rPr>
          <w:rFonts w:ascii="Arial" w:cs="Arial" w:eastAsia="Arial" w:hAnsi="Arial"/>
          <w:sz w:val="18"/>
          <w:szCs w:val="18"/>
          <w:b w:val="1"/>
          <w:bCs w:val="1"/>
          <w:color w:val="auto"/>
        </w:rPr>
        <w:t xml:space="preserve"> </w:t>
      </w:r>
      <w:r>
        <w:rPr>
          <w:rFonts w:ascii="Arial" w:cs="Arial" w:eastAsia="Arial" w:hAnsi="Arial"/>
          <w:sz w:val="18"/>
          <w:szCs w:val="18"/>
          <w:color w:val="auto"/>
        </w:rPr>
        <w:t>reportable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In June 2018, the FASB issued Accounting Standards Update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w:t>
      </w:r>
      <w:r>
        <w:rPr>
          <w:rFonts w:ascii="Arial" w:cs="Arial" w:eastAsia="Arial" w:hAnsi="Arial"/>
          <w:sz w:val="17"/>
          <w:szCs w:val="17"/>
          <w:color w:val="auto"/>
        </w:rPr>
        <w:t>, which expands the scope of ASC Topic 718, Compensation—Stock Compensation, which currently only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share-based payments issued to employees, to also include share-based payments issued to nonemployees for goods and services. This ASU is effective for all annual reporting periods beginning after December 15, 2019, including interim periods therein. The new guidance was adopted on January 1, 2020 with no material impact on the Company’s consolidated financial statements.</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w:t>
      </w:r>
      <w:r>
        <w:rPr>
          <w:rFonts w:ascii="Arial" w:cs="Arial" w:eastAsia="Arial" w:hAnsi="Arial"/>
          <w:sz w:val="18"/>
          <w:szCs w:val="18"/>
          <w:color w:val="auto"/>
        </w:rPr>
        <w:t xml:space="preserve"> (“ASU 2018-02”). ASU 2018-02 addresses the effect of the change in the U.S. federal corporate tax rate due to the enactment of the Tax Cuts and Jobs Act of 2017 on items within accumulated other comprehensive income (loss). The new guidance was adopted on January 1, 2020 with no material impact on the Company’s consolidated financial statements.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which changes the fair value measurement disclosure requirements of ASC Topic 820. The amendments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The new guidance was adopted on January 1, 2020 with no material impact on the Company’s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ASU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the Company has not completed its evaluation of the impact of adoption of this standard, the Company does not expect it to have a material impact on its consolidated financial statements.</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consolidated financial statements.</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Income Taxes</w:t>
      </w:r>
      <w:r>
        <w:rPr>
          <w:rFonts w:ascii="Arial" w:cs="Arial" w:eastAsia="Arial" w:hAnsi="Arial"/>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the Company has not completed its evaluation of the impact of adoption of this standard, the Company does not expect it to have a material impact on its consolidated financial statements.</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August 2018, the FASB issued </w:t>
      </w:r>
      <w:r>
        <w:rPr>
          <w:rFonts w:ascii="Arial" w:cs="Arial" w:eastAsia="Arial" w:hAnsi="Arial"/>
          <w:sz w:val="18"/>
          <w:szCs w:val="18"/>
          <w:i w:val="1"/>
          <w:iCs w:val="1"/>
          <w:color w:val="auto"/>
        </w:rPr>
        <w:t>ASU No. 2018-15, “Customer’s Accounting for Implementation Cost Incurred in a Cloud Computing Arrangement That</w:t>
      </w:r>
      <w:r>
        <w:rPr>
          <w:rFonts w:ascii="Arial" w:cs="Arial" w:eastAsia="Arial" w:hAnsi="Arial"/>
          <w:sz w:val="18"/>
          <w:szCs w:val="18"/>
          <w:color w:val="auto"/>
        </w:rPr>
        <w:t xml:space="preserve"> </w:t>
      </w:r>
      <w:r>
        <w:rPr>
          <w:rFonts w:ascii="Arial" w:cs="Arial" w:eastAsia="Arial" w:hAnsi="Arial"/>
          <w:sz w:val="18"/>
          <w:szCs w:val="18"/>
          <w:i w:val="1"/>
          <w:iCs w:val="1"/>
          <w:color w:val="auto"/>
        </w:rPr>
        <w:t>Is a Service Contract” (“ASU 2018-15”)</w:t>
      </w:r>
      <w:r>
        <w:rPr>
          <w:rFonts w:ascii="Arial" w:cs="Arial" w:eastAsia="Arial" w:hAnsi="Arial"/>
          <w:sz w:val="18"/>
          <w:szCs w:val="18"/>
          <w:color w:val="auto"/>
        </w:rPr>
        <w:t>. Under the new guidance, customers apply the same criteria for capitalizing implementation costs as they would</w:t>
      </w:r>
      <w:r>
        <w:rPr>
          <w:rFonts w:ascii="Arial" w:cs="Arial" w:eastAsia="Arial" w:hAnsi="Arial"/>
          <w:sz w:val="18"/>
          <w:szCs w:val="18"/>
          <w:i w:val="1"/>
          <w:iCs w:val="1"/>
          <w:color w:val="auto"/>
        </w:rPr>
        <w:t xml:space="preserve"> </w:t>
      </w:r>
      <w:r>
        <w:rPr>
          <w:rFonts w:ascii="Arial" w:cs="Arial" w:eastAsia="Arial" w:hAnsi="Arial"/>
          <w:sz w:val="18"/>
          <w:szCs w:val="18"/>
          <w:color w:val="auto"/>
        </w:rPr>
        <w:t>for an arrangement that has a software license. This will result in certain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0" w:name="page81"/>
    <w:bookmarkEnd w:id="80"/>
    <w:p>
      <w:pPr>
        <w:spacing w:after="0" w:line="257" w:lineRule="auto"/>
        <w:rPr>
          <w:sz w:val="20"/>
          <w:szCs w:val="20"/>
          <w:color w:val="auto"/>
        </w:rPr>
      </w:pPr>
      <w:r>
        <w:rPr>
          <w:rFonts w:ascii="Arial" w:cs="Arial" w:eastAsia="Arial" w:hAnsi="Arial"/>
          <w:sz w:val="18"/>
          <w:szCs w:val="18"/>
          <w:color w:val="auto"/>
        </w:rPr>
        <w:t>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consolidated financial statements.</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2020, The FASB issued </w:t>
      </w:r>
      <w:r>
        <w:rPr>
          <w:rFonts w:ascii="Arial" w:cs="Arial" w:eastAsia="Arial" w:hAnsi="Arial"/>
          <w:sz w:val="18"/>
          <w:szCs w:val="18"/>
          <w:i w:val="1"/>
          <w:iCs w:val="1"/>
          <w:color w:val="auto"/>
        </w:rPr>
        <w:t>ASU No. 2020-06, “Debt—Debt with Conversion and Other Options (Topic 470)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(Topic 814): Accounting for Convertible Instruments and Contracts in an Entity’s Own Equity” (“ASU 2020-06”)</w:t>
      </w:r>
      <w:r>
        <w:rPr>
          <w:rFonts w:ascii="Arial" w:cs="Arial" w:eastAsia="Arial" w:hAnsi="Arial"/>
          <w:sz w:val="18"/>
          <w:szCs w:val="18"/>
          <w:color w:val="auto"/>
        </w:rPr>
        <w:t>.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consolidated financial statements.</w:t>
      </w:r>
    </w:p>
    <w:p>
      <w:pPr>
        <w:spacing w:after="0" w:line="29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2019 and 2020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$4.7 million and $5.3 million as of December 31, 2019 and December 31, 2020, respectively.</w:t>
      </w:r>
    </w:p>
    <w:p>
      <w:pPr>
        <w:spacing w:after="0" w:line="27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as of December 31, 2019 and 2020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8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December 31, 2019 and 2020 (in thousands):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9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ind w:left="2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(591)</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Depreciation expense for property and equipment totaled $0.2 million and $0.3 million during the years-ended December 31, 2019 and 2020, respectively.</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55" w:right="459" w:bottom="1440" w:gutter="0" w:footer="0" w:header="0"/>
        </w:sectPr>
      </w:pPr>
    </w:p>
    <w:bookmarkStart w:id="81" w:name="page82"/>
    <w:bookmarkEnd w:id="81"/>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financial instruments consist of Level 1 assets at December 31, 2019 and 2020. The Company’s cash and restricted cash was $30.8 million and $30.1 million at December 31, 2019 and 2020, respectively, and included savings deposits and overnight investments.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Company’s credit facility and term loans are carried at amortized cost at December 31, 2019 and December 31, 2020 and the carrying amount approximates fair value as the stated interest rate approximates market rates currently available to the Company.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considers the inputs utilized to determine the fair value of the borrowings to be Level 3 inputs. 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component of stockholders’ equity.</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summarizes the fair value of our financial assets that are measured at fair value for the year ended December 31, 2020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gridSpan w:val="2"/>
          </w:tcPr>
          <w:p>
            <w:pPr>
              <w:jc w:val="center"/>
              <w:ind w:right="214"/>
              <w:spacing w:after="0"/>
              <w:rPr>
                <w:sz w:val="20"/>
                <w:szCs w:val="20"/>
                <w:color w:val="auto"/>
              </w:rPr>
            </w:pPr>
            <w:r>
              <w:rPr>
                <w:rFonts w:ascii="Arial" w:cs="Arial" w:eastAsia="Arial" w:hAnsi="Arial"/>
                <w:sz w:val="14"/>
                <w:szCs w:val="14"/>
                <w:b w:val="1"/>
                <w:bCs w:val="1"/>
                <w:color w:val="auto"/>
                <w:w w:val="93"/>
              </w:rPr>
              <w:t>December 31, 2020</w:t>
            </w:r>
          </w:p>
        </w:tc>
        <w:tc>
          <w:tcPr>
            <w:tcW w:w="860" w:type="dxa"/>
            <w:vAlign w:val="bottom"/>
          </w:tcPr>
          <w:p>
            <w:pPr>
              <w:spacing w:after="0"/>
              <w:rPr>
                <w:sz w:val="16"/>
                <w:szCs w:val="16"/>
                <w:color w:val="auto"/>
              </w:rPr>
            </w:pPr>
          </w:p>
        </w:tc>
      </w:tr>
      <w:tr>
        <w:trPr>
          <w:trHeight w:val="243"/>
        </w:trPr>
        <w:tc>
          <w:tcPr>
            <w:tcW w:w="6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2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Fair Value Measurement Category</w:t>
            </w:r>
          </w:p>
        </w:tc>
      </w:tr>
      <w:tr>
        <w:trPr>
          <w:trHeight w:val="228"/>
        </w:trPr>
        <w:tc>
          <w:tcPr>
            <w:tcW w:w="6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Level 3</w:t>
            </w: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26,718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600"/>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Liabilities:</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fair value of contingent earn-out considerations (see Note 16)</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22,531</w:t>
            </w: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Fair market value of warrant liability</w:t>
            </w:r>
          </w:p>
        </w:tc>
        <w:tc>
          <w:tcPr>
            <w:tcW w:w="7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31,821</w:t>
            </w:r>
          </w:p>
        </w:tc>
      </w:tr>
    </w:tbl>
    <w:p>
      <w:pPr>
        <w:spacing w:after="0" w:line="201" w:lineRule="exact"/>
        <w:rPr>
          <w:sz w:val="20"/>
          <w:szCs w:val="20"/>
          <w:color w:val="auto"/>
        </w:rPr>
      </w:pPr>
    </w:p>
    <w:p>
      <w:pPr>
        <w:jc w:val="both"/>
        <w:ind w:right="600"/>
        <w:spacing w:after="0" w:line="277" w:lineRule="auto"/>
        <w:rPr>
          <w:sz w:val="20"/>
          <w:szCs w:val="20"/>
          <w:color w:val="auto"/>
        </w:rPr>
      </w:pPr>
      <w:r>
        <w:rPr>
          <w:rFonts w:ascii="Arial" w:cs="Arial" w:eastAsia="Arial" w:hAnsi="Arial"/>
          <w:sz w:val="18"/>
          <w:szCs w:val="18"/>
          <w:color w:val="auto"/>
        </w:rPr>
        <w:t>A summary of the activity of the Level 3 liabilities carried at fair value on a recurring basis for the year-ended December 31, 2020 is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Fair value at issuance of warrant liability</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10,483</w:t>
            </w:r>
          </w:p>
        </w:tc>
        <w:tc>
          <w:tcPr>
            <w:tcW w:w="120" w:type="dxa"/>
            <w:vAlign w:val="bottom"/>
          </w:tcPr>
          <w:p>
            <w:pPr>
              <w:spacing w:after="0"/>
              <w:rPr>
                <w:sz w:val="19"/>
                <w:szCs w:val="19"/>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120" w:type="dxa"/>
            <w:vAlign w:val="bottom"/>
            <w:shd w:val="clear" w:color="auto" w:fill="CFF0FC"/>
          </w:tcPr>
          <w:p>
            <w:pPr>
              <w:spacing w:after="0"/>
              <w:rPr>
                <w:sz w:val="19"/>
                <w:szCs w:val="19"/>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31,821</w:t>
            </w:r>
          </w:p>
        </w:tc>
        <w:tc>
          <w:tcPr>
            <w:tcW w:w="1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Fair value at issuance of contingent earn-out liability</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19"/>
                <w:szCs w:val="19"/>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liability</w:t>
            </w: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120" w:type="dxa"/>
            <w:vAlign w:val="bottom"/>
            <w:shd w:val="clear" w:color="auto" w:fill="CFF0FC"/>
          </w:tcPr>
          <w:p>
            <w:pPr>
              <w:spacing w:after="0"/>
              <w:rPr>
                <w:sz w:val="19"/>
                <w:szCs w:val="19"/>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22,531</w:t>
            </w:r>
          </w:p>
        </w:tc>
        <w:tc>
          <w:tcPr>
            <w:tcW w:w="1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fair value of the outstanding warrants were measured using the Monte Carlo Simulation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warranty line item on the statement of operations.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the change in fair value of contingent earn-out liabilities line item on the statement of operations.</w:t>
      </w:r>
    </w:p>
    <w:p>
      <w:pPr>
        <w:spacing w:after="0" w:line="296"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PREPAID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and other current assets consisted of the following as of December 31, 2019 and 2020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2019 and 2020 (in thousands):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Accrued logistics costs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Sales return reserve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Accrued recall liability</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Insurance financing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All other accruals</w:t>
            </w: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83" w:name="page84"/>
    <w:bookmarkEnd w:id="83"/>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term loans consisted of the following as of December 31, 2019 and 2020 (in thousands):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12,905</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MidCap Credit Facility</w:t>
            </w:r>
          </w:p>
        </w:tc>
        <w:tc>
          <w:tcPr>
            <w:tcW w:w="1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Horizon Term Loan</w:t>
            </w:r>
          </w:p>
        </w:tc>
        <w:tc>
          <w:tcPr>
            <w:tcW w:w="1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Horizon Term Loan</w:t>
            </w:r>
          </w:p>
        </w:tc>
        <w:tc>
          <w:tcPr>
            <w:tcW w:w="1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Term loan-non current portion</w:t>
            </w:r>
          </w:p>
        </w:tc>
        <w:tc>
          <w:tcPr>
            <w:tcW w:w="1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High Trail Term Loan</w:t>
            </w:r>
          </w:p>
        </w:tc>
        <w:tc>
          <w:tcPr>
            <w:tcW w:w="1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(2,207)</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(9,839)</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Less: discount associated with original issuance of loan</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(4,692)</w:t>
            </w: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High Trail warrant</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High Trail Term Loan</w:t>
            </w:r>
          </w:p>
        </w:tc>
        <w:tc>
          <w:tcPr>
            <w:tcW w:w="1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58,083</w:t>
            </w:r>
          </w:p>
        </w:tc>
        <w:tc>
          <w:tcPr>
            <w:tcW w:w="10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(21,600)</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Term loan-non current portion</w:t>
            </w:r>
          </w:p>
        </w:tc>
        <w:tc>
          <w:tcPr>
            <w:tcW w:w="1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and Term Loan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23, 2018, the Company entered into the three-year $25.0 million revolving credit facility (“Credit Facility”) with MidCap. The Credit Facility can be increased, subject to certain conditions, to $50.0 million. Loans under the Credit Facility are determined based on percentages of the Company’s eligible accounts receivable and eligible inventory. The Credit Facility bears interest at a rate of the London Interbank Offered Rate (“LIBOR”) plus 5.75% for outstanding borrowings. The Company is required to pay a facility availability fee of 0.5% on the average unused portion of the Credit Facility.</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 2020, the Company, certain of the Company’s subsidiaries and MidCap entered into an amendment to the Credit Facility, (i) providing for a $30.0 million revolving credit facility, which can be increased, subject to certain conditions, to $50.0 million, (ii) permitting the incurrence of certain debt under certain conditions and restrictions, including the senior secured note with an aggregate principal amount of $43.0 million issued on December 1,</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2020 (the “High Trail Loan”), (iii) permitting certain payments to High Trail Investments SA LLC (“High Trail”) as required under the High Trail Loan, and (iv) permitting the acquisition of the Smash Assets. Further, the Credit Facility was extended to November 23, 2022.</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Credit Facility contains a minimum liquidity financial covenant that requires the Company to maintain a minimum of $6.5 million in cash on hand or availability in the Credit Facility. As of December 31, 2020, the Company has approximately $0.7 million in debt issuance costs which has been offset against the debt and will be expensed over the remaining term of the Credit Facility. The Company was in compliance with the financial covenants contained within the Credit Facility as of December 31, 2020.</w:t>
      </w:r>
    </w:p>
    <w:p>
      <w:pPr>
        <w:spacing w:after="0" w:line="18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As of December 31, 2019, there was $23.0 million outstanding on the Credit Facility and an available balance of approximately $0.0 million. As of December 31, 2020, there was $12.9 million outstanding on the Credit Facility and an available balance of approximately $1.4 million.</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interest expense from the Credit Facility of approximately $2.5 million and $1.9 million for the year-ended December 31, 2019 and 2020, respectively, which included $0.7 million and $0.7 million relating to debt issuance costs,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31, 2018, the Company entered into a term loan agreement (the “Horizon Loan Agreement”) with Horizon Technology Finance Corporation (“Horizon”). As part of the Horizon Loan Agreement, the Company obtained a four-year $15.0 million term loan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84" w:name="page85"/>
    <w:bookmarkEnd w:id="84"/>
    <w:p>
      <w:pPr>
        <w:ind w:right="400"/>
        <w:spacing w:after="0" w:line="342" w:lineRule="auto"/>
        <w:rPr>
          <w:sz w:val="20"/>
          <w:szCs w:val="20"/>
          <w:color w:val="auto"/>
        </w:rPr>
      </w:pPr>
      <w:r>
        <w:rPr>
          <w:rFonts w:ascii="Arial" w:cs="Arial" w:eastAsia="Arial" w:hAnsi="Arial"/>
          <w:sz w:val="16"/>
          <w:szCs w:val="16"/>
          <w:color w:val="auto"/>
        </w:rPr>
        <w:t>(“Horizon Term Loan”). The Horizon Term Loan bears interest at 9.90% plus the amount by which one-month LIBOR exceeds 2.50% for outstanding borrowings, and payments on principal were made on a monthly basis. The maturity date of the Horizon Term Loan was January 2023.</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Horizon Term Loan contained a minimum liquidity covenant that required the Company to maintain a minimum of $10.0 million in unrestricted cash, subject to increases based on amounts drawn under the Credit Facility.</w:t>
      </w:r>
    </w:p>
    <w:p>
      <w:pPr>
        <w:spacing w:after="0" w:line="62" w:lineRule="exact"/>
        <w:rPr>
          <w:sz w:val="20"/>
          <w:szCs w:val="20"/>
          <w:color w:val="auto"/>
        </w:rPr>
      </w:pPr>
    </w:p>
    <w:p>
      <w:pPr>
        <w:ind w:firstLine="45"/>
        <w:spacing w:after="0" w:line="259" w:lineRule="auto"/>
        <w:rPr>
          <w:sz w:val="20"/>
          <w:szCs w:val="20"/>
          <w:color w:val="auto"/>
        </w:rPr>
      </w:pPr>
      <w:r>
        <w:rPr>
          <w:rFonts w:ascii="Arial" w:cs="Arial" w:eastAsia="Arial" w:hAnsi="Arial"/>
          <w:sz w:val="18"/>
          <w:szCs w:val="18"/>
          <w:color w:val="auto"/>
        </w:rPr>
        <w:t>In connection with the Horizon Loan Agreement, the Company issued warrants to purchase 76,923 shares of its common stock at an exercise price of $15.60 per share. The warrants are exercisable and expire ten years from the date of issuance. The Company utilized the Binomial option-pricing model to determine the fair value of the warrants. The fair value of the warrants on issuance was $0.9 million, which has been recorded as a debt discount against the Horizon Term Loan.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December 1, 2020, the Company paid off all remaining obligations under the Horizon Term Loan for $15.0 million and terminated the Term</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Loan. During the year ended December 31, 2020, total repayments were $16.1 million including the payoff of $14.1 million, which included a prepayment fee in an amount equal to 3% of the outstanding principal balance of the Term Loan at the date of payment, and other fees of approximately $0.6 million. In connection with the termination of the Term Loan, the Company recognized loss on extinguishment of debt of $2.0 million which is included in the consolidated statements of operations.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2019 and December 30, 2020 there was $15.0 million and $0, respectively, outstanding on the Horizon Term Loan and the Company was in compliance with the financial covenants.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recorded interest expense from the Horizon Term Loan of $2.0 million and $1.4 million for the years-ended December 31, 2019 and 2020, respectively, which included $0.3 million and $0.6 million, respectively, relating to debt issuance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Loan</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1, 2020, the Company refinanced the Horizon Term Loan through the issuance of a 0% coupon senior secured note to High Trail (the “Note”). The Company received gross proceeds of $38.0 million in exchange for the Note with an aggregate principal amount of $43.0 million. The High Trail Term Loan will be repaid over 24 equal monthly cash payments of $1.8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under the High Trail Term Loan as of December 31, 2020 are as follows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Year-Ending</w:t>
            </w:r>
          </w:p>
        </w:tc>
      </w:tr>
      <w:tr>
        <w:trPr>
          <w:trHeight w:val="17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8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21,400</w:t>
            </w:r>
          </w:p>
        </w:tc>
        <w:tc>
          <w:tcPr>
            <w:tcW w:w="100" w:type="dxa"/>
            <w:vAlign w:val="bottom"/>
          </w:tcPr>
          <w:p>
            <w:pPr>
              <w:spacing w:after="0"/>
              <w:rPr>
                <w:sz w:val="19"/>
                <w:szCs w:val="19"/>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term loan payments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connection with the issuance of the Note, the Company issued to the institutional lender a warrant to purchase an aggregate of 2,864,133 shares of its common stock at an exercise price of $9.01 per share. The Warrant initially provided that it would be exercisable on June 1, 2021, expire five years from the date of issuance and be exercisable on a cash basis, unless there is not an effective registration statement covering the resale of the shares issuable upon exercise of the Warrant, in which case the Warrant would also be exercisable on a cashless exercise basis at High Trail’s election. The Warrant included a provision that gave the Company the right to require High Trail to exercise the Warrant if the price of the common stock of the Company exceeds 200% of the exercise price of the Warrant for 20 consecutive trading days and certain other conditions were satisfied. The Company utilized the Monte-Carlo Simulation model to determine the fair value of the Warrant. As of December 1, 2020, the initial fair value of the Warrant on issuance was $10.5 million, which has been recorded as a debt discount against the High Trail Term Loan. During the year-ended December 31, 2020, the fair value amount of this warrant liability was approximately $31.8 million which includes a change of fair value impact of approximately $21.3 million.</w:t>
      </w:r>
    </w:p>
    <w:p>
      <w:pPr>
        <w:spacing w:after="0" w:line="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202124"/>
          <w:highlight w:val="white"/>
        </w:rPr>
        <w:t>The Warrant is classified as a liability on the consolidated balance sheet as the Warrant contains certain change of control provisions that would benefit the holder as it relates to the calculation of the value of the warrant under certain circumstances.</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 incurred approximately $2.3 million in debt issuance costs which has been offset against the debt and will expense over the term of the High Trail Loan.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5" w:name="page86"/>
    <w:bookmarkEnd w:id="85"/>
    <w:p>
      <w:pPr>
        <w:ind w:right="560"/>
        <w:spacing w:after="0" w:line="259" w:lineRule="auto"/>
        <w:rPr>
          <w:sz w:val="20"/>
          <w:szCs w:val="20"/>
          <w:color w:val="auto"/>
        </w:rPr>
      </w:pPr>
      <w:r>
        <w:rPr>
          <w:rFonts w:ascii="Arial" w:cs="Arial" w:eastAsia="Arial" w:hAnsi="Arial"/>
          <w:sz w:val="18"/>
          <w:szCs w:val="18"/>
          <w:color w:val="auto"/>
        </w:rPr>
        <w:t>The High Trail term loan contains a minimum liquidity financial covenant that required the Company to maintain a minimum of $10.0 million in unrestricted cash on hand. Additionally, as of the last day of each applicable fiscal quarter, the Company is required to maintain Adjusted EBITDA amounts for the 12 month period ending on such day, as defined in the agreement. The Company was in compliance with the High Trail Term Loan financial covenants as of December 31, 2020.</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recorded interest expense from the High Trail Term Loan of $1.1 million for the year-ended December 31, 2020, which included $0.2 million relating to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years-ended December 31, 2019 and 2020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w:t>
      </w:r>
      <w:r>
        <w:rPr>
          <w:rFonts w:ascii="Arial" w:cs="Arial" w:eastAsia="Arial" w:hAnsi="Arial"/>
          <w:sz w:val="16"/>
          <w:szCs w:val="16"/>
          <w:color w:val="auto"/>
        </w:rPr>
        <w:t>—The Company has one class of common shares issued and available. Each share of common stock has the right to one vote per share.</w:t>
      </w:r>
    </w:p>
    <w:p>
      <w:pPr>
        <w:spacing w:after="0" w:line="2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June 14, 2019, the Company completed its IPO, selling 3,600,000 shares of common stock at a public offering price of $10.00 per share. Net proceeds to the Company from the offering were approximately $29.4 million, after deducting legal, underwriting and other offering expenses.</w:t>
      </w:r>
    </w:p>
    <w:p>
      <w:pPr>
        <w:spacing w:after="0" w:line="14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August 26, 2020 the Company completed the Follow-On Offering of 3,860,710 shares of common stock, which includes the exercise by the underwriters of their option to purchase additional shares of common stock solely to cover over-allotments, at a public offering price of $7.00 per share, less underwriting discounts and commissions. The Company received net proceeds of approximately $23.4 million after deducting underwriting discounts and commissions of approximately $2.2 million and other offering expenses payable by the Company of approximately $1.4 million.</w:t>
      </w:r>
    </w:p>
    <w:p>
      <w:pPr>
        <w:spacing w:after="0" w:line="261"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of Mohawk Group, Inc., a subsidiary of the Company (“MGI”), adopted, and MGI’s stockholders approved, the Mohawk Group, Inc. 2014 Equity Incentive Plan on June 11, 2014. On March 1, 2017, MGI’s board of directors adopted, and MGI’s stockholders approved, an amendment and restatement of the 2014 Equity Incentive Plan (as amended, the “Mohawk 2014 Plan”). As of December 31, 2020, 56,458 shares were reserved for awards available for future issuance under the Mohawk 2014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board of directors adopted the Mohawk Group Holdings, Inc. 2018 Equity Incentive Plan (the “Mohawk 2018 Plan”) on October 11, 2018. The Mohawk 2018 Plan was approved by its stockholders on May 24, 2019. As of December 31, 2020, 93,615 shares were reserved for awards available for future issuance under the Mohawk 2018 Plan.</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Options granted to date under the Mohawk 2014 Plan and the Mohawk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2019 Equity Plan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Company’s board of directors adopted the Mohawk Group Holdings, Inc. 2019 Equity Plan (the “2019 Equity Plan”) on March 20, 2019. The 2019 Equity Plan was approved by its stockholders on May 24, 2019. As of December 31, 2020, no shares were reserved for future issuance. Shares of restricted common stock granted under the 2019 Equity Plan initially vested in substantially equal installments on the 6th, 12th, 18th and 24th monthly anniversary of the closing of the IPO. The Company and the 2019 Equity Plan participants subsequently agreed to extend (i) the vesting date for the first installment of shares of restricted common stock under the 2019 Equity Plan to March 13, 2020, (ii) the vesting date for the second installment of shares of restricted common stock to December 15, 2020, (iii) the vesting date for the third installment of shares of restricted common stock to either January 18, 2021 or March 10, 2021, and (iv) the vesting date for the fourth installment of shares of restricted common stock to July 1,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 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 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options activity during the year-ended December 31, 2020:</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1,862,569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(10,697)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(281,144)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1,570,728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1,172,758</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December 31,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1,570,728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2020, the total unrecognized compensation expense related to unvested options was $5.0 million, which the Company expects to recognize over an estimated weighted-average period of 0.78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weighted-average assumptions used in the Black-Scholes option-pricing model to determine grant fair value:</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40" w:type="dxa"/>
            <w:vAlign w:val="bottom"/>
          </w:tcPr>
          <w:p>
            <w:pPr>
              <w:jc w:val="right"/>
              <w:ind w:right="318"/>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Pr>
          <w:p>
            <w:pPr>
              <w:spacing w:after="0"/>
              <w:rPr>
                <w:sz w:val="14"/>
                <w:szCs w:val="14"/>
                <w:color w:val="auto"/>
              </w:rPr>
            </w:pPr>
          </w:p>
        </w:tc>
        <w:tc>
          <w:tcPr>
            <w:tcW w:w="13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20" w:type="dxa"/>
            <w:vAlign w:val="bottom"/>
            <w:tcBorders>
              <w:bottom w:val="single" w:sz="8" w:color="auto"/>
            </w:tcBorders>
            <w:gridSpan w:val="2"/>
          </w:tcPr>
          <w:p>
            <w:pPr>
              <w:ind w:left="640"/>
              <w:spacing w:after="0" w:line="155" w:lineRule="exact"/>
              <w:rPr>
                <w:sz w:val="20"/>
                <w:szCs w:val="20"/>
                <w:color w:val="auto"/>
              </w:rPr>
            </w:pPr>
            <w:r>
              <w:rPr>
                <w:rFonts w:ascii="Arial" w:cs="Arial" w:eastAsia="Arial" w:hAnsi="Arial"/>
                <w:sz w:val="14"/>
                <w:szCs w:val="14"/>
                <w:b w:val="1"/>
                <w:bCs w:val="1"/>
                <w:color w:val="auto"/>
              </w:rPr>
              <w:t>Weighted-Average</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shd w:val="clear" w:color="auto" w:fill="CFF0FC"/>
          </w:tcPr>
          <w:p>
            <w:pPr>
              <w:jc w:val="right"/>
              <w:ind w:right="218"/>
              <w:spacing w:after="0"/>
              <w:rPr>
                <w:sz w:val="20"/>
                <w:szCs w:val="20"/>
                <w:color w:val="auto"/>
              </w:rPr>
            </w:pPr>
            <w:r>
              <w:rPr>
                <w:rFonts w:ascii="Arial" w:cs="Arial" w:eastAsia="Arial" w:hAnsi="Arial"/>
                <w:sz w:val="18"/>
                <w:szCs w:val="18"/>
                <w:color w:val="auto"/>
              </w:rPr>
              <w:t>5.77</w:t>
            </w:r>
          </w:p>
        </w:tc>
        <w:tc>
          <w:tcPr>
            <w:tcW w:w="1080" w:type="dxa"/>
            <w:vAlign w:val="bottom"/>
            <w:shd w:val="clear" w:color="auto" w:fill="CFF0FC"/>
          </w:tcPr>
          <w:p>
            <w:pPr>
              <w:ind w:left="9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Volatility</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66.72%</w:t>
            </w:r>
          </w:p>
        </w:tc>
        <w:tc>
          <w:tcPr>
            <w:tcW w:w="116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1.76%</w:t>
            </w:r>
          </w:p>
        </w:tc>
        <w:tc>
          <w:tcPr>
            <w:tcW w:w="116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Dividend Yield</w:t>
            </w:r>
          </w:p>
        </w:tc>
        <w:tc>
          <w:tcPr>
            <w:tcW w:w="1340" w:type="dxa"/>
            <w:vAlign w:val="bottom"/>
          </w:tcPr>
          <w:p>
            <w:pPr>
              <w:jc w:val="right"/>
              <w:ind w:right="218"/>
              <w:spacing w:after="0"/>
              <w:rPr>
                <w:sz w:val="20"/>
                <w:szCs w:val="20"/>
                <w:color w:val="auto"/>
              </w:rPr>
            </w:pPr>
            <w:r>
              <w:rPr>
                <w:rFonts w:ascii="Arial" w:cs="Arial" w:eastAsia="Arial" w:hAnsi="Arial"/>
                <w:sz w:val="18"/>
                <w:szCs w:val="18"/>
                <w:color w:val="auto"/>
              </w:rPr>
              <w:t>0.000</w:t>
            </w:r>
          </w:p>
        </w:tc>
        <w:tc>
          <w:tcPr>
            <w:tcW w:w="1160" w:type="dxa"/>
            <w:vAlign w:val="bottom"/>
            <w:gridSpan w:val="2"/>
          </w:tcPr>
          <w:p>
            <w:pPr>
              <w:ind w:left="90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year-ended December 31, 2020, no options were granted.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 summary of restricted stock activity within the Company’s equity plans and changes for the year-ended December 31, 2020,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Restricted Stock Awards</w:t>
            </w:r>
          </w:p>
        </w:tc>
        <w:tc>
          <w:tcPr>
            <w:tcW w:w="3680" w:type="dxa"/>
            <w:vAlign w:val="bottom"/>
            <w:vMerge w:val="restart"/>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7"/>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January 1, 2020</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2,601,972</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1,605,209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(400,798)</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(546,994)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3,259,389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March 12, 2020, 371,329 shares of restricted common stock were forfeited and treated as a cancellation with remaining unrecognized expense for the unvested awards recognized on the date of cancellation. The Company did not reverse previously recognized compensation expenses as a result of these cancellations.</w:t>
      </w:r>
    </w:p>
    <w:p>
      <w:pPr>
        <w:spacing w:after="0" w:line="18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weighted-average grant date fair value of shares of restricted common stock granted during the year-ended December 31, 2019 was $18.52. As of December 31, 2019, the total unrecognized compensation expense related to unvested shares of restricted common stock was $19.4 million, which the Company expects to recognize over an estimated weighted-average period of 1.24 years.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2020, the total unrecognized compensation expense related to unvested shares of restricted common stock was $12.2 million, which the Company expects to recognize over an estimated weighted-average period of 0.97 years.</w:t>
      </w:r>
    </w:p>
    <w:p>
      <w:pPr>
        <w:spacing w:after="0" w:line="170" w:lineRule="exact"/>
        <w:rPr>
          <w:sz w:val="20"/>
          <w:szCs w:val="20"/>
          <w:color w:val="auto"/>
        </w:rPr>
      </w:pPr>
    </w:p>
    <w:p>
      <w:pPr>
        <w:spacing w:after="0" w:line="328" w:lineRule="auto"/>
        <w:rPr>
          <w:sz w:val="20"/>
          <w:szCs w:val="20"/>
          <w:color w:val="auto"/>
        </w:rPr>
      </w:pPr>
      <w:r>
        <w:rPr>
          <w:rFonts w:ascii="Arial" w:cs="Arial" w:eastAsia="Arial" w:hAnsi="Arial"/>
          <w:sz w:val="16"/>
          <w:szCs w:val="16"/>
          <w:color w:val="auto"/>
        </w:rPr>
        <w:t>Stock-based compensation expense is allocated based on the cost center to which the award holder belongs. The following table summarizes the total stock-based compensation expense by function, including expense related to consultants for years-ended December 31, 2019 and 2020 (in thousands)</w:t>
      </w:r>
      <w:r>
        <w:rPr>
          <w:rFonts w:ascii="Arial" w:cs="Arial" w:eastAsia="Arial" w:hAnsi="Arial"/>
          <w:sz w:val="19"/>
          <w:szCs w:val="19"/>
          <w:color w:val="222222"/>
        </w:rPr>
        <w:t>.</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Years-End December 31,</w:t>
            </w:r>
          </w:p>
        </w:tc>
      </w:t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16,218</w:t>
            </w:r>
          </w:p>
        </w:tc>
        <w:tc>
          <w:tcPr>
            <w:tcW w:w="80" w:type="dxa"/>
            <w:vAlign w:val="bottom"/>
            <w:shd w:val="clear" w:color="auto" w:fill="CFF0FC"/>
          </w:tcPr>
          <w:p>
            <w:pPr>
              <w:spacing w:after="0"/>
              <w:rPr>
                <w:sz w:val="19"/>
                <w:szCs w:val="19"/>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34,681</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22,716</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32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Inventory Purchases</w:t>
      </w:r>
      <w:r>
        <w:rPr>
          <w:rFonts w:ascii="Arial" w:cs="Arial" w:eastAsia="Arial" w:hAnsi="Arial"/>
          <w:sz w:val="18"/>
          <w:szCs w:val="18"/>
          <w:color w:val="auto"/>
        </w:rPr>
        <w:t>—As of December 31, 2019 and 2020, the Company had $19.4 million and $55.0 million, respectively, of inventory purchase orders</w:t>
      </w:r>
      <w:r>
        <w:rPr>
          <w:rFonts w:ascii="Arial" w:cs="Arial" w:eastAsia="Arial" w:hAnsi="Arial"/>
          <w:sz w:val="18"/>
          <w:szCs w:val="18"/>
          <w:b w:val="1"/>
          <w:bCs w:val="1"/>
          <w:color w:val="auto"/>
        </w:rPr>
        <w:t xml:space="preserve"> </w:t>
      </w:r>
      <w:r>
        <w:rPr>
          <w:rFonts w:ascii="Arial" w:cs="Arial" w:eastAsia="Arial" w:hAnsi="Arial"/>
          <w:sz w:val="18"/>
          <w:szCs w:val="18"/>
          <w:color w:val="auto"/>
        </w:rPr>
        <w:t>placed with vendors waiting to be fulfilled.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is party to various actions and claims arising in the normal course of business. The Company does not believe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final outcome of these matters will have a material adverse effect on the Company’s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consolidated financial condition or results of operations. Further, no assurance can be given that the amount or scope of existing insurance coverage will be sufficient to cover losses arising from such matters.</w:t>
      </w:r>
    </w:p>
    <w:p>
      <w:pPr>
        <w:spacing w:after="0" w:line="16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Sales or Other Similar Taxes</w:t>
      </w:r>
      <w:r>
        <w:rPr>
          <w:rFonts w:ascii="Arial" w:cs="Arial" w:eastAsia="Arial" w:hAnsi="Arial"/>
          <w:sz w:val="17"/>
          <w:szCs w:val="17"/>
          <w:color w:val="auto"/>
        </w:rPr>
        <w:t>—Based on the location of the Company’s current operations, the majority of sales tax is collected and remitted either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on its behalf by e-commerce marketplaces in most states within 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2019 and December 31, 2020, the Company estimates that the potential liability, including current sales tax payable is approximately $0.5 million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28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U.S. Department of Energy</w:t>
      </w:r>
      <w:r>
        <w:rPr>
          <w:rFonts w:ascii="Arial" w:cs="Arial" w:eastAsia="Arial" w:hAnsi="Arial"/>
          <w:sz w:val="16"/>
          <w:szCs w:val="16"/>
          <w:color w:val="auto"/>
        </w:rPr>
        <w:t>—In September 2019, the Company received a Test Notice from the U.S. Department of Energy (“DOE”) indicating that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6"/>
          <w:szCs w:val="16"/>
          <w:color w:val="222222"/>
        </w:rPr>
        <w:t>The</w:t>
      </w:r>
      <w:r>
        <w:rPr>
          <w:rFonts w:ascii="Arial" w:cs="Arial" w:eastAsia="Arial" w:hAnsi="Arial"/>
          <w:sz w:val="16"/>
          <w:szCs w:val="16"/>
          <w:color w:val="auto"/>
        </w:rPr>
        <w:t xml:space="preserve"> </w:t>
      </w:r>
      <w:r>
        <w:rPr>
          <w:rFonts w:ascii="Arial" w:cs="Arial" w:eastAsia="Arial" w:hAnsi="Arial"/>
          <w:sz w:val="16"/>
          <w:szCs w:val="16"/>
          <w:color w:val="222222"/>
        </w:rPr>
        <w:t xml:space="preserve">Company believes that its products are compliant, and the Company, in conjunction with its manufacturing partner, has disputed the Test Notice received from the DOE. </w:t>
      </w:r>
      <w:r>
        <w:rPr>
          <w:rFonts w:ascii="Arial" w:cs="Arial" w:eastAsia="Arial" w:hAnsi="Arial"/>
          <w:sz w:val="16"/>
          <w:szCs w:val="16"/>
          <w:color w:val="000000"/>
        </w:rPr>
        <w:t>As of the date of the issuance of these financial statements, the Company cannot reasonably estimate what, if any, penalties may be levied.</w:t>
      </w:r>
    </w:p>
    <w:p>
      <w:pPr>
        <w:spacing w:after="0" w:line="2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U.S. Environmental Protection Agency</w:t>
      </w:r>
      <w:r>
        <w:rPr>
          <w:rFonts w:ascii="Arial" w:cs="Arial" w:eastAsia="Arial" w:hAnsi="Arial"/>
          <w:sz w:val="17"/>
          <w:szCs w:val="17"/>
          <w:color w:val="auto"/>
        </w:rPr>
        <w:t>—In September 2019, the Company received notice from the U.S. Environmental Protection Agency (“EPA”) that</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7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had placed a hold on the sale of certain of the Company's dehumidifier inventory while it reviews the matter with the Company. As of October 2020, the Company is able to resume selling the products identified by the EPA, and discussions are continuing with the EPA. The Company cannot be certain of the outcome with the EPA, and the Company may incur costs and penalties that cannot presently be calculated in the event that the Company is unable to resolve this matter with the EPA.</w:t>
      </w:r>
    </w:p>
    <w:p>
      <w:pPr>
        <w:spacing w:after="0" w:line="296"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provision for income taxes consisted of the following for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2340" w:type="dxa"/>
            <w:vAlign w:val="bottom"/>
            <w:tcBorders>
              <w:bottom w:val="single" w:sz="8" w:color="CFF0FC"/>
            </w:tcBorders>
          </w:tcPr>
          <w:p>
            <w:pPr>
              <w:spacing w:after="0"/>
              <w:rPr>
                <w:sz w:val="14"/>
                <w:szCs w:val="14"/>
                <w:color w:val="auto"/>
              </w:rPr>
            </w:pPr>
          </w:p>
        </w:tc>
        <w:tc>
          <w:tcPr>
            <w:tcW w:w="30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(62,985)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20" w:type="dxa"/>
            <w:vAlign w:val="bottom"/>
            <w:gridSpan w:val="2"/>
          </w:tcPr>
          <w:p>
            <w:pPr>
              <w:jc w:val="right"/>
              <w:ind w:right="1287"/>
              <w:spacing w:after="0"/>
              <w:rPr>
                <w:sz w:val="20"/>
                <w:szCs w:val="20"/>
                <w:color w:val="auto"/>
              </w:rPr>
            </w:pPr>
            <w:r>
              <w:rPr>
                <w:rFonts w:ascii="Arial" w:cs="Arial" w:eastAsia="Arial" w:hAnsi="Arial"/>
                <w:sz w:val="18"/>
                <w:szCs w:val="18"/>
                <w:color w:val="auto"/>
              </w:rPr>
              <w:t>F-24</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components of the Company’s income tax provision were as follows for the periods indicated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ind w:left="24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ind w:left="820"/>
              <w:spacing w:after="0"/>
              <w:rPr>
                <w:sz w:val="20"/>
                <w:szCs w:val="20"/>
                <w:color w:val="auto"/>
              </w:rPr>
            </w:pPr>
            <w:r>
              <w:rPr>
                <w:rFonts w:ascii="Arial" w:cs="Arial" w:eastAsia="Arial" w:hAnsi="Arial"/>
                <w:sz w:val="18"/>
                <w:szCs w:val="18"/>
                <w:color w:val="auto"/>
                <w:w w:val="79"/>
              </w:rPr>
              <w:t>28</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79"/>
              </w:rPr>
              <w:t>28</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20</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20</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79"/>
              </w:rPr>
              <w:t>48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reconciliation of the Federal statutory income tax provision to the Company’s effective income tax provision is as follows for the periods indicated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statutory rates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(2,056)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expense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Company’s effective tax rate was 0.05% and 0.08% for the year ended December 31, 2019 and December 31, 2020, respectively. The effective tax rate in both 2019 and 2020 was principally due to minimum state taxes accrued against the Company’s pre-tax operating loss in each fiscal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and liabilities as of the dates indicated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Sales returns reserve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 for doubtful accounts</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carryforwards</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Interest expense limitation</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Intangibles</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valuation allowances</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(29,944)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(37,823)</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assets</w:t>
            </w:r>
          </w:p>
        </w:tc>
        <w:tc>
          <w:tcPr>
            <w:tcW w:w="2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valuation allowances</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liabilities</w:t>
            </w:r>
          </w:p>
        </w:tc>
        <w:tc>
          <w:tcPr>
            <w:tcW w:w="2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 (liabilities)</w:t>
            </w:r>
          </w:p>
        </w:tc>
        <w:tc>
          <w:tcPr>
            <w:tcW w:w="2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gridSpan w:val="2"/>
          </w:tcPr>
          <w:p>
            <w:pPr>
              <w:jc w:val="right"/>
              <w:ind w:right="1287"/>
              <w:spacing w:after="0"/>
              <w:rPr>
                <w:sz w:val="20"/>
                <w:szCs w:val="20"/>
                <w:color w:val="auto"/>
              </w:rPr>
            </w:pPr>
            <w:r>
              <w:rPr>
                <w:rFonts w:ascii="Arial" w:cs="Arial" w:eastAsia="Arial" w:hAnsi="Arial"/>
                <w:sz w:val="18"/>
                <w:szCs w:val="18"/>
                <w:color w:val="auto"/>
              </w:rPr>
              <w:t>F-25</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0" w:name="page91"/>
    <w:bookmarkEnd w:id="90"/>
    <w:p>
      <w:pPr>
        <w:ind w:right="40"/>
        <w:spacing w:after="0" w:line="269" w:lineRule="auto"/>
        <w:rPr>
          <w:sz w:val="20"/>
          <w:szCs w:val="20"/>
          <w:color w:val="auto"/>
        </w:rPr>
      </w:pPr>
      <w:r>
        <w:rPr>
          <w:rFonts w:ascii="Arial" w:cs="Arial" w:eastAsia="Arial" w:hAnsi="Arial"/>
          <w:sz w:val="17"/>
          <w:szCs w:val="17"/>
          <w:color w:val="auto"/>
        </w:rPr>
        <w:t>The Company has temporary differences due to differences in recognition of revenue and expenses for tax and financial reporting purposes, principally related to net operating losses, inventory, depreciation, and other expenses that are not currently deductible or realizable. On December 31, 2019, the Company had approximately $82.9 million of gross federal net operating losses (“NOLs”) which will begin to expire in fiscal year 2034 if unused. The Company also has approximately $46.4 million apportioned state and local NOLs that expire between 2025 and 2035, depending on the state, if not used. At December 20, 2020, the Company had approximately $87.0 million of gross federal NOLs which will begin to expire in fiscal year 2034 if unused. The Company also has approximately $45.8 million apportioned state and local NOLs that expire between 2025 and 2035, depending on the state, if not used. The NOL carryforwards for federal and state income tax purposes which, generally, can be used to reduce future taxable income.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shareholders owning directly or indirectly 5% or more of a company’s stock, including certain public “groups” of shareholders as set forth by Section 382 of the Code, including those arising from new stock issuances and other equity transactions</w:t>
      </w:r>
      <w:r>
        <w:rPr>
          <w:rFonts w:ascii="Arial" w:cs="Arial" w:eastAsia="Arial" w:hAnsi="Arial"/>
          <w:sz w:val="17"/>
          <w:szCs w:val="17"/>
          <w:i w:val="1"/>
          <w:iCs w:val="1"/>
          <w:color w:val="222222"/>
        </w:rPr>
        <w:t>.</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response to COVID-19, various governments worldwide have enacted, or are in the process of enacting, measures to provide relief to businesses negatively affected by the pandemic. On March 27, 2020, the Coronavirus Aid, Relief and Economic Security Act ("CARES Act") was signed into law in the United States. The CARES Act provides relief to U.S. corporations through financial assistance programs and modifications to certain payroll and income tax provisions. In connection with CARES Act and other financial relief measures worldwide, the Company has recognized $0.3 million of payroll related credits in other current liabilities for the year-ended ended December 31, 2020. The payroll related credits are recorded in other current liabilities within the consolidated balance sheet.</w:t>
      </w:r>
    </w:p>
    <w:p>
      <w:pPr>
        <w:spacing w:after="0" w:line="19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to the Company’s history of net operating losses, the Company believes it is more likely than not its federal, state and foreign deferred tax assets will not be realized as of December 31, 2020.</w:t>
      </w:r>
    </w:p>
    <w:p>
      <w:pPr>
        <w:spacing w:after="0" w:line="1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major taxing jurisdictions are New Jersey, New York, Florida, Texas, Pennsylvania, Tennessee, Virginia and California.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not currently under examination for income taxes in any jurisdiction.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2019 and 2020, the Company has not recorded any tax contingency accruals for uncertain tax positions.</w:t>
      </w:r>
    </w:p>
    <w:p>
      <w:pPr>
        <w:spacing w:after="0" w:line="269" w:lineRule="exact"/>
        <w:rPr>
          <w:sz w:val="20"/>
          <w:szCs w:val="20"/>
          <w:color w:val="auto"/>
        </w:rPr>
      </w:pPr>
    </w:p>
    <w:p>
      <w:pPr>
        <w:ind w:right="7840" w:firstLine="8"/>
        <w:spacing w:after="0" w:line="378" w:lineRule="auto"/>
        <w:tabs>
          <w:tab w:leader="none" w:pos="49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 Restated Voting Agreement</w:t>
      </w:r>
    </w:p>
    <w:p>
      <w:pPr>
        <w:spacing w:after="0" w:line="273" w:lineRule="auto"/>
        <w:rPr>
          <w:sz w:val="20"/>
          <w:szCs w:val="20"/>
          <w:color w:val="auto"/>
        </w:rPr>
      </w:pPr>
      <w:r>
        <w:rPr>
          <w:rFonts w:ascii="Arial" w:cs="Arial" w:eastAsia="Arial" w:hAnsi="Arial"/>
          <w:sz w:val="17"/>
          <w:szCs w:val="17"/>
          <w:color w:val="auto"/>
        </w:rPr>
        <w:t>On November 1, 2018, Dr. Larisa Storozhenko, Maximus Yaney and Asher Maximus I, LLC (the “Initial Designating Parties”) entered into a voting agreement with Mr. Asher Delug, one of the stockholders of the Company and a member of the Company’s board of directors, pursuant to which Mr. Delug will have the power to vote such number of shares of common stock as is equal to: (a) all of the shares of the Company’s common stock beneficially held by the Initial Designating Parties minus (b) such number of shares of common stock representing 19.9% of the total voting power of the Company’s capital stock outstanding with respect to the election of directors, the appointment of officers and any amendments of the Company’s amended and restated certificate of incorporation or amended and restated bylaws (the “Voting Agreement”).</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Voting Agreement was amended and restated pursuant to a new Voting Agreement, dated March 13, 2019, by and among MV II, LLC, Dr. Larisa Storozhenko, Mr. Maximus Yaney, Mr. Delug and the Company (the “Restated Voting Agreement”). Under the Restated Voting Agreement, each of MV II, LLC, Dr. Larisa Storozhenko and Mr. Yaney (collectively, the “Designating Parties”) agreed to relinquish the right to vote their shares of the Company’s capital stock, and any of the Company’s other equity interests (collectively, the “Voting Interests”) by granting the Company’s board of directors the sole right to vote all of the Voting Interests as the Designating Parties’ proxyholder. The Voting Interests include all shares of the Company’s common stock currently held by the Designating Parties, as well as any of the Company’s securities or other equity interests acquired by the Designating Parties in the future. Pursuant to the proxy granted by the Designating Parties, the Company’s board of directors is required to vote all of the Voting Interests in direct proportion to the voting of the shares and equity interests voted by all holders other than the Designating Parties.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1" w:name="page92"/>
    <w:bookmarkEnd w:id="91"/>
    <w:p>
      <w:pPr>
        <w:ind w:right="40"/>
        <w:spacing w:after="0" w:line="277" w:lineRule="auto"/>
        <w:rPr>
          <w:sz w:val="20"/>
          <w:szCs w:val="20"/>
          <w:color w:val="auto"/>
        </w:rPr>
      </w:pPr>
      <w:r>
        <w:rPr>
          <w:rFonts w:ascii="Arial" w:cs="Arial" w:eastAsia="Arial" w:hAnsi="Arial"/>
          <w:sz w:val="18"/>
          <w:szCs w:val="18"/>
          <w:color w:val="auto"/>
        </w:rPr>
        <w:t>The proxy granted by the Designating Parties under the Restated Voting Agreement is irrevocable. In addition, the Restated Voting Agreement proxyholder may not be changed unless the Company receives the prior approval of The Nasdaq Stock Market LLC.</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Under the Restated Voting Agreement, each of the Designating Parties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Restated Voting Agreement became effective on June 12, 2019 and will continue until the earlier to occur of (a) a Deemed Liquidation Event unless, immediately upon such Deemed Liquidation Event, the Company’s common stock is and remains listed on The Nasdaq Stock Market LLC, or</w:t>
      </w:r>
    </w:p>
    <w:p>
      <w:pPr>
        <w:ind w:right="20" w:firstLine="8"/>
        <w:spacing w:after="0" w:line="268" w:lineRule="auto"/>
        <w:tabs>
          <w:tab w:leader="none" w:pos="2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Yaney’s death. For purposes of the agreement, a “Deemed Liquidation Event” means (i) the acquisition of the Company by another entity by means of any transaction or series of related transactions to which the Company is party other than a transaction or series of transactions in which the holders of the Company’s voting securities outstanding immediately prior to such transaction or series of transactions retain, immediately after such transaction or series of transactions, as a result of the Company’s shares held by such holders prior to such transaction or series of transactions, a majority of the total voting power represented by the Company’s outstanding voting securities or such other surviving or resulting entity; (ii) a sale, lease or other disposition of all or substantially all of the Company’s or its subsidiaries’ assets taken as a whole by means of any transaction or series of related transactions, except where such sale, lease or other disposition is to a wholly-owned subsidiary of the Company; or (iii) any liquidation, dissolution or winding up of the Company, whether voluntary or involuntary; however, a Deemed Liquidation Event shall not include any transaction effected primarily to raise capital for the Company or a spin-off or similar divestiture of the Company’s product or PaaS business as part of reorganization of the Company approved by the Company’s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 with Asher Delug</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April 12, 2019, the Company entered into a Voting Agreement with Asher Delug (the “Delug Voting Agreement”). The terms of the Delug Voting Agreement are substantially similar to the terms of the Restated Voting Agreement.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Delug Voting Agreement, Mr. Delug agreed to relinquish his right to vote his shares of the Company’s capital stock, and any of the Company’s other equity interests (collectively, the “Delug Voting Interests”) by granting the Company’s board of directors the sole right to vote all of the Delug Voting Interests as Mr. Delug’s proxyholder. The Delug Voting Interests include all shares of the Company’s common stock currently held by Mr. Delug, as well as any of the Company’s securities or other equity interests acquired by Mr. Delug in the future. Pursuant to the proxy granted by Mr. Delug, the Company’s board of directors is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the Company receives the prior approval of The Nasdaq Stock Market LLC.</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Under the Delug Voting Agreement, Mr. Delug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The Delug Voting Agreement became effective on June 12, 2019 and will continue until the earlier to occur of (a) a Deemed Liquidation Event unless, immediately upon such Deemed Liquidation Event, the Company’s common stock is and remains listed on The Nasdaq Stock Market LLC, or (b) Mr. Delug’s death. For purposes of the agreement, a “Deemed Liquidation Event” has the same meaning as in the Restated Voting Agreement.</w:t>
      </w:r>
    </w:p>
    <w:p>
      <w:pPr>
        <w:spacing w:after="0" w:line="253"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2" w:name="page93"/>
    <w:bookmarkEnd w:id="92"/>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Year-Ended December 31,</w:t>
            </w:r>
          </w:p>
        </w:tc>
      </w:tr>
      <w:tr>
        <w:trPr>
          <w:trHeight w:val="156"/>
        </w:trPr>
        <w:tc>
          <w:tcPr>
            <w:tcW w:w="53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(63,126)</w:t>
            </w: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Weighted-average number of shares used in computing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loss per share, basic and diluted</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13,516,844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17,167,999</w:t>
            </w:r>
          </w:p>
        </w:tc>
        <w:tc>
          <w:tcPr>
            <w:tcW w:w="80" w:type="dxa"/>
            <w:vAlign w:val="bottom"/>
          </w:tcPr>
          <w:p>
            <w:pPr>
              <w:spacing w:after="0"/>
              <w:rPr>
                <w:sz w:val="20"/>
                <w:szCs w:val="20"/>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(4.35)</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All other outstanding potentially dilutive securities, including shares of restricted common stock, common stock options (See Note 11) - and common stock warrants (See Note 2) were excluded from the computation of diluted net loss per share because including them would have had an anti-dilutive effect.</w:t>
      </w:r>
    </w:p>
    <w:p>
      <w:pPr>
        <w:spacing w:after="0" w:line="228" w:lineRule="exact"/>
        <w:rPr>
          <w:sz w:val="20"/>
          <w:szCs w:val="20"/>
          <w:color w:val="auto"/>
        </w:rPr>
      </w:pPr>
    </w:p>
    <w:p>
      <w:pPr>
        <w:ind w:right="9020" w:firstLine="8"/>
        <w:spacing w:after="0" w:line="378" w:lineRule="auto"/>
        <w:tabs>
          <w:tab w:leader="none" w:pos="87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2019 Acquisition</w:t>
      </w:r>
    </w:p>
    <w:p>
      <w:pPr>
        <w:ind w:right="100"/>
        <w:spacing w:after="0" w:line="259" w:lineRule="auto"/>
        <w:rPr>
          <w:sz w:val="20"/>
          <w:szCs w:val="20"/>
          <w:color w:val="auto"/>
        </w:rPr>
      </w:pPr>
      <w:r>
        <w:rPr>
          <w:rFonts w:ascii="Arial" w:cs="Arial" w:eastAsia="Arial" w:hAnsi="Arial"/>
          <w:sz w:val="18"/>
          <w:szCs w:val="18"/>
          <w:color w:val="auto"/>
        </w:rPr>
        <w:t>On September 10, 2019, the Company completed the acquisition of the assets of a personal wellness company (the “Aussie Health Assets”), whose products sell primarily on the Amazon US marketplace, for total consideration of $1.3 million, which was comprised of cash of $1.1 million and a promissory note for $0.2 million that accrued interest at a rate of 8% per annum and matured on June 10, 2020. The Company also paid $0.1 million in the form of a working capital payment related to the inventory purchased within sixty days of closing.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their estimated fair values at acquisition date (in thousands):</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 (in thousands, except the useful life):</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allocated</w:t>
            </w:r>
          </w:p>
        </w:tc>
        <w:tc>
          <w:tcPr>
            <w:tcW w:w="2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n.a.</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1280" w:type="dxa"/>
            <w:vAlign w:val="bottom"/>
            <w:gridSpan w:val="2"/>
          </w:tcPr>
          <w:p>
            <w:pPr>
              <w:jc w:val="right"/>
              <w:ind w:right="40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3"/>
              </w:rPr>
              <w:t>&lt; 1</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Non-competition agreement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CFF0FC"/>
            </w:tcBorders>
            <w:gridSpan w:val="2"/>
          </w:tcPr>
          <w:p>
            <w:pPr>
              <w:jc w:val="right"/>
              <w:ind w:right="402"/>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Truweo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26, 2020, the Company completed the acquisition of the Truweo Assets, whose products sell primarily on the Amazon US marketplace, for total consideration of $16.4 million, which was comprised of cash of $14.0 million and a promissory note for $2.4 million. The promissory note accrues interest at a rate of 8% per annum, with $0.6 million principal and accrued interest payments due on November 30, 2021, February 28, 2022, and May 31, 2022 and matures on August 22, 2022.</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 estimated fair values at acquisition date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7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Pr>
          <w:p>
            <w:pPr>
              <w:spacing w:after="0"/>
              <w:rPr>
                <w:sz w:val="19"/>
                <w:szCs w:val="19"/>
                <w:color w:val="auto"/>
              </w:rPr>
            </w:pPr>
          </w:p>
        </w:tc>
      </w:tr>
      <w:tr>
        <w:trPr>
          <w:trHeight w:val="22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120" w:type="dxa"/>
            <w:vAlign w:val="bottom"/>
            <w:shd w:val="clear" w:color="auto" w:fill="CFF0FC"/>
          </w:tcPr>
          <w:p>
            <w:pPr>
              <w:spacing w:after="0"/>
              <w:rPr>
                <w:sz w:val="19"/>
                <w:szCs w:val="19"/>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16,440</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 (in thousands, except the useful life):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3" w:name="page94"/>
    <w:bookmarkEnd w:id="93"/>
    <w:tbl>
      <w:tblPr>
        <w:tblLayout w:type="fixed"/>
        <w:tblInd w:w="580" w:type="dxa"/>
        <w:tblCellMar>
          <w:top w:w="0" w:type="dxa"/>
          <w:left w:w="0" w:type="dxa"/>
          <w:bottom w:w="0" w:type="dxa"/>
          <w:right w:w="0" w:type="dxa"/>
        </w:tblCellMar>
      </w:tblPr>
      <w:tr>
        <w:trPr>
          <w:trHeight w:val="171"/>
        </w:trPr>
        <w:tc>
          <w:tcPr>
            <w:tcW w:w="65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Amount Allocated</w:t>
            </w:r>
          </w:p>
        </w:tc>
        <w:tc>
          <w:tcPr>
            <w:tcW w:w="20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Useful life (in years)</w:t>
            </w: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n.a.</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3,900</w:t>
            </w:r>
          </w:p>
        </w:tc>
        <w:tc>
          <w:tcPr>
            <w:tcW w:w="19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10</w:t>
            </w: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9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7"/>
              </w:rPr>
              <w:t>&lt;1</w:t>
            </w:r>
          </w:p>
        </w:tc>
      </w:tr>
      <w:tr>
        <w:trPr>
          <w:trHeight w:val="229"/>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Transition services agreement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960" w:type="dxa"/>
            <w:vAlign w:val="bottom"/>
            <w:tcBorders>
              <w:bottom w:val="single" w:sz="8" w:color="CFF0FC"/>
            </w:tcBorders>
            <w:gridSpan w:val="2"/>
          </w:tcPr>
          <w:p>
            <w:pPr>
              <w:jc w:val="center"/>
              <w:ind w:left="90"/>
              <w:spacing w:after="0"/>
              <w:rPr>
                <w:sz w:val="20"/>
                <w:szCs w:val="20"/>
                <w:color w:val="auto"/>
              </w:rPr>
            </w:pPr>
            <w:r>
              <w:rPr>
                <w:rFonts w:ascii="Arial" w:cs="Arial" w:eastAsia="Arial" w:hAnsi="Arial"/>
                <w:sz w:val="18"/>
                <w:szCs w:val="18"/>
                <w:color w:val="auto"/>
                <w:w w:val="99"/>
              </w:rPr>
              <w:t>3</w:t>
            </w: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intangible assets</w:t>
            </w: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15,845</w:t>
            </w:r>
          </w:p>
        </w:tc>
        <w:tc>
          <w:tcPr>
            <w:tcW w:w="20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Truweo products into the Company’s existing sales channels.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Smash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 2020, the Company completed the acquisition of the Smash Assets, which consisted of products sold primarily on the Amazon US marketplace, for total consideration comprised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 In addition, subject to achievement of certain contribution margin thresholds on certain products of the acquired business for the fiscal years ending December 31, 2021 and December 31, 2022, the sellers will be entitled to receive earn out payments.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 estimated fair values at acquisition date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237"/>
        </w:trPr>
        <w:tc>
          <w:tcPr>
            <w:tcW w:w="4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4"/>
                <w:szCs w:val="14"/>
                <w:color w:val="auto"/>
              </w:rPr>
              <w:t>(in thousands)</w:t>
            </w: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34,739</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Trademarks</w:t>
            </w:r>
          </w:p>
        </w:tc>
        <w:tc>
          <w:tcPr>
            <w:tcW w:w="3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27,600</w:t>
            </w:r>
          </w:p>
        </w:tc>
        <w:tc>
          <w:tcPr>
            <w:tcW w:w="12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Production deposits</w:t>
            </w:r>
          </w:p>
        </w:tc>
        <w:tc>
          <w:tcPr>
            <w:tcW w:w="3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AP and other liabilities</w:t>
            </w:r>
          </w:p>
        </w:tc>
        <w:tc>
          <w:tcPr>
            <w:tcW w:w="3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(3,088)</w:t>
            </w:r>
          </w:p>
        </w:tc>
      </w:tr>
      <w:tr>
        <w:trPr>
          <w:trHeight w:val="236"/>
        </w:trPr>
        <w:tc>
          <w:tcPr>
            <w:tcW w:w="4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79,052</w:t>
            </w:r>
          </w:p>
        </w:tc>
        <w:tc>
          <w:tcPr>
            <w:tcW w:w="12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 (in thousands, except the useful life):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Amount Allocated</w:t>
            </w:r>
          </w:p>
        </w:tc>
        <w:tc>
          <w:tcPr>
            <w:tcW w:w="20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Useful life (in years)</w:t>
            </w:r>
          </w:p>
        </w:tc>
        <w:tc>
          <w:tcPr>
            <w:tcW w:w="0" w:type="dxa"/>
            <w:vAlign w:val="bottom"/>
          </w:tcPr>
          <w:p>
            <w:pPr>
              <w:spacing w:after="0"/>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34,739</w:t>
            </w:r>
          </w:p>
        </w:tc>
        <w:tc>
          <w:tcPr>
            <w:tcW w:w="2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19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Net Intangible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62,339</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Smash products into the Company’s existing sales channels.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unaudited pro forma information illustrates the impact of the Aussie Health Assets, the Truweo Assets, and the Smash Assets acquisitions on the Company’s net revenue for the years-ended December 31, 2019 and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ind w:right="560" w:firstLine="54"/>
        <w:spacing w:after="0" w:line="277" w:lineRule="auto"/>
        <w:rPr>
          <w:sz w:val="20"/>
          <w:szCs w:val="20"/>
          <w:color w:val="auto"/>
        </w:rPr>
      </w:pPr>
      <w:r>
        <w:rPr>
          <w:rFonts w:ascii="Arial" w:cs="Arial" w:eastAsia="Arial" w:hAnsi="Arial"/>
          <w:sz w:val="18"/>
          <w:szCs w:val="18"/>
          <w:color w:val="auto"/>
        </w:rPr>
        <w:t>The acquisition of the Aussie Health Assets, the Truweo Assets, and the Smash Assets are reflected in the following pro forma information as if the acquisition had occurred on January 1, 2019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54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120" w:type="dxa"/>
            <w:vAlign w:val="bottom"/>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Smash net revenue</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42,994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83,132</w:t>
            </w: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Truweo net revenue</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11,155</w:t>
            </w:r>
          </w:p>
        </w:tc>
        <w:tc>
          <w:tcPr>
            <w:tcW w:w="120" w:type="dxa"/>
            <w:vAlign w:val="bottom"/>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Other net revenue</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as reported</w:t>
            </w:r>
          </w:p>
        </w:tc>
        <w:tc>
          <w:tcPr>
            <w:tcW w:w="2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(54,333)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(34,751)</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Smash operating income</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Truweo operating income</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w:t>
            </w:r>
          </w:p>
        </w:tc>
        <w:tc>
          <w:tcPr>
            <w:tcW w:w="120" w:type="dxa"/>
            <w:vAlign w:val="bottom"/>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Other operating income</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pro forma</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the acquisition of the Smash Assets, the sellers are entitled to earn-out payments based on the achievement of certain contribution margin thresholds on certain products of the acquired business. Earn-out payments will be due to the sellers for year one, or calendar year 2021, and year two, or calendar year 2022. During the year-ending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As of December 1, 2020, the acquisition date, the initial fair value amount of the earn-out payment was appropriately $9.8 million. As of December 31, 2020, the fair value amount of this earn-out payment was approximately $22.5 million, representing a change of fair value impact of approximately $12.7 million.</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value of estimated contingent earn-out liabilities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536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Acquisition date fair value of contingent earn-out liabilities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80" w:type="dxa"/>
            <w:vAlign w:val="bottom"/>
            <w:shd w:val="clear" w:color="auto" w:fill="CFF0FC"/>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Re-measurement of contingent earn-out liabilities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Earn-out payments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520"/>
              <w:spacing w:after="0"/>
              <w:rPr>
                <w:sz w:val="20"/>
                <w:szCs w:val="20"/>
                <w:color w:val="auto"/>
              </w:rPr>
            </w:pPr>
            <w:r>
              <w:rPr>
                <w:rFonts w:ascii="Arial" w:cs="Arial" w:eastAsia="Arial" w:hAnsi="Arial"/>
                <w:sz w:val="18"/>
                <w:szCs w:val="18"/>
                <w:color w:val="auto"/>
              </w:rPr>
              <w:t>Ending Balance</w:t>
            </w:r>
          </w:p>
        </w:tc>
        <w:tc>
          <w:tcPr>
            <w:tcW w:w="1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22,531</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360" w:type="dxa"/>
            <w:vAlign w:val="bottom"/>
            <w:vMerge w:val="restart"/>
          </w:tcPr>
          <w:p>
            <w:pPr>
              <w:ind w:left="3920"/>
              <w:spacing w:after="0"/>
              <w:rPr>
                <w:sz w:val="20"/>
                <w:szCs w:val="20"/>
                <w:color w:val="auto"/>
              </w:rPr>
            </w:pPr>
            <w:r>
              <w:rPr>
                <w:rFonts w:ascii="Arial" w:cs="Arial" w:eastAsia="Arial" w:hAnsi="Arial"/>
                <w:sz w:val="18"/>
                <w:szCs w:val="18"/>
                <w:color w:val="auto"/>
              </w:rPr>
              <w:t>F-30</w:t>
            </w: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54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5" w:name="page96"/>
    <w:bookmarkEnd w:id="95"/>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the changes in the Company’s goodwill and intangible assets by during the years-ended December 31, 2019 and 2020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right"/>
              <w:ind w:right="176"/>
              <w:spacing w:after="0"/>
              <w:rPr>
                <w:sz w:val="20"/>
                <w:szCs w:val="20"/>
                <w:color w:val="auto"/>
              </w:rPr>
            </w:pPr>
            <w:r>
              <w:rPr>
                <w:rFonts w:ascii="Arial" w:cs="Arial" w:eastAsia="Arial" w:hAnsi="Arial"/>
                <w:sz w:val="14"/>
                <w:szCs w:val="14"/>
                <w:b w:val="1"/>
                <w:bCs w:val="1"/>
                <w:color w:val="auto"/>
              </w:rPr>
              <w:t>Years-Ended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w w:val="95"/>
              </w:rPr>
              <w:t>December 31, 2019</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200"/>
              <w:spacing w:after="0" w:line="133"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1"/>
                <w:szCs w:val="11"/>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0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700" w:type="dxa"/>
            <w:vAlign w:val="bottom"/>
          </w:tcPr>
          <w:p>
            <w:pPr>
              <w:jc w:val="center"/>
              <w:ind w:left="36"/>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04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rPr>
              <w:t>Impairments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Impairments</w:t>
            </w:r>
          </w:p>
        </w:tc>
        <w:tc>
          <w:tcPr>
            <w:tcW w:w="1040" w:type="dxa"/>
            <w:vAlign w:val="bottom"/>
            <w:gridSpan w:val="5"/>
          </w:tcPr>
          <w:p>
            <w:pPr>
              <w:ind w:left="140"/>
              <w:spacing w:after="0"/>
              <w:rPr>
                <w:sz w:val="20"/>
                <w:szCs w:val="20"/>
                <w:color w:val="auto"/>
              </w:rPr>
            </w:pPr>
            <w:r>
              <w:rPr>
                <w:rFonts w:ascii="Arial" w:cs="Arial" w:eastAsia="Arial" w:hAnsi="Arial"/>
                <w:sz w:val="14"/>
                <w:szCs w:val="14"/>
                <w:b w:val="1"/>
                <w:bCs w:val="1"/>
                <w:color w:val="auto"/>
              </w:rPr>
              <w:t>Amortization</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745</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745</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745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Trademarks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Transition services agreement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$ 1,055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Years-Ended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6"/>
              </w:rPr>
              <w:t>December 31, 2020</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Goodwill</w:t>
            </w:r>
          </w:p>
        </w:tc>
        <w:tc>
          <w:tcPr>
            <w:tcW w:w="10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Additions</w:t>
            </w:r>
          </w:p>
        </w:tc>
        <w:tc>
          <w:tcPr>
            <w:tcW w:w="104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Impairments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Impairments</w:t>
            </w:r>
          </w:p>
        </w:tc>
        <w:tc>
          <w:tcPr>
            <w:tcW w:w="1040" w:type="dxa"/>
            <w:vAlign w:val="bottom"/>
            <w:gridSpan w:val="5"/>
          </w:tcPr>
          <w:p>
            <w:pPr>
              <w:ind w:left="60"/>
              <w:spacing w:after="0"/>
              <w:rPr>
                <w:sz w:val="20"/>
                <w:szCs w:val="20"/>
                <w:color w:val="auto"/>
              </w:rPr>
            </w:pPr>
            <w:r>
              <w:rPr>
                <w:rFonts w:ascii="Arial" w:cs="Arial" w:eastAsia="Arial" w:hAnsi="Arial"/>
                <w:sz w:val="14"/>
                <w:szCs w:val="14"/>
                <w:b w:val="1"/>
                <w:bCs w:val="1"/>
                <w:color w:val="auto"/>
              </w:rPr>
              <w:t>Amortization</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46,573</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$ 47,318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Trademarks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Transition services agreement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79,262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$ 78,778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80" w:hanging="872"/>
        <w:spacing w:after="0"/>
        <w:tabs>
          <w:tab w:leader="none" w:pos="8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Term Loan</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February 2, 2021, the Company entered into a Securities Purchase Agreement (the “February Securities Purchase Agreement”) with High Trail Investments ON LLC ( “High Trail ON”), pursuant to which, among other things, the Company agreed to issue and sell to High Trail ON, in a private placement transaction (the “February Private Placement”), in exchange for the payment by High Trail ON of $14.0 million less applicable expenses as set forth in the February Securities Purchase Agreement, (i) a 0% coupon senior secured promissory note in an aggregate principal amount of $16.5 million (the “February Note”) that will mature on February 1, 2023, and (ii) a warrant to purchase up to an aggregate of 469,931 shares of common stock of the Company (the “February Warrant”). The Company used all of the net proceeds from the February Private Placement to fund the Healing Solutions asset purchase described below.</w:t>
      </w:r>
    </w:p>
    <w:p>
      <w:pPr>
        <w:spacing w:after="0" w:line="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the February Private Placement, on February 2, 2021, the Company entered into (i) an amendment (the “SPA &amp; Note Amendment”) to that certain Securities Purchase Agreement (the “December Securities Purchase Agreement”), dated as of November 30, 2020, by and among the Company and High Trail and the Note and (ii) an amendment (the “December Amendment”) to the Warrant. The SPA &amp; Note Amendment amends the December Securities Purchase Agreement and the Note to, among other things, allow for the issuance of the February Note and to clarify how the issuance of the February Note and certain of High Trail ON’s rights thereunder affects the Note and High Trail’s rights under the Note. The December Amendment amends the Warrant to amend the provision that gives the Company the right to require High Trail to exercise the Warrant if the price of the Company’s common stock exceeds 200% of the exercise price of the Warrant for 20 consecutive trading days and certain other conditions are satisfied to increase the price per share that the Company’s common stock must exceed for 20 consecutive trading days from $18.02 to $30.00 per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Healing Solutions Acquisition</w:t>
      </w:r>
    </w:p>
    <w:p>
      <w:pPr>
        <w:spacing w:after="0" w:line="11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On February 2, 2021, the Company acquired the assets of e-commerce company, Healing Solutions, LLC, a leading online seller of essential oils (the “Healing Solutions Assets”). As consideration for the Healing Solutions Assets, the Company paid approximately $15.3 million in cash and issued approximately 1.4 million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High Trail Letter Agreement</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February 8, 2021, the Company entered into a letter agreement with High Trail (the “Letter Agreement”), pursuant to which, among other things, (i) the Company and High Trail agreed to amend the terms of the Warrant, to provide that the Warrant was immediately exercisable on a cash basis, (ii) High Trail agreed to exercise 980,000 shares of the Company’s common stock subject to the Warrant (the “Warrant Shares”) for an aggregate payment to the Company of $8.8 million (iii) High Trail and the Company agreed to cancel the unexercised portion of the Warrant in exchange for an aggregate payment by High Trail to the Company of $17.0 million and the issuance by the Company to High Trail of a warrant to purchase 1,884,133 shares of the Company’s common stock (the “Penny Warrant”), (iv) the Company agreed to seek stockholder approval (collectively, the “Stockholder Approvals”) at a stockholder meeting to be held no later than May 31, 2021 (the “Stockholder Meeting”) to issue shares of the Company’s common stock in excess of the limitations imposed by Nasdaq Listing Standard Rule 5635(a) and/or 5635(d) (collectively, the “Nasdaq Rules”) pursuant to the Additional Warrant (as defined below), the Note, the February Note, the February Warrant and that certain Asset Purchase Agreement, dated February 2, 2021, by and among the Company and Truweo, LLC, as Purchaser, Healing Solutions, LLC, Jason R. Hope, and for the purposes of Section 5.11 and Article VII, Super Transcontinental Holdings LLC, (v) the Company agreed to issue to High Trail a warrant to purchase 750,000 shares of the Company’s common stock (the “Additional Warrant”), (vi) the Company agreed to prepare and file by March 26, 2021 a registration statement (the “Registration Statement”) with the Securities and Exchange Commission for the purpose of registering for resale the Warrant Shares and the shares issuable upon exercise of the Penny Warrant (the “Penny Warrant Shares”), and (vii) High Trail agreed, for the first 30 days following the effectiveness of the Registration Statement, not to sell, or otherwise transfer or dispose of the Warrant Shares or Penny Warrant Shares on any day in an amount that is greater than 10% of the trading volume of the Company’s common stock for such day.</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Letter Agreement, High Trail exercised the December Warrant and the Company issued the Penny Warrant and the Additional Warrant to High Trail on February 9,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Trail Amendments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February 8, 2021, the Company entered into (i) an amendment (the “2022 Note Amendment”) to the Note, (ii) an amendment (the “2023 Note Amendment”) to the February Note, and (iii) an amendment (the “Warrant Amendment”) to the February Warrant.</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2022 Note Amendment and the 2023 Note Amendment amend the Note and the February Note, respectively, to provide that no shares of Common Stock may be issued pursuant thereto unless the Company obtains stockholder approval to issue shares of Company’s common stock pursuant thereto in excess of the limitations imposed by the Nasdaq Rules.</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Warrant Amendment amends the February Warrant to provide that: (i) it may only be exercised for up to 134,348 shares of Company’s common stock unless the Company obtains stockholder approval contemplated by the Nasdaq Rules to issue additional shares of Company’s common stock in excess of 134,348 shares, (ii) its term shall be the later of five years from the date of issuance and the date that is one year from the date that the Stockholder Approvals are obtained, and (iii) the beneficial ownership limitation is increased from 4.99% to 9.99%.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execution of the Letter Agreement, the Company and each of the Company’s executive officers and members of Company’s board of directors, in his or her capacity as a stockholder of the Company, entered into a voting agreement (collectively, the “Voting Agreements”) pursuant to which he or she agreed to vote, at an annual or special meeting of stockholders of the Company, all shares of Company’s common stock that he or she holds in favor of the Stockholder Approvals. Pursuant to the Letter Agreement, the Company agreed to use best efforts to ensure that at least an aggregate of 850,000 shares of Company’s common stock remain subject to the Voting Agreements from the record date for the Stockholder Meeting until the Stockholder Approvals are obtained or the Voting Agreements are otherwise terminated.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MOHAWK GROUP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Charged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to Costs &amp;</w:t>
            </w:r>
          </w:p>
        </w:tc>
        <w:tc>
          <w:tcPr>
            <w:tcW w:w="16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to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Expenses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Accounts</w:t>
            </w:r>
          </w:p>
        </w:tc>
        <w:tc>
          <w:tcPr>
            <w:tcW w:w="2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or Deductions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Description</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Year-ended December 31, 2019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Deferred tax valuation allowance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15,167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Year-ended December 31, 2020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valuation allowance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Our principal executive officer and principal financial officer have concluded, based on their evaluation, that our disclosure controls and procedures were effective as of December 31, 2020. This Annual Report on Form 10-K does not include an attestation report of the Company’s registered public accounting firm. 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Annual Report on Form 10-K.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Our disclosure controls and procedures are designed to provide reasonable assurance of achieving their control objectives.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2020. In making this assessment, management used the criteria set forth in 2013 by the Committee of Sponsoring Organizations of the Treadway Commission (“COSO”) in “Internal Control-Integrated Framework.” Based on management’s assessment using the COSO criteria, management has concluded that our internal control over financial reporting was effective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on Internal Control over Financial Reporting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we implemented, tested and found to be operating effectively the following controls which remediated the material weaknesses previously disclosed in our Annual Report on Form 10-K for the fiscal year-ended December 31, 2019:</w:t>
      </w:r>
    </w:p>
    <w:p>
      <w:pPr>
        <w:spacing w:after="0" w:line="278" w:lineRule="exact"/>
        <w:rPr>
          <w:sz w:val="20"/>
          <w:szCs w:val="20"/>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formal and documented closing, GAAP and SEC checklist maintenance and review;</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formal accounting position memos and supporting documentation;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improved system controls and additional mitigating controls around journal entry preparation and posting;</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implemented additional security access and password controls within our accounting system;</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implemented formal program change management controls within and around our accounting systems;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formal review and control processes for month-end closing reconciliations.</w:t>
      </w: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hired a third-party firm in the second quarter of 2020 to assist us in risk and gap analysis, improved documentation and testing of our internal controls. There were no other changes in our internal control over financial reporting during the twelve months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1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required by this item will be contained in our definitive proxy statement on Schedule 14A to be filed with the SEC in connection with our 2021 annual meeting of stockholders (the “Proxy Statement”), which we expect to file not later than 120 days after the end of our year-ended December 31, 2020, and is incorporated in this report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2020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2020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2020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2020 and is incorporated in this report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4"/>
              </w:rPr>
              <w:t>Exhibit</w:t>
            </w:r>
          </w:p>
        </w:tc>
        <w:tc>
          <w:tcPr>
            <w:tcW w:w="212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1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8"/>
              </w:rPr>
              <w:t>Number</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3033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86" w:lineRule="exact"/>
        <w:rPr>
          <w:sz w:val="20"/>
          <w:szCs w:val="20"/>
          <w:color w:val="auto"/>
        </w:rPr>
      </w:pPr>
    </w:p>
    <w:p>
      <w:pPr>
        <w:ind w:left="300"/>
        <w:spacing w:after="0"/>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2.1†</w:t>
      </w:r>
      <w:r>
        <w:rPr>
          <w:sz w:val="20"/>
          <w:szCs w:val="20"/>
          <w:color w:val="auto"/>
        </w:rPr>
        <w:tab/>
      </w:r>
      <w:hyperlink r:id="rId131">
        <w:r>
          <w:rPr>
            <w:rFonts w:ascii="Arial" w:cs="Arial" w:eastAsia="Arial" w:hAnsi="Arial"/>
            <w:sz w:val="15"/>
            <w:szCs w:val="15"/>
            <w:u w:val="single" w:color="auto"/>
            <w:color w:val="0000EE"/>
          </w:rPr>
          <w:t>Asset Purchase Agreement, dated December 1, 2020, by and among</w:t>
        </w:r>
      </w:hyperlink>
    </w:p>
    <w:p>
      <w:pPr>
        <w:spacing w:after="0" w:line="23" w:lineRule="exact"/>
        <w:rPr>
          <w:sz w:val="20"/>
          <w:szCs w:val="20"/>
          <w:color w:val="auto"/>
        </w:rPr>
      </w:pPr>
    </w:p>
    <w:p>
      <w:pPr>
        <w:ind w:left="1020" w:right="60"/>
        <w:spacing w:after="0" w:line="255" w:lineRule="auto"/>
        <w:tabs>
          <w:tab w:leader="none" w:pos="1280" w:val="left"/>
        </w:tabs>
        <w:numPr>
          <w:ilvl w:val="0"/>
          <w:numId w:val="47"/>
        </w:numPr>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Mohawk Group Holdings, Inc. and Truweo, LLC, as Purchaser, (ii) 9830</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Macarthur LLC, Reliance Equities Group, LLC and ZN Direct LLC, as Sellers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and (iii) Jelena Puzovic, as Founder.</w:t>
        </w:r>
      </w:hyperlink>
    </w:p>
    <w:p>
      <w:pPr>
        <w:spacing w:after="0" w:line="190" w:lineRule="exact"/>
        <w:rPr>
          <w:rFonts w:ascii="Arial" w:cs="Arial" w:eastAsia="Arial" w:hAnsi="Arial"/>
          <w:sz w:val="18"/>
          <w:szCs w:val="18"/>
          <w:u w:val="single" w:color="auto"/>
          <w:color w:val="0000EE"/>
        </w:rPr>
      </w:pPr>
    </w:p>
    <w:p>
      <w:pPr>
        <w:ind w:left="1020" w:right="20" w:hanging="717"/>
        <w:spacing w:after="0" w:line="25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r:id="rId132">
        <w:r>
          <w:rPr>
            <w:rFonts w:ascii="Arial" w:cs="Arial" w:eastAsia="Arial" w:hAnsi="Arial"/>
            <w:sz w:val="18"/>
            <w:szCs w:val="18"/>
            <w:u w:val="single" w:color="auto"/>
            <w:color w:val="0000EE"/>
          </w:rPr>
          <w:t>Asset Purchase Agreement, dated February 2, 2021, by and among (i) Mohawk</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Group Holdings, Inc. and Truweo, LLC, as Purchaser, (ii) Healing Solutions,</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LLC, (iii) Jason R. Hope, and (vi) for the purposes of Section 5.11 and Article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VII, Super Transcontinental Holdings LLC.</w:t>
        </w:r>
      </w:hyperlink>
    </w:p>
    <w:p>
      <w:pPr>
        <w:spacing w:after="0" w:line="187" w:lineRule="exact"/>
        <w:rPr>
          <w:rFonts w:ascii="Arial" w:cs="Arial" w:eastAsia="Arial" w:hAnsi="Arial"/>
          <w:sz w:val="18"/>
          <w:szCs w:val="18"/>
          <w:u w:val="single" w:color="auto"/>
          <w:color w:val="0000EE"/>
        </w:rPr>
      </w:pPr>
    </w:p>
    <w:p>
      <w:pPr>
        <w:ind w:left="1020" w:right="640" w:hanging="67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33">
        <w:r>
          <w:rPr>
            <w:rFonts w:ascii="Arial" w:cs="Arial" w:eastAsia="Arial" w:hAnsi="Arial"/>
            <w:sz w:val="18"/>
            <w:szCs w:val="18"/>
            <w:u w:val="single" w:color="auto"/>
            <w:color w:val="0000EE"/>
          </w:rPr>
          <w:t>Amended and Restated Certificate of Incorporation of Mohawk Group</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Holdings, Inc.</w:t>
        </w:r>
      </w:hyperlink>
    </w:p>
    <w:p>
      <w:pPr>
        <w:spacing w:after="0" w:line="76"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34">
        <w:r>
          <w:rPr>
            <w:rFonts w:ascii="Arial" w:cs="Arial" w:eastAsia="Arial" w:hAnsi="Arial"/>
            <w:sz w:val="16"/>
            <w:szCs w:val="16"/>
            <w:u w:val="single" w:color="auto"/>
            <w:color w:val="0000EE"/>
          </w:rPr>
          <w:t>Amended and Restated Bylaws of Mohawk Group Holdings, Inc.</w:t>
        </w:r>
      </w:hyperlink>
    </w:p>
    <w:p>
      <w:pPr>
        <w:spacing w:after="0" w:line="131"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35">
        <w:r>
          <w:rPr>
            <w:rFonts w:ascii="Arial" w:cs="Arial" w:eastAsia="Arial" w:hAnsi="Arial"/>
            <w:sz w:val="16"/>
            <w:szCs w:val="16"/>
            <w:u w:val="single" w:color="auto"/>
            <w:color w:val="0000EE"/>
          </w:rPr>
          <w:t>Form of Common Stock Certificate.</w:t>
        </w:r>
      </w:hyperlink>
    </w:p>
    <w:p>
      <w:pPr>
        <w:spacing w:after="0" w:line="131" w:lineRule="exact"/>
        <w:rPr>
          <w:sz w:val="20"/>
          <w:szCs w:val="20"/>
          <w:color w:val="auto"/>
        </w:rPr>
      </w:pPr>
    </w:p>
    <w:p>
      <w:pPr>
        <w:ind w:left="30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36">
        <w:r>
          <w:rPr>
            <w:rFonts w:ascii="Arial" w:cs="Arial" w:eastAsia="Arial" w:hAnsi="Arial"/>
            <w:sz w:val="16"/>
            <w:szCs w:val="16"/>
            <w:u w:val="single" w:color="auto"/>
            <w:color w:val="0000EE"/>
          </w:rPr>
          <w:t>Form of Registration Rights Agreement, dated as of April 6, 2018, among</w:t>
        </w:r>
      </w:hyperlink>
    </w:p>
    <w:p>
      <w:pPr>
        <w:spacing w:after="0" w:line="23" w:lineRule="exact"/>
        <w:rPr>
          <w:sz w:val="20"/>
          <w:szCs w:val="20"/>
          <w:color w:val="auto"/>
        </w:rPr>
      </w:pPr>
    </w:p>
    <w:p>
      <w:pPr>
        <w:ind w:left="102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Mohawk Group Holdings, Inc. and the purchasers party thereto.</w:t>
        </w:r>
      </w:hyperlink>
    </w:p>
    <w:p>
      <w:pPr>
        <w:spacing w:after="0" w:line="116"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37">
        <w:r>
          <w:rPr>
            <w:rFonts w:ascii="Arial" w:cs="Arial" w:eastAsia="Arial" w:hAnsi="Arial"/>
            <w:sz w:val="16"/>
            <w:szCs w:val="16"/>
            <w:u w:val="single" w:color="auto"/>
            <w:color w:val="0000EE"/>
          </w:rPr>
          <w:t>Warrant to Purchase Stock, issued to MidCap Financial Trust on September 4,</w:t>
        </w:r>
      </w:hyperlink>
    </w:p>
    <w:p>
      <w:pPr>
        <w:spacing w:after="0" w:line="23" w:lineRule="exact"/>
        <w:rPr>
          <w:sz w:val="20"/>
          <w:szCs w:val="20"/>
          <w:color w:val="auto"/>
        </w:rPr>
      </w:pPr>
    </w:p>
    <w:p>
      <w:pPr>
        <w:ind w:left="1020"/>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2018.</w:t>
        </w:r>
      </w:hyperlink>
    </w:p>
    <w:p>
      <w:pPr>
        <w:spacing w:after="0" w:line="116" w:lineRule="exact"/>
        <w:rPr>
          <w:sz w:val="20"/>
          <w:szCs w:val="20"/>
          <w:color w:val="auto"/>
        </w:rPr>
      </w:pPr>
    </w:p>
    <w:p>
      <w:pPr>
        <w:ind w:left="1020" w:right="700" w:hanging="67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38">
        <w:r>
          <w:rPr>
            <w:rFonts w:ascii="Arial" w:cs="Arial" w:eastAsia="Arial" w:hAnsi="Arial"/>
            <w:sz w:val="18"/>
            <w:szCs w:val="18"/>
            <w:u w:val="single" w:color="auto"/>
            <w:color w:val="0000EE"/>
          </w:rPr>
          <w:t>Form of Warrant, issued to Katalyst Securities LLC and its assigns on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September 4, 2018.</w:t>
        </w:r>
      </w:hyperlink>
    </w:p>
    <w:p>
      <w:pPr>
        <w:spacing w:after="0" w:line="76" w:lineRule="exact"/>
        <w:rPr>
          <w:sz w:val="20"/>
          <w:szCs w:val="20"/>
          <w:color w:val="auto"/>
        </w:rPr>
      </w:pPr>
    </w:p>
    <w:p>
      <w:pPr>
        <w:ind w:left="1020" w:right="500" w:hanging="67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39">
        <w:r>
          <w:rPr>
            <w:rFonts w:ascii="Arial" w:cs="Arial" w:eastAsia="Arial" w:hAnsi="Arial"/>
            <w:sz w:val="18"/>
            <w:szCs w:val="18"/>
            <w:u w:val="single" w:color="auto"/>
            <w:color w:val="0000EE"/>
          </w:rPr>
          <w:t>Form of Warrant, issued to Horizon Technology Finance Corporation on</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December 31, 2019.</w:t>
        </w:r>
      </w:hyperlink>
    </w:p>
    <w:p>
      <w:pPr>
        <w:spacing w:after="0" w:line="76"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40">
        <w:r>
          <w:rPr>
            <w:rFonts w:ascii="Arial" w:cs="Arial" w:eastAsia="Arial" w:hAnsi="Arial"/>
            <w:sz w:val="16"/>
            <w:szCs w:val="16"/>
            <w:u w:val="single" w:color="auto"/>
            <w:color w:val="0000EE"/>
          </w:rPr>
          <w:t>Amendment No. 1 to Registration Rights Agreement, dated as of March 2,</w:t>
        </w:r>
      </w:hyperlink>
    </w:p>
    <w:p>
      <w:pPr>
        <w:spacing w:after="0" w:line="23" w:lineRule="exact"/>
        <w:rPr>
          <w:sz w:val="20"/>
          <w:szCs w:val="20"/>
          <w:color w:val="auto"/>
        </w:rPr>
      </w:pPr>
    </w:p>
    <w:p>
      <w:pPr>
        <w:ind w:left="1020"/>
        <w:spacing w:after="0"/>
        <w:rPr>
          <w:rFonts w:ascii="Arial" w:cs="Arial" w:eastAsia="Arial" w:hAnsi="Arial"/>
          <w:sz w:val="17"/>
          <w:szCs w:val="17"/>
          <w:u w:val="single" w:color="auto"/>
          <w:color w:val="0000EE"/>
        </w:rPr>
      </w:pPr>
      <w:hyperlink r:id="rId140">
        <w:r>
          <w:rPr>
            <w:rFonts w:ascii="Arial" w:cs="Arial" w:eastAsia="Arial" w:hAnsi="Arial"/>
            <w:sz w:val="17"/>
            <w:szCs w:val="17"/>
            <w:u w:val="single" w:color="auto"/>
            <w:color w:val="0000EE"/>
          </w:rPr>
          <w:t>2019, among Mohawk Group Holdings, Inc. and the investors party thereto.</w:t>
        </w:r>
      </w:hyperlink>
    </w:p>
    <w:p>
      <w:pPr>
        <w:spacing w:after="0" w:line="128" w:lineRule="exact"/>
        <w:rPr>
          <w:sz w:val="20"/>
          <w:szCs w:val="20"/>
          <w:color w:val="auto"/>
        </w:rPr>
      </w:pPr>
    </w:p>
    <w:p>
      <w:pPr>
        <w:ind w:left="1020" w:hanging="67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41">
        <w:r>
          <w:rPr>
            <w:rFonts w:ascii="Arial" w:cs="Arial" w:eastAsia="Arial" w:hAnsi="Arial"/>
            <w:sz w:val="18"/>
            <w:szCs w:val="18"/>
            <w:u w:val="single" w:color="auto"/>
            <w:color w:val="0000EE"/>
          </w:rPr>
          <w:t>Warrant to Purchase Shares of Common Stock, issued to Third Creek Advisors,</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LLC on August 18, 2020.</w:t>
        </w:r>
      </w:hyperlink>
    </w:p>
    <w:p>
      <w:pPr>
        <w:spacing w:after="0" w:line="170"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142">
        <w:r>
          <w:rPr>
            <w:rFonts w:ascii="Arial" w:cs="Arial" w:eastAsia="Arial" w:hAnsi="Arial"/>
            <w:sz w:val="16"/>
            <w:szCs w:val="16"/>
            <w:u w:val="single" w:color="auto"/>
            <w:color w:val="0000EE"/>
          </w:rPr>
          <w:t>Form of Senior Secured Note due 2022.</w:t>
        </w:r>
      </w:hyperlink>
    </w:p>
    <w:p>
      <w:pPr>
        <w:spacing w:after="0" w:line="225"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143">
        <w:r>
          <w:rPr>
            <w:rFonts w:ascii="Arial" w:cs="Arial" w:eastAsia="Arial" w:hAnsi="Arial"/>
            <w:sz w:val="16"/>
            <w:szCs w:val="16"/>
            <w:u w:val="single" w:color="auto"/>
            <w:color w:val="0000EE"/>
          </w:rPr>
          <w:t>Form of Senior Secured Note due 2023.</w:t>
        </w:r>
      </w:hyperlink>
    </w:p>
    <w:p>
      <w:pPr>
        <w:spacing w:after="0" w:line="225" w:lineRule="exact"/>
        <w:rPr>
          <w:sz w:val="20"/>
          <w:szCs w:val="20"/>
          <w:color w:val="auto"/>
        </w:rPr>
      </w:pPr>
    </w:p>
    <w:p>
      <w:pPr>
        <w:ind w:left="30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144">
        <w:r>
          <w:rPr>
            <w:rFonts w:ascii="Arial" w:cs="Arial" w:eastAsia="Arial" w:hAnsi="Arial"/>
            <w:sz w:val="16"/>
            <w:szCs w:val="16"/>
            <w:u w:val="single" w:color="auto"/>
            <w:color w:val="0000EE"/>
          </w:rPr>
          <w:t>Form of Warrant to Purchase Common Stock, dated February 2, 2021.</w:t>
        </w:r>
      </w:hyperlink>
    </w:p>
    <w:p>
      <w:pPr>
        <w:spacing w:after="0" w:line="225" w:lineRule="exact"/>
        <w:rPr>
          <w:sz w:val="20"/>
          <w:szCs w:val="20"/>
          <w:color w:val="auto"/>
        </w:rPr>
      </w:pPr>
    </w:p>
    <w:p>
      <w:pPr>
        <w:ind w:left="1020" w:right="640" w:hanging="713"/>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45">
        <w:r>
          <w:rPr>
            <w:rFonts w:ascii="Arial" w:cs="Arial" w:eastAsia="Arial" w:hAnsi="Arial"/>
            <w:sz w:val="18"/>
            <w:szCs w:val="18"/>
            <w:u w:val="single" w:color="auto"/>
            <w:color w:val="0000EE"/>
          </w:rPr>
          <w:t>Amendment to Senior Secured Note due 2022 and Securities Purchase</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Agreement, dated as of February 2, 2021.</w:t>
        </w:r>
      </w:hyperlink>
    </w:p>
    <w:p>
      <w:pPr>
        <w:spacing w:after="0" w:line="170" w:lineRule="exact"/>
        <w:rPr>
          <w:sz w:val="20"/>
          <w:szCs w:val="20"/>
          <w:color w:val="auto"/>
        </w:rPr>
      </w:pPr>
    </w:p>
    <w:p>
      <w:pPr>
        <w:ind w:left="30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146">
        <w:r>
          <w:rPr>
            <w:rFonts w:ascii="Arial" w:cs="Arial" w:eastAsia="Arial" w:hAnsi="Arial"/>
            <w:sz w:val="16"/>
            <w:szCs w:val="16"/>
            <w:u w:val="single" w:color="auto"/>
            <w:color w:val="0000EE"/>
          </w:rPr>
          <w:t>Form of Warrant to Purchase Common Stock (Penny Warrant), dated February</w:t>
        </w:r>
      </w:hyperlink>
    </w:p>
    <w:p>
      <w:pPr>
        <w:spacing w:after="0" w:line="23" w:lineRule="exact"/>
        <w:rPr>
          <w:sz w:val="20"/>
          <w:szCs w:val="20"/>
          <w:color w:val="auto"/>
        </w:rPr>
      </w:pPr>
    </w:p>
    <w:p>
      <w:pPr>
        <w:ind w:left="1020"/>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9, 2021.</w:t>
        </w:r>
      </w:hyperlink>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6350</wp:posOffset>
            </wp:positionV>
            <wp:extent cx="27603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940" w:val="left"/>
          <w:tab w:leader="none" w:pos="2300" w:val="left"/>
          <w:tab w:leader="none" w:pos="35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6350</wp:posOffset>
            </wp:positionV>
            <wp:extent cx="27603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tabs>
          <w:tab w:leader="none" w:pos="940" w:val="left"/>
          <w:tab w:leader="none" w:pos="2280" w:val="left"/>
          <w:tab w:leader="none" w:pos="36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12/1/2020</w:t>
      </w:r>
      <w:r>
        <w:rPr>
          <w:sz w:val="20"/>
          <w:szCs w:val="20"/>
          <w:color w:val="auto"/>
        </w:rPr>
        <w:tab/>
      </w: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2/3/2020</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648"/>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5/24/2019</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5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53"/>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53"/>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53"/>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553"/>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5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11/9/2020</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12/1/2020</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48"/>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48"/>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2/9/2021</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2">
            <w:col w:w="6740" w:space="340"/>
            <w:col w:w="3980"/>
          </w:cols>
          <w:pgMar w:left="320" w:top="877" w:right="5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20" w:type="dxa"/>
            <w:vAlign w:val="bottom"/>
            <w:gridSpan w:val="20"/>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9"/>
                <w:szCs w:val="9"/>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9"/>
                <w:szCs w:val="9"/>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20"/>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Form of Warrant to Purchase Common Stock, dated February 9, 2021.</w:t>
              </w:r>
            </w:hyperlink>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2/9/2021</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spacing w:after="0"/>
              <w:rPr>
                <w:sz w:val="24"/>
                <w:szCs w:val="24"/>
                <w:color w:val="auto"/>
              </w:rPr>
            </w:pPr>
          </w:p>
        </w:tc>
        <w:tc>
          <w:tcPr>
            <w:tcW w:w="5640" w:type="dxa"/>
            <w:vAlign w:val="bottom"/>
            <w:tcBorders>
              <w:bottom w:val="single" w:sz="8" w:color="0000EE"/>
            </w:tcBorders>
            <w:gridSpan w:val="22"/>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Second Amendment to Senior Secured Note due 2022, dated as of February 8,</w:t>
              </w:r>
            </w:hyperlink>
          </w:p>
        </w:tc>
        <w:tc>
          <w:tcPr>
            <w:tcW w:w="24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51">
              <w:r>
                <w:rPr>
                  <w:rFonts w:ascii="Arial" w:cs="Arial" w:eastAsia="Arial" w:hAnsi="Arial"/>
                  <w:sz w:val="18"/>
                  <w:szCs w:val="18"/>
                  <w:color w:val="0000EE"/>
                  <w:w w:val="84"/>
                </w:rPr>
                <w:t>2021.</w:t>
              </w:r>
            </w:hyperlink>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2/9/2021</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24"/>
                <w:szCs w:val="24"/>
                <w:color w:val="auto"/>
              </w:rPr>
            </w:pPr>
          </w:p>
        </w:tc>
        <w:tc>
          <w:tcPr>
            <w:tcW w:w="5440" w:type="dxa"/>
            <w:vAlign w:val="bottom"/>
            <w:tcBorders>
              <w:bottom w:val="single" w:sz="8" w:color="0000EE"/>
            </w:tcBorders>
            <w:gridSpan w:val="19"/>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First Amendment to Senior Secured Note due 2023, dated as of February 8,</w:t>
              </w:r>
            </w:hyperlink>
          </w:p>
        </w:tc>
        <w:tc>
          <w:tcPr>
            <w:tcW w:w="4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52">
              <w:r>
                <w:rPr>
                  <w:rFonts w:ascii="Arial" w:cs="Arial" w:eastAsia="Arial" w:hAnsi="Arial"/>
                  <w:sz w:val="18"/>
                  <w:szCs w:val="18"/>
                  <w:color w:val="0000EE"/>
                  <w:w w:val="84"/>
                </w:rPr>
                <w:t>2021.</w:t>
              </w:r>
            </w:hyperlink>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2/9/2021</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Amendment to Warrant to Purchase Common Stock, dated as of February 8,</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53">
              <w:r>
                <w:rPr>
                  <w:rFonts w:ascii="Arial" w:cs="Arial" w:eastAsia="Arial" w:hAnsi="Arial"/>
                  <w:sz w:val="18"/>
                  <w:szCs w:val="18"/>
                  <w:color w:val="0000EE"/>
                  <w:w w:val="84"/>
                </w:rPr>
                <w:t>2021.</w:t>
              </w:r>
            </w:hyperlink>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2/9/2021</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453"/>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4.17*</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Description of Securities of Mohawk Group Holdings, Inc.</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Form of Indemnification Agreement.</w:t>
              </w:r>
            </w:hyperlink>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5/24/2019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2014 Amended and Restated Equity Incentive Plan.</w:t>
              </w:r>
            </w:hyperlink>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Stock Option Grant Notice and Form of Stock Option Agreement</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(2014 Amended and Restated Equity Incentive Plan).</w:t>
              </w:r>
            </w:hyperlink>
          </w:p>
        </w:tc>
        <w:tc>
          <w:tcPr>
            <w:tcW w:w="540" w:type="dxa"/>
            <w:vAlign w:val="bottom"/>
            <w:gridSpan w:val="10"/>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4"/>
                <w:szCs w:val="24"/>
                <w:color w:val="auto"/>
              </w:rPr>
            </w:pPr>
          </w:p>
        </w:tc>
        <w:tc>
          <w:tcPr>
            <w:tcW w:w="384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2018 Equity Incentive Plan.</w:t>
              </w:r>
            </w:hyperlink>
          </w:p>
        </w:tc>
        <w:tc>
          <w:tcPr>
            <w:tcW w:w="2040" w:type="dxa"/>
            <w:vAlign w:val="bottom"/>
            <w:gridSpan w:val="15"/>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333-232087</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24"/>
                <w:szCs w:val="24"/>
                <w:color w:val="auto"/>
              </w:rPr>
            </w:pPr>
          </w:p>
        </w:tc>
        <w:tc>
          <w:tcPr>
            <w:tcW w:w="5220" w:type="dxa"/>
            <w:vAlign w:val="bottom"/>
            <w:tcBorders>
              <w:bottom w:val="single" w:sz="8" w:color="0000EE"/>
            </w:tcBorders>
            <w:gridSpan w:val="14"/>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Form of Notice of Stock Option Grant and Form of Stock Option Award</w:t>
              </w:r>
            </w:hyperlink>
          </w:p>
        </w:tc>
        <w:tc>
          <w:tcPr>
            <w:tcW w:w="66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Agreement (2018 Equity Incentive Plan).</w:t>
              </w:r>
            </w:hyperlink>
          </w:p>
        </w:tc>
        <w:tc>
          <w:tcPr>
            <w:tcW w:w="2900" w:type="dxa"/>
            <w:vAlign w:val="bottom"/>
            <w:gridSpan w:val="18"/>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24"/>
                <w:szCs w:val="24"/>
                <w:color w:val="auto"/>
              </w:rPr>
            </w:pPr>
          </w:p>
        </w:tc>
        <w:tc>
          <w:tcPr>
            <w:tcW w:w="5420" w:type="dxa"/>
            <w:vAlign w:val="bottom"/>
            <w:tcBorders>
              <w:bottom w:val="single" w:sz="8" w:color="0000EE"/>
            </w:tcBorders>
            <w:gridSpan w:val="18"/>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Form of Notice of Grant of Restricted Shares and Form of Restricted Share</w:t>
              </w:r>
            </w:hyperlink>
          </w:p>
        </w:tc>
        <w:tc>
          <w:tcPr>
            <w:tcW w:w="46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Award Agreement (2018 Equity Incentive Plan).</w:t>
              </w:r>
            </w:hyperlink>
          </w:p>
        </w:tc>
        <w:tc>
          <w:tcPr>
            <w:tcW w:w="2380" w:type="dxa"/>
            <w:vAlign w:val="bottom"/>
            <w:gridSpan w:val="16"/>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333-232087</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6/12/2019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Mohawk Group Holdings, Inc. 2019 Equity Plan.</w:t>
              </w:r>
            </w:hyperlink>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00" w:type="dxa"/>
            <w:vAlign w:val="bottom"/>
          </w:tcPr>
          <w:p>
            <w:pPr>
              <w:spacing w:after="0"/>
              <w:rPr>
                <w:sz w:val="24"/>
                <w:szCs w:val="24"/>
                <w:color w:val="auto"/>
              </w:rPr>
            </w:pPr>
          </w:p>
        </w:tc>
        <w:tc>
          <w:tcPr>
            <w:tcW w:w="5420" w:type="dxa"/>
            <w:vAlign w:val="bottom"/>
            <w:tcBorders>
              <w:bottom w:val="single" w:sz="8" w:color="0000EE"/>
            </w:tcBorders>
            <w:gridSpan w:val="18"/>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Form of Notice of Grant of Restricted Shares and Form of Restricted Share</w:t>
              </w:r>
            </w:hyperlink>
          </w:p>
        </w:tc>
        <w:tc>
          <w:tcPr>
            <w:tcW w:w="46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Award Agreement (Mohawk Group Holdings, Inc. 2019 Equity Plan).</w:t>
              </w:r>
            </w:hyperlink>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Transaction Bonus Plan.</w:t>
              </w:r>
            </w:hyperlink>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10.10#+</w:t>
            </w:r>
          </w:p>
        </w:tc>
        <w:tc>
          <w:tcPr>
            <w:tcW w:w="100" w:type="dxa"/>
            <w:vAlign w:val="bottom"/>
          </w:tcPr>
          <w:p>
            <w:pPr>
              <w:spacing w:after="0"/>
              <w:rPr>
                <w:sz w:val="24"/>
                <w:szCs w:val="24"/>
                <w:color w:val="auto"/>
              </w:rPr>
            </w:pPr>
          </w:p>
        </w:tc>
        <w:tc>
          <w:tcPr>
            <w:tcW w:w="5720" w:type="dxa"/>
            <w:vAlign w:val="bottom"/>
            <w:tcBorders>
              <w:bottom w:val="single" w:sz="8" w:color="0000EE"/>
            </w:tcBorders>
            <w:gridSpan w:val="25"/>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Employment Agreement dated May 14, 2018, by and between Mohawk Group,</w:t>
              </w:r>
            </w:hyperlink>
          </w:p>
        </w:tc>
        <w:tc>
          <w:tcPr>
            <w:tcW w:w="1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27"/>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Inc. and Joseph Risico.</w:t>
              </w:r>
            </w:hyperlink>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Employment Agreement dated January 1, 2016, by and between Mohawk</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Group, Inc. and Mihal Chaouat-Fix.</w:t>
              </w:r>
            </w:hyperlink>
          </w:p>
        </w:tc>
        <w:tc>
          <w:tcPr>
            <w:tcW w:w="2700" w:type="dxa"/>
            <w:vAlign w:val="bottom"/>
            <w:tcBorders>
              <w:top w:val="single" w:sz="8" w:color="0000EE"/>
            </w:tcBorders>
            <w:gridSpan w:val="9"/>
          </w:tcPr>
          <w:p>
            <w:pPr>
              <w:spacing w:after="0"/>
              <w:rPr>
                <w:sz w:val="17"/>
                <w:szCs w:val="17"/>
                <w:color w:val="auto"/>
              </w:rPr>
            </w:pPr>
          </w:p>
        </w:tc>
        <w:tc>
          <w:tcPr>
            <w:tcW w:w="580" w:type="dxa"/>
            <w:vAlign w:val="bottom"/>
            <w:gridSpan w:val="11"/>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10.12#</w:t>
            </w:r>
          </w:p>
        </w:tc>
        <w:tc>
          <w:tcPr>
            <w:tcW w:w="100" w:type="dxa"/>
            <w:vAlign w:val="bottom"/>
          </w:tcPr>
          <w:p>
            <w:pPr>
              <w:spacing w:after="0"/>
              <w:rPr>
                <w:sz w:val="24"/>
                <w:szCs w:val="24"/>
                <w:color w:val="auto"/>
              </w:rPr>
            </w:pPr>
          </w:p>
        </w:tc>
        <w:tc>
          <w:tcPr>
            <w:tcW w:w="5140" w:type="dxa"/>
            <w:vAlign w:val="bottom"/>
            <w:tcBorders>
              <w:bottom w:val="single" w:sz="8" w:color="0000EE"/>
            </w:tcBorders>
            <w:gridSpan w:val="13"/>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Independent Contractor Agreement dated July 1, 2017, by and between</w:t>
              </w:r>
            </w:hyperlink>
          </w:p>
        </w:tc>
        <w:tc>
          <w:tcPr>
            <w:tcW w:w="740" w:type="dxa"/>
            <w:vAlign w:val="bottom"/>
            <w:gridSpan w:val="14"/>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Mohawk Group, Inc. and Fabrice Hamaide.</w:t>
              </w:r>
            </w:hyperlink>
          </w:p>
        </w:tc>
        <w:tc>
          <w:tcPr>
            <w:tcW w:w="2740" w:type="dxa"/>
            <w:vAlign w:val="bottom"/>
            <w:gridSpan w:val="17"/>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10.12</w:t>
            </w: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10.13#</w:t>
            </w:r>
          </w:p>
        </w:tc>
        <w:tc>
          <w:tcPr>
            <w:tcW w:w="100" w:type="dxa"/>
            <w:vAlign w:val="bottom"/>
          </w:tcPr>
          <w:p>
            <w:pPr>
              <w:spacing w:after="0"/>
              <w:rPr>
                <w:sz w:val="24"/>
                <w:szCs w:val="24"/>
                <w:color w:val="auto"/>
              </w:rPr>
            </w:pPr>
          </w:p>
        </w:tc>
        <w:tc>
          <w:tcPr>
            <w:tcW w:w="5680" w:type="dxa"/>
            <w:vAlign w:val="bottom"/>
            <w:tcBorders>
              <w:bottom w:val="single" w:sz="8" w:color="0000EE"/>
            </w:tcBorders>
            <w:gridSpan w:val="23"/>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Employment Agreement dated April 1, 2015, by and between Mohawk Group,</w:t>
              </w:r>
            </w:hyperlink>
          </w:p>
        </w:tc>
        <w:tc>
          <w:tcPr>
            <w:tcW w:w="20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Inc. and Yaniv Sarig.</w:t>
              </w:r>
            </w:hyperlink>
          </w:p>
        </w:tc>
        <w:tc>
          <w:tcPr>
            <w:tcW w:w="4360" w:type="dxa"/>
            <w:vAlign w:val="bottom"/>
            <w:gridSpan w:val="24"/>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10.14</w:t>
            </w: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10.14#</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color w:val="0000EE"/>
                <w:w w:val="96"/>
              </w:rPr>
            </w:pPr>
            <w:hyperlink r:id="rId167">
              <w:r>
                <w:rPr>
                  <w:rFonts w:ascii="Arial" w:cs="Arial" w:eastAsia="Arial" w:hAnsi="Arial"/>
                  <w:sz w:val="18"/>
                  <w:szCs w:val="18"/>
                  <w:color w:val="0000EE"/>
                  <w:w w:val="96"/>
                </w:rPr>
                <w:t>Independent Contractor Agreement dated August 14, 2017, by and between</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Mohawk Group, Inc. and Tomer Pascal.</w:t>
              </w:r>
            </w:hyperlink>
          </w:p>
        </w:tc>
        <w:tc>
          <w:tcPr>
            <w:tcW w:w="2560" w:type="dxa"/>
            <w:vAlign w:val="bottom"/>
            <w:tcBorders>
              <w:top w:val="single" w:sz="8" w:color="0000EE"/>
            </w:tcBorders>
            <w:gridSpan w:val="11"/>
          </w:tcPr>
          <w:p>
            <w:pPr>
              <w:spacing w:after="0"/>
              <w:rPr>
                <w:sz w:val="17"/>
                <w:szCs w:val="17"/>
                <w:color w:val="auto"/>
              </w:rPr>
            </w:pPr>
          </w:p>
        </w:tc>
        <w:tc>
          <w:tcPr>
            <w:tcW w:w="440" w:type="dxa"/>
            <w:vAlign w:val="bottom"/>
            <w:gridSpan w:val="8"/>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10.15</w:t>
            </w: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100" w:type="dxa"/>
            <w:vAlign w:val="bottom"/>
          </w:tcPr>
          <w:p>
            <w:pPr>
              <w:spacing w:after="0"/>
              <w:rPr>
                <w:sz w:val="24"/>
                <w:szCs w:val="24"/>
                <w:color w:val="auto"/>
              </w:rPr>
            </w:pPr>
          </w:p>
        </w:tc>
        <w:tc>
          <w:tcPr>
            <w:tcW w:w="5600" w:type="dxa"/>
            <w:vAlign w:val="bottom"/>
            <w:tcBorders>
              <w:bottom w:val="single" w:sz="8" w:color="0000EE"/>
            </w:tcBorders>
            <w:gridSpan w:val="21"/>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Employment Agreement dated November 27, 2018, by and between Mohawk</w:t>
              </w:r>
            </w:hyperlink>
          </w:p>
        </w:tc>
        <w:tc>
          <w:tcPr>
            <w:tcW w:w="28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27"/>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Group, Inc. and Roi Zahut.</w:t>
              </w:r>
            </w:hyperlink>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5700" w:type="dxa"/>
            <w:vAlign w:val="bottom"/>
            <w:tcBorders>
              <w:bottom w:val="single" w:sz="8" w:color="0000EE"/>
            </w:tcBorders>
            <w:gridSpan w:val="24"/>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Restated Voting Agreement dated March 13, 2019, by and among MV II, LLC,</w:t>
              </w:r>
            </w:hyperlink>
          </w:p>
        </w:tc>
        <w:tc>
          <w:tcPr>
            <w:tcW w:w="18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80" w:type="dxa"/>
            <w:vAlign w:val="bottom"/>
            <w:gridSpan w:val="27"/>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Maximus Yaney, Larisa Storozhenko and Mohawk Group Holdings, Inc.</w:t>
              </w:r>
            </w:hyperlink>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5880" w:type="dxa"/>
            <w:vAlign w:val="bottom"/>
            <w:gridSpan w:val="27"/>
          </w:tcPr>
          <w:p>
            <w:pPr>
              <w:spacing w:after="0"/>
              <w:rPr>
                <w:rFonts w:ascii="Arial" w:cs="Arial" w:eastAsia="Arial" w:hAnsi="Arial"/>
                <w:sz w:val="18"/>
                <w:szCs w:val="18"/>
                <w:color w:val="0000EE"/>
              </w:rPr>
            </w:pPr>
            <w:hyperlink r:id="rId170">
              <w:r>
                <w:rPr>
                  <w:rFonts w:ascii="Arial" w:cs="Arial" w:eastAsia="Arial" w:hAnsi="Arial"/>
                  <w:sz w:val="18"/>
                  <w:szCs w:val="18"/>
                  <w:color w:val="0000EE"/>
                </w:rPr>
                <w:t>Voting Agreement dated April 12, 2019, by and between Mohawk Group</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Holdings, Inc. and Asher Delug.</w:t>
              </w:r>
            </w:hyperlink>
          </w:p>
        </w:tc>
        <w:tc>
          <w:tcPr>
            <w:tcW w:w="620" w:type="dxa"/>
            <w:vAlign w:val="bottom"/>
            <w:gridSpan w:val="12"/>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10.20</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320" w:type="dxa"/>
            <w:vAlign w:val="bottom"/>
            <w:tcBorders>
              <w:top w:val="single" w:sz="8" w:color="0000EE"/>
            </w:tcBorders>
            <w:gridSpan w:val="5"/>
          </w:tcPr>
          <w:p>
            <w:pPr>
              <w:spacing w:after="0"/>
              <w:rPr>
                <w:sz w:val="24"/>
                <w:szCs w:val="24"/>
                <w:color w:val="auto"/>
              </w:rPr>
            </w:pPr>
          </w:p>
        </w:tc>
        <w:tc>
          <w:tcPr>
            <w:tcW w:w="2800" w:type="dxa"/>
            <w:vAlign w:val="bottom"/>
            <w:gridSpan w:val="7"/>
          </w:tcPr>
          <w:p>
            <w:pPr>
              <w:jc w:val="right"/>
              <w:ind w:right="4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4"/>
              </w:rPr>
              <w:t>Exhibit</w:t>
            </w:r>
          </w:p>
        </w:tc>
        <w:tc>
          <w:tcPr>
            <w:tcW w:w="212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1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8"/>
              </w:rPr>
              <w:t>Number</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-8890</wp:posOffset>
            </wp:positionV>
            <wp:extent cx="43033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7" w:lineRule="exact"/>
        <w:rPr>
          <w:sz w:val="20"/>
          <w:szCs w:val="20"/>
          <w:color w:val="auto"/>
        </w:rPr>
      </w:pPr>
    </w:p>
    <w:p>
      <w:pPr>
        <w:ind w:left="820" w:right="180" w:hanging="812"/>
        <w:spacing w:after="0" w:line="296"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74">
        <w:r>
          <w:rPr>
            <w:rFonts w:ascii="Arial" w:cs="Arial" w:eastAsia="Arial" w:hAnsi="Arial"/>
            <w:sz w:val="16"/>
            <w:szCs w:val="16"/>
            <w:u w:val="single" w:color="auto"/>
            <w:color w:val="0000EE"/>
          </w:rPr>
          <w:t>Amended and Restated Credit and Security Agreement, dated November 23,</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2018, by and among Mohawk Group Holdings, Inc., Mohawk Group, Inc.,</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certain subsidiaries of Mohawk Group, Inc. set forth on Annex B thereto,</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MidCap Funding X Trust, individually as a Lender, and as Agent, and the</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financial institutions or other entities from time to time parties thereto.</w:t>
        </w:r>
      </w:hyperlink>
    </w:p>
    <w:p>
      <w:pPr>
        <w:spacing w:after="0" w:line="67" w:lineRule="exact"/>
        <w:rPr>
          <w:rFonts w:ascii="Arial" w:cs="Arial" w:eastAsia="Arial" w:hAnsi="Arial"/>
          <w:sz w:val="16"/>
          <w:szCs w:val="16"/>
          <w:u w:val="single" w:color="auto"/>
          <w:color w:val="0000EE"/>
        </w:rPr>
      </w:pPr>
    </w:p>
    <w:p>
      <w:pPr>
        <w:ind w:left="820" w:right="80" w:hanging="812"/>
        <w:spacing w:after="0" w:line="296"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75">
        <w:r>
          <w:rPr>
            <w:rFonts w:ascii="Arial" w:cs="Arial" w:eastAsia="Arial" w:hAnsi="Arial"/>
            <w:sz w:val="16"/>
            <w:szCs w:val="16"/>
            <w:u w:val="single" w:color="auto"/>
            <w:color w:val="0000EE"/>
          </w:rPr>
          <w:t>Omnibus Amendment No. 1 to Amended and Restated Credit and Security</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Agreement and Agreement No. 2 to Pledge Agreement, dated as of December</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31, 2018, by and among Mohawk Group Holdings, Inc., Mohawk Group, Inc.,</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certain subsidiaries of Mohawk Group, Inc. set forth on the signature pages</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thereto, MidCap Funding X Trust, as agent, and the Lenders party thereto.</w:t>
        </w:r>
      </w:hyperlink>
    </w:p>
    <w:p>
      <w:pPr>
        <w:spacing w:after="0" w:line="67" w:lineRule="exact"/>
        <w:rPr>
          <w:rFonts w:ascii="Arial" w:cs="Arial" w:eastAsia="Arial" w:hAnsi="Arial"/>
          <w:sz w:val="16"/>
          <w:szCs w:val="16"/>
          <w:u w:val="single" w:color="auto"/>
          <w:color w:val="0000EE"/>
        </w:rPr>
      </w:pPr>
    </w:p>
    <w:p>
      <w:pPr>
        <w:ind w:left="820" w:right="140" w:hanging="762"/>
        <w:spacing w:after="0" w:line="25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76">
        <w:r>
          <w:rPr>
            <w:rFonts w:ascii="Arial" w:cs="Arial" w:eastAsia="Arial" w:hAnsi="Arial"/>
            <w:sz w:val="18"/>
            <w:szCs w:val="18"/>
            <w:u w:val="single" w:color="auto"/>
            <w:color w:val="0000EE"/>
          </w:rPr>
          <w:t>Amendment No. 2 to Amended and Restated Credit and Security Agreement,</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dated as of March 29, 2019, by and among Mohawk Group Holdings, Inc.,</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Mohawk Group, Inc., certain subsidiaries of Mohawk Group, Inc. set forth on</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the signature pages thereto, MidCap Funding IV Trust, as agent, and the</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Lenders party thereto.</w:t>
        </w:r>
      </w:hyperlink>
    </w:p>
    <w:p>
      <w:pPr>
        <w:spacing w:after="0" w:line="93" w:lineRule="exact"/>
        <w:rPr>
          <w:rFonts w:ascii="Arial" w:cs="Arial" w:eastAsia="Arial" w:hAnsi="Arial"/>
          <w:sz w:val="18"/>
          <w:szCs w:val="18"/>
          <w:u w:val="single" w:color="auto"/>
          <w:color w:val="0000EE"/>
        </w:rPr>
      </w:pPr>
    </w:p>
    <w:p>
      <w:pPr>
        <w:ind w:left="820" w:right="140" w:hanging="762"/>
        <w:spacing w:after="0" w:line="25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77">
        <w:r>
          <w:rPr>
            <w:rFonts w:ascii="Arial" w:cs="Arial" w:eastAsia="Arial" w:hAnsi="Arial"/>
            <w:sz w:val="18"/>
            <w:szCs w:val="18"/>
            <w:u w:val="single" w:color="auto"/>
            <w:color w:val="0000EE"/>
          </w:rPr>
          <w:t>Amendment No. 3 to Amended and Restated Credit and Security Agreement,</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dated as of May 13, 2019, by and among Mohawk Group Holdings, Inc.,</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Mohawk Group, Inc., certain subsidiaries of Mohawk Group, Inc. set forth on</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the signature pages thereto, MidCap Funding IV Trust, as agent, and the</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Lenders party thereto.</w:t>
        </w:r>
      </w:hyperlink>
    </w:p>
    <w:p>
      <w:pPr>
        <w:spacing w:after="0" w:line="188" w:lineRule="exact"/>
        <w:rPr>
          <w:rFonts w:ascii="Arial" w:cs="Arial" w:eastAsia="Arial" w:hAnsi="Arial"/>
          <w:sz w:val="18"/>
          <w:szCs w:val="18"/>
          <w:u w:val="single" w:color="auto"/>
          <w:color w:val="0000EE"/>
        </w:rPr>
      </w:pPr>
    </w:p>
    <w:p>
      <w:pPr>
        <w:ind w:left="820" w:right="140" w:hanging="807"/>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78">
        <w:r>
          <w:rPr>
            <w:rFonts w:ascii="Arial" w:cs="Arial" w:eastAsia="Arial" w:hAnsi="Arial"/>
            <w:sz w:val="18"/>
            <w:szCs w:val="18"/>
            <w:u w:val="single" w:color="auto"/>
            <w:color w:val="0000EE"/>
          </w:rPr>
          <w:t>Offer Letter, dated March 12, 2020, by and between Mohawk Group, Inc. and</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Pramod K C.</w:t>
        </w:r>
      </w:hyperlink>
    </w:p>
    <w:p>
      <w:pPr>
        <w:spacing w:after="0" w:line="170" w:lineRule="exact"/>
        <w:rPr>
          <w:sz w:val="20"/>
          <w:szCs w:val="20"/>
          <w:color w:val="auto"/>
        </w:rPr>
      </w:pPr>
    </w:p>
    <w:p>
      <w:pPr>
        <w:ind w:left="820" w:hanging="812"/>
        <w:spacing w:after="0" w:line="273" w:lineRule="auto"/>
        <w:tabs>
          <w:tab w:leader="none" w:pos="800" w:val="left"/>
        </w:tabs>
        <w:rPr>
          <w:rFonts w:ascii="Arial" w:cs="Arial" w:eastAsia="Arial" w:hAnsi="Arial"/>
          <w:sz w:val="17"/>
          <w:szCs w:val="17"/>
          <w:u w:val="single" w:color="auto"/>
          <w:color w:val="0000EE"/>
        </w:rPr>
      </w:pPr>
      <w:r>
        <w:rPr>
          <w:rFonts w:ascii="Arial" w:cs="Arial" w:eastAsia="Arial" w:hAnsi="Arial"/>
          <w:sz w:val="18"/>
          <w:szCs w:val="18"/>
          <w:color w:val="auto"/>
        </w:rPr>
        <w:t>10.23+</w:t>
      </w:r>
      <w:r>
        <w:rPr>
          <w:sz w:val="20"/>
          <w:szCs w:val="20"/>
          <w:color w:val="auto"/>
        </w:rPr>
        <w:tab/>
      </w:r>
      <w:hyperlink r:id="rId179">
        <w:r>
          <w:rPr>
            <w:rFonts w:ascii="Arial" w:cs="Arial" w:eastAsia="Arial" w:hAnsi="Arial"/>
            <w:sz w:val="17"/>
            <w:szCs w:val="17"/>
            <w:u w:val="single" w:color="auto"/>
            <w:color w:val="0000EE"/>
          </w:rPr>
          <w:t>Omnibus Limited Consent, Joinder and Amendment No. 8 to Amended and</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Restated Credit and Security Agreement and Amendment No. 4 to Pledge</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Agreement, dated as of August 26, 2020, by and among Mohawk Group</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Holdings, Inc., Mohawk Group, Inc., certain subsidiaries of Mohawk Group,</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Inc. set forth on the signature pages thereto, Truweo, LLC, MidCap Funding IV</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Trust, as agent, and the Lenders party thereto.</w:t>
        </w:r>
      </w:hyperlink>
    </w:p>
    <w:p>
      <w:pPr>
        <w:spacing w:after="0" w:line="178" w:lineRule="exact"/>
        <w:rPr>
          <w:rFonts w:ascii="Arial" w:cs="Arial" w:eastAsia="Arial" w:hAnsi="Arial"/>
          <w:sz w:val="17"/>
          <w:szCs w:val="17"/>
          <w:u w:val="single" w:color="auto"/>
          <w:color w:val="0000EE"/>
        </w:rPr>
      </w:pPr>
    </w:p>
    <w:p>
      <w:pPr>
        <w:ind w:left="820" w:right="20" w:hanging="812"/>
        <w:spacing w:after="0" w:line="254"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80">
        <w:r>
          <w:rPr>
            <w:rFonts w:ascii="Arial" w:cs="Arial" w:eastAsia="Arial" w:hAnsi="Arial"/>
            <w:sz w:val="18"/>
            <w:szCs w:val="18"/>
            <w:u w:val="single" w:color="auto"/>
            <w:color w:val="0000EE"/>
          </w:rPr>
          <w:t>Omnibus Limited Consent, Joinder and Amendment No. 2 to Venture Loan and</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Security Agreement, dated as of August 26, 2020, by and among Mohawk</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Group Holdings, Inc., Mohawk Group, Inc., certain subsidiaries of Mohawk</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Group, Inc. set forth on the signature pages thereto, Truweo, LLC, Horizon</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Technology Finance Corporation, as collateral agent, Horizon Credit II LLC, as</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assignee of Horizon Technology Finance Corporation, and Horizon Funding</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Trust 2019-1.</w:t>
        </w:r>
      </w:hyperlink>
    </w:p>
    <w:p>
      <w:pPr>
        <w:spacing w:after="0" w:line="195" w:lineRule="exact"/>
        <w:rPr>
          <w:rFonts w:ascii="Arial" w:cs="Arial" w:eastAsia="Arial" w:hAnsi="Arial"/>
          <w:sz w:val="18"/>
          <w:szCs w:val="18"/>
          <w:u w:val="single" w:color="auto"/>
          <w:color w:val="0000EE"/>
        </w:rPr>
      </w:pPr>
    </w:p>
    <w:p>
      <w:pPr>
        <w:jc w:val="both"/>
        <w:ind w:left="820" w:right="40" w:hanging="812"/>
        <w:spacing w:after="0" w:line="263"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81">
        <w:r>
          <w:rPr>
            <w:rFonts w:ascii="Arial" w:cs="Arial" w:eastAsia="Arial" w:hAnsi="Arial"/>
            <w:sz w:val="18"/>
            <w:szCs w:val="18"/>
            <w:u w:val="single" w:color="auto"/>
            <w:color w:val="0000EE"/>
          </w:rPr>
          <w:t>Securities Purchase Agreement, dated as of November 30, 2020, by and among</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Mohawk Group Holdings, Inc. and each of the investors listed on the Schedule</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of Buyers attached thereto.</w:t>
        </w:r>
      </w:hyperlink>
    </w:p>
    <w:p>
      <w:pPr>
        <w:spacing w:after="0" w:line="184" w:lineRule="exact"/>
        <w:rPr>
          <w:rFonts w:ascii="Arial" w:cs="Arial" w:eastAsia="Arial" w:hAnsi="Arial"/>
          <w:sz w:val="18"/>
          <w:szCs w:val="18"/>
          <w:u w:val="single" w:color="auto"/>
          <w:color w:val="0000EE"/>
        </w:rPr>
      </w:pPr>
    </w:p>
    <w:p>
      <w:pPr>
        <w:ind w:left="820" w:right="240" w:hanging="812"/>
        <w:spacing w:after="0" w:line="25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82">
        <w:r>
          <w:rPr>
            <w:rFonts w:ascii="Arial" w:cs="Arial" w:eastAsia="Arial" w:hAnsi="Arial"/>
            <w:sz w:val="18"/>
            <w:szCs w:val="18"/>
            <w:u w:val="single" w:color="auto"/>
            <w:color w:val="0000EE"/>
          </w:rPr>
          <w:t>Amendment No. 9 to Amended and Restated Credit Agreement, dated as of</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December 1, 2020, by and among Mohawk Group Holdings, Inc., Mohawk</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Group, Inc., certain subsidiaries of Mohawk Group, Inc., set forth on the</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signature pages thereto, MidCap Funding IV Trust, as agent, and the lenders</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party thereto.</w:t>
        </w:r>
      </w:hyperlink>
    </w:p>
    <w:p>
      <w:pPr>
        <w:spacing w:after="0" w:line="188" w:lineRule="exact"/>
        <w:rPr>
          <w:rFonts w:ascii="Arial" w:cs="Arial" w:eastAsia="Arial" w:hAnsi="Arial"/>
          <w:sz w:val="18"/>
          <w:szCs w:val="18"/>
          <w:u w:val="single" w:color="auto"/>
          <w:color w:val="0000EE"/>
        </w:rPr>
      </w:pPr>
    </w:p>
    <w:p>
      <w:pPr>
        <w:ind w:left="5340"/>
        <w:spacing w:after="0"/>
        <w:rPr>
          <w:sz w:val="20"/>
          <w:szCs w:val="20"/>
          <w:color w:val="auto"/>
        </w:rPr>
      </w:pPr>
      <w:r>
        <w:rPr>
          <w:rFonts w:ascii="Arial" w:cs="Arial" w:eastAsia="Arial" w:hAnsi="Arial"/>
          <w:sz w:val="18"/>
          <w:szCs w:val="18"/>
          <w:color w:val="auto"/>
        </w:rPr>
        <w:t>74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-121285</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-118110</wp:posOffset>
            </wp:positionH>
            <wp:positionV relativeFrom="paragraph">
              <wp:posOffset>6350</wp:posOffset>
            </wp:positionV>
            <wp:extent cx="27603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16" w:lineRule="exact"/>
        <w:rPr>
          <w:rFonts w:ascii="Arial" w:cs="Arial" w:eastAsia="Arial" w:hAnsi="Arial"/>
          <w:sz w:val="18"/>
          <w:szCs w:val="18"/>
          <w:u w:val="single" w:color="auto"/>
          <w:color w:val="0000EE"/>
        </w:rPr>
      </w:pPr>
    </w:p>
    <w:p>
      <w:pPr>
        <w:ind w:left="40"/>
        <w:spacing w:after="0"/>
        <w:tabs>
          <w:tab w:leader="none" w:pos="940" w:val="left"/>
          <w:tab w:leader="none" w:pos="2300" w:val="left"/>
          <w:tab w:leader="none" w:pos="35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Exhibit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-118110</wp:posOffset>
            </wp:positionH>
            <wp:positionV relativeFrom="paragraph">
              <wp:posOffset>6350</wp:posOffset>
            </wp:positionV>
            <wp:extent cx="27603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96" w:lineRule="exact"/>
        <w:rPr>
          <w:rFonts w:ascii="Arial" w:cs="Arial" w:eastAsia="Arial" w:hAnsi="Arial"/>
          <w:sz w:val="18"/>
          <w:szCs w:val="18"/>
          <w:u w:val="single" w:color="auto"/>
          <w:color w:val="0000EE"/>
        </w:rPr>
      </w:pPr>
    </w:p>
    <w:p>
      <w:pPr>
        <w:ind w:left="80"/>
        <w:spacing w:after="0"/>
        <w:tabs>
          <w:tab w:leader="none" w:pos="900" w:val="left"/>
          <w:tab w:leader="none" w:pos="2280" w:val="left"/>
          <w:tab w:leader="none" w:pos="35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5/10/2019</w:t>
      </w:r>
      <w:r>
        <w:rPr>
          <w:sz w:val="20"/>
          <w:szCs w:val="20"/>
          <w:color w:val="auto"/>
        </w:rPr>
        <w:tab/>
      </w:r>
      <w:r>
        <w:rPr>
          <w:rFonts w:ascii="Arial" w:cs="Arial" w:eastAsia="Arial" w:hAnsi="Arial"/>
          <w:sz w:val="16"/>
          <w:szCs w:val="16"/>
          <w:color w:val="auto"/>
        </w:rPr>
        <w:t>10.6</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95" w:lineRule="exact"/>
        <w:rPr>
          <w:rFonts w:ascii="Arial" w:cs="Arial" w:eastAsia="Arial" w:hAnsi="Arial"/>
          <w:sz w:val="18"/>
          <w:szCs w:val="18"/>
          <w:u w:val="single" w:color="auto"/>
          <w:color w:val="0000EE"/>
        </w:rPr>
      </w:pPr>
    </w:p>
    <w:p>
      <w:pPr>
        <w:ind w:left="80"/>
        <w:spacing w:after="0"/>
        <w:tabs>
          <w:tab w:leader="none" w:pos="900" w:val="left"/>
          <w:tab w:leader="none" w:pos="2280" w:val="left"/>
          <w:tab w:leader="none" w:pos="35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5/10/2019</w:t>
      </w:r>
      <w:r>
        <w:rPr>
          <w:sz w:val="20"/>
          <w:szCs w:val="20"/>
          <w:color w:val="auto"/>
        </w:rPr>
        <w:tab/>
      </w:r>
      <w:r>
        <w:rPr>
          <w:rFonts w:ascii="Arial" w:cs="Arial" w:eastAsia="Arial" w:hAnsi="Arial"/>
          <w:sz w:val="16"/>
          <w:szCs w:val="16"/>
          <w:color w:val="auto"/>
        </w:rPr>
        <w:t>10.7</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95" w:lineRule="exact"/>
        <w:rPr>
          <w:rFonts w:ascii="Arial" w:cs="Arial" w:eastAsia="Arial" w:hAnsi="Arial"/>
          <w:sz w:val="18"/>
          <w:szCs w:val="18"/>
          <w:u w:val="single" w:color="auto"/>
          <w:color w:val="0000EE"/>
        </w:rPr>
      </w:pPr>
    </w:p>
    <w:p>
      <w:pPr>
        <w:ind w:left="80"/>
        <w:spacing w:after="0"/>
        <w:tabs>
          <w:tab w:leader="none" w:pos="900" w:val="left"/>
          <w:tab w:leader="none" w:pos="2280" w:val="left"/>
          <w:tab w:leader="none" w:pos="35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5/10/2019</w:t>
      </w:r>
      <w:r>
        <w:rPr>
          <w:sz w:val="20"/>
          <w:szCs w:val="20"/>
          <w:color w:val="auto"/>
        </w:rPr>
        <w:tab/>
      </w:r>
      <w:r>
        <w:rPr>
          <w:rFonts w:ascii="Arial" w:cs="Arial" w:eastAsia="Arial" w:hAnsi="Arial"/>
          <w:sz w:val="15"/>
          <w:szCs w:val="15"/>
          <w:color w:val="auto"/>
        </w:rPr>
        <w:t>10.21</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95"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333-231381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5/24/2019</w:t>
            </w:r>
          </w:p>
        </w:tc>
        <w:tc>
          <w:tcPr>
            <w:tcW w:w="66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64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7/30/2020</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2" w:lineRule="exact"/>
        <w:rPr>
          <w:rFonts w:ascii="Arial" w:cs="Arial" w:eastAsia="Arial" w:hAnsi="Arial"/>
          <w:sz w:val="18"/>
          <w:szCs w:val="18"/>
          <w:u w:val="single" w:color="auto"/>
          <w:color w:val="0000EE"/>
        </w:rPr>
      </w:pPr>
    </w:p>
    <w:p>
      <w:pPr>
        <w:ind w:left="20"/>
        <w:spacing w:after="0"/>
        <w:tabs>
          <w:tab w:leader="none" w:pos="940" w:val="left"/>
          <w:tab w:leader="none" w:pos="2280" w:val="left"/>
          <w:tab w:leader="none" w:pos="35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11/9/2020</w:t>
      </w:r>
      <w:r>
        <w:rPr>
          <w:sz w:val="20"/>
          <w:szCs w:val="20"/>
          <w:color w:val="auto"/>
        </w:rPr>
        <w:tab/>
      </w:r>
      <w:r>
        <w:rPr>
          <w:rFonts w:ascii="Arial" w:cs="Arial" w:eastAsia="Arial" w:hAnsi="Arial"/>
          <w:sz w:val="16"/>
          <w:szCs w:val="16"/>
          <w:color w:val="auto"/>
        </w:rPr>
        <w:t>10.1</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1" w:lineRule="exact"/>
        <w:rPr>
          <w:rFonts w:ascii="Arial" w:cs="Arial" w:eastAsia="Arial" w:hAnsi="Arial"/>
          <w:sz w:val="18"/>
          <w:szCs w:val="18"/>
          <w:u w:val="single" w:color="auto"/>
          <w:color w:val="0000EE"/>
        </w:rPr>
      </w:pPr>
    </w:p>
    <w:tbl>
      <w:tblPr>
        <w:tblLayout w:type="fixed"/>
        <w:tblInd w:w="20" w:type="dxa"/>
        <w:tblCellMar>
          <w:top w:w="0" w:type="dxa"/>
          <w:left w:w="0" w:type="dxa"/>
          <w:bottom w:w="0" w:type="dxa"/>
          <w:right w:w="0" w:type="dxa"/>
        </w:tblCellMar>
      </w:tblPr>
      <w:tr>
        <w:trPr>
          <w:trHeight w:val="23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001-38937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11/9/2020</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864"/>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001-38937</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12/1/2020</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66" w:lineRule="exact"/>
        <w:rPr>
          <w:rFonts w:ascii="Arial" w:cs="Arial" w:eastAsia="Arial" w:hAnsi="Arial"/>
          <w:sz w:val="18"/>
          <w:szCs w:val="18"/>
          <w:u w:val="single" w:color="auto"/>
          <w:color w:val="0000EE"/>
        </w:rPr>
      </w:pPr>
    </w:p>
    <w:p>
      <w:pPr>
        <w:ind w:left="80"/>
        <w:spacing w:after="0"/>
        <w:tabs>
          <w:tab w:leader="none" w:pos="940" w:val="left"/>
          <w:tab w:leader="none" w:pos="2280" w:val="left"/>
          <w:tab w:leader="none" w:pos="35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12/1/2020</w:t>
      </w:r>
      <w:r>
        <w:rPr>
          <w:sz w:val="20"/>
          <w:szCs w:val="20"/>
          <w:color w:val="auto"/>
        </w:rPr>
        <w:tab/>
      </w:r>
      <w:r>
        <w:rPr>
          <w:rFonts w:ascii="Arial" w:cs="Arial" w:eastAsia="Arial" w:hAnsi="Arial"/>
          <w:sz w:val="16"/>
          <w:szCs w:val="16"/>
          <w:color w:val="auto"/>
        </w:rPr>
        <w:t>10.2</w:t>
      </w:r>
    </w:p>
    <w:p>
      <w:pPr>
        <w:sectPr>
          <w:pgSz w:w="11900" w:h="16838" w:orient="portrait"/>
          <w:cols w:equalWidth="0" w:num="2">
            <w:col w:w="6560" w:space="320"/>
            <w:col w:w="3980"/>
          </w:cols>
          <w:pgMar w:left="520" w:top="333" w:right="5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1"/>
        </w:trPr>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020" w:type="dxa"/>
            <w:vAlign w:val="bottom"/>
            <w:gridSpan w:val="2"/>
            <w:vMerge w:val="continue"/>
          </w:tcPr>
          <w:p>
            <w:pPr>
              <w:spacing w:after="0"/>
              <w:rPr>
                <w:sz w:val="9"/>
                <w:szCs w:val="9"/>
                <w:color w:val="auto"/>
              </w:rPr>
            </w:pPr>
          </w:p>
        </w:tc>
        <w:tc>
          <w:tcPr>
            <w:tcW w:w="576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9"/>
                <w:szCs w:val="9"/>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9"/>
                <w:szCs w:val="9"/>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9"/>
                <w:szCs w:val="9"/>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5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123" w:lineRule="exact"/>
        <w:rPr>
          <w:sz w:val="20"/>
          <w:szCs w:val="20"/>
          <w:color w:val="auto"/>
        </w:rPr>
      </w:pPr>
    </w:p>
    <w:p>
      <w:pPr>
        <w:jc w:val="center"/>
        <w:ind w:left="240" w:right="2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10.27    </w:t>
      </w:r>
      <w:hyperlink r:id="rId186">
        <w:r>
          <w:rPr>
            <w:rFonts w:ascii="Arial" w:cs="Arial" w:eastAsia="Arial" w:hAnsi="Arial"/>
            <w:sz w:val="18"/>
            <w:szCs w:val="18"/>
            <w:u w:val="single" w:color="auto"/>
            <w:color w:val="0000EE"/>
          </w:rPr>
          <w:t>Lock-Up, Voting and Standstill Agreement, dated December 1, 2020, by and</w:t>
        </w:r>
      </w:hyperlink>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EE"/>
          </w:rPr>
          <w:t>between Mohawk Group Holdings, Inc. and 9830 Macarthur LLC.</w:t>
        </w:r>
      </w:hyperlink>
    </w:p>
    <w:p>
      <w:pPr>
        <w:spacing w:after="0" w:line="76" w:lineRule="exact"/>
        <w:rPr>
          <w:sz w:val="20"/>
          <w:szCs w:val="20"/>
          <w:color w:val="auto"/>
        </w:rPr>
      </w:pPr>
    </w:p>
    <w:p>
      <w:pPr>
        <w:ind w:left="1020" w:right="340" w:hanging="81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87">
        <w:r>
          <w:rPr>
            <w:rFonts w:ascii="Arial" w:cs="Arial" w:eastAsia="Arial" w:hAnsi="Arial"/>
            <w:sz w:val="18"/>
            <w:szCs w:val="18"/>
            <w:u w:val="single" w:color="auto"/>
            <w:color w:val="0000EE"/>
          </w:rPr>
          <w:t>Non-Negotiable Promissory Note, dated December 1, 2020, from Mohawk</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Group Holdings, Inc. to 9830 Macarthur LLC.</w:t>
        </w:r>
      </w:hyperlink>
    </w:p>
    <w:p>
      <w:pPr>
        <w:spacing w:after="0" w:line="76" w:lineRule="exact"/>
        <w:rPr>
          <w:sz w:val="20"/>
          <w:szCs w:val="20"/>
          <w:color w:val="auto"/>
        </w:rPr>
      </w:pPr>
    </w:p>
    <w:p>
      <w:pPr>
        <w:ind w:left="1020" w:right="60" w:hanging="812"/>
        <w:spacing w:after="0" w:line="26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88">
        <w:r>
          <w:rPr>
            <w:rFonts w:ascii="Arial" w:cs="Arial" w:eastAsia="Arial" w:hAnsi="Arial"/>
            <w:sz w:val="18"/>
            <w:szCs w:val="18"/>
            <w:u w:val="single" w:color="auto"/>
            <w:color w:val="0000EE"/>
          </w:rPr>
          <w:t>Securities Purchase Agreement, dated as of February 2, 2021, by and among</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Mohawk Group Holdings, Inc. and each of the investors listed on the Schedule</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of Buyers attached thereto.</w:t>
        </w:r>
      </w:hyperlink>
    </w:p>
    <w:p>
      <w:pPr>
        <w:spacing w:after="0" w:line="184" w:lineRule="exact"/>
        <w:rPr>
          <w:rFonts w:ascii="Arial" w:cs="Arial" w:eastAsia="Arial" w:hAnsi="Arial"/>
          <w:sz w:val="18"/>
          <w:szCs w:val="18"/>
          <w:u w:val="single" w:color="auto"/>
          <w:color w:val="0000EE"/>
        </w:rPr>
      </w:pPr>
    </w:p>
    <w:p>
      <w:pPr>
        <w:ind w:left="1020" w:right="220" w:hanging="812"/>
        <w:spacing w:after="0" w:line="275"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189">
        <w:r>
          <w:rPr>
            <w:rFonts w:ascii="Arial" w:cs="Arial" w:eastAsia="Arial" w:hAnsi="Arial"/>
            <w:sz w:val="17"/>
            <w:szCs w:val="17"/>
            <w:u w:val="single" w:color="auto"/>
            <w:color w:val="0000EE"/>
          </w:rPr>
          <w:t>Limited Consent and Amendment No. 10 to Amended and Restated Credit</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Agreement, dated as of February 2, 2021, by and among Mohawk Group</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Holdings, Inc., Mohawk Group, Inc., certain subsidiaries of Mohawk Group,</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Inc., set forth on the signature pages thereto, MidCap Funding IV Trust, as</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agent, and the lenders party thereto.</w:t>
        </w:r>
      </w:hyperlink>
    </w:p>
    <w:p>
      <w:pPr>
        <w:spacing w:after="0" w:line="176" w:lineRule="exact"/>
        <w:rPr>
          <w:rFonts w:ascii="Arial" w:cs="Arial" w:eastAsia="Arial" w:hAnsi="Arial"/>
          <w:sz w:val="17"/>
          <w:szCs w:val="17"/>
          <w:u w:val="single" w:color="auto"/>
          <w:color w:val="0000EE"/>
        </w:rPr>
      </w:pPr>
    </w:p>
    <w:p>
      <w:pPr>
        <w:ind w:left="1020" w:right="320" w:hanging="762"/>
        <w:spacing w:after="0" w:line="308"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90">
        <w:r>
          <w:rPr>
            <w:rFonts w:ascii="Arial" w:cs="Arial" w:eastAsia="Arial" w:hAnsi="Arial"/>
            <w:sz w:val="17"/>
            <w:szCs w:val="17"/>
            <w:u w:val="single" w:color="auto"/>
            <w:color w:val="0000EE"/>
          </w:rPr>
          <w:t>Lock-Up, Voting and Standstill Agreement, dated February 2, 2021, by and</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between Mohawk Group Holdings, Inc. and Healing Solutions, LLC.</w:t>
        </w:r>
      </w:hyperlink>
    </w:p>
    <w:p>
      <w:pPr>
        <w:spacing w:after="0" w:line="146" w:lineRule="exact"/>
        <w:rPr>
          <w:sz w:val="20"/>
          <w:szCs w:val="20"/>
          <w:color w:val="auto"/>
        </w:rPr>
      </w:pPr>
    </w:p>
    <w:p>
      <w:pPr>
        <w:ind w:left="1020" w:right="300" w:hanging="81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91">
        <w:r>
          <w:rPr>
            <w:rFonts w:ascii="Arial" w:cs="Arial" w:eastAsia="Arial" w:hAnsi="Arial"/>
            <w:sz w:val="18"/>
            <w:szCs w:val="18"/>
            <w:u w:val="single" w:color="auto"/>
            <w:color w:val="0000EE"/>
          </w:rPr>
          <w:t>Manufacturing Supply Agreement, dated February 2, 2021, by and between</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Mohawk Group, Inc. and Healing Solutions, LLC.</w:t>
        </w:r>
      </w:hyperlink>
    </w:p>
    <w:p>
      <w:pPr>
        <w:spacing w:after="0" w:line="170" w:lineRule="exact"/>
        <w:rPr>
          <w:sz w:val="20"/>
          <w:szCs w:val="20"/>
          <w:color w:val="auto"/>
        </w:rPr>
      </w:pPr>
    </w:p>
    <w:p>
      <w:pPr>
        <w:ind w:left="1020" w:right="440" w:hanging="81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92">
        <w:r>
          <w:rPr>
            <w:rFonts w:ascii="Arial" w:cs="Arial" w:eastAsia="Arial" w:hAnsi="Arial"/>
            <w:sz w:val="18"/>
            <w:szCs w:val="18"/>
            <w:u w:val="single" w:color="auto"/>
            <w:color w:val="0000EE"/>
          </w:rPr>
          <w:t>Consulting Agreement, dated February 2, 2021, by and between Mohawk</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Group, Inc. and Richard Perry.</w:t>
        </w:r>
      </w:hyperlink>
    </w:p>
    <w:p>
      <w:pPr>
        <w:spacing w:after="0" w:line="170" w:lineRule="exact"/>
        <w:rPr>
          <w:sz w:val="20"/>
          <w:szCs w:val="20"/>
          <w:color w:val="auto"/>
        </w:rPr>
      </w:pPr>
    </w:p>
    <w:p>
      <w:pPr>
        <w:ind w:left="1020" w:right="440" w:hanging="81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93">
        <w:r>
          <w:rPr>
            <w:rFonts w:ascii="Arial" w:cs="Arial" w:eastAsia="Arial" w:hAnsi="Arial"/>
            <w:sz w:val="18"/>
            <w:szCs w:val="18"/>
            <w:u w:val="single" w:color="auto"/>
            <w:color w:val="0000EE"/>
          </w:rPr>
          <w:t>Consulting Agreement, dated February 2, 2021, by and between Mohawk</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Group, Inc. and Christopher Marshall.</w:t>
        </w:r>
      </w:hyperlink>
    </w:p>
    <w:p>
      <w:pPr>
        <w:spacing w:after="0" w:line="170" w:lineRule="exact"/>
        <w:rPr>
          <w:sz w:val="20"/>
          <w:szCs w:val="20"/>
          <w:color w:val="auto"/>
        </w:rPr>
      </w:pPr>
    </w:p>
    <w:p>
      <w:pPr>
        <w:ind w:left="1020" w:right="440" w:hanging="81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94">
        <w:r>
          <w:rPr>
            <w:rFonts w:ascii="Arial" w:cs="Arial" w:eastAsia="Arial" w:hAnsi="Arial"/>
            <w:sz w:val="18"/>
            <w:szCs w:val="18"/>
            <w:u w:val="single" w:color="auto"/>
            <w:color w:val="0000EE"/>
          </w:rPr>
          <w:t>Consulting Agreement, dated February 2, 2021, by and between Mohawk</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Group, Inc. and Quinn McCullough.</w:t>
        </w:r>
      </w:hyperlink>
    </w:p>
    <w:p>
      <w:pPr>
        <w:spacing w:after="0" w:line="76" w:lineRule="exact"/>
        <w:rPr>
          <w:sz w:val="20"/>
          <w:szCs w:val="20"/>
          <w:color w:val="auto"/>
        </w:rPr>
      </w:pPr>
    </w:p>
    <w:p>
      <w:pPr>
        <w:ind w:left="1020" w:right="520" w:hanging="81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95">
        <w:r>
          <w:rPr>
            <w:rFonts w:ascii="Arial" w:cs="Arial" w:eastAsia="Arial" w:hAnsi="Arial"/>
            <w:sz w:val="18"/>
            <w:szCs w:val="18"/>
            <w:u w:val="single" w:color="auto"/>
            <w:color w:val="0000EE"/>
          </w:rPr>
          <w:t>Transition Services Agreement, dated February 2, 2021, by and between</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Healing Solutions, LLC and Truweo, LLC.</w:t>
        </w:r>
      </w:hyperlink>
    </w:p>
    <w:p>
      <w:pPr>
        <w:spacing w:after="0" w:line="170" w:lineRule="exact"/>
        <w:rPr>
          <w:sz w:val="20"/>
          <w:szCs w:val="20"/>
          <w:color w:val="auto"/>
        </w:rPr>
      </w:pPr>
    </w:p>
    <w:p>
      <w:pPr>
        <w:ind w:left="1020" w:right="300" w:hanging="81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96">
        <w:r>
          <w:rPr>
            <w:rFonts w:ascii="Arial" w:cs="Arial" w:eastAsia="Arial" w:hAnsi="Arial"/>
            <w:sz w:val="18"/>
            <w:szCs w:val="18"/>
            <w:u w:val="single" w:color="auto"/>
            <w:color w:val="0000EE"/>
          </w:rPr>
          <w:t>Letter Agreement, dated February 8, 2021, by and between Mohawk Group</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Holdings, Inc. and High Trail Investments SA LLC.</w:t>
        </w:r>
      </w:hyperlink>
    </w:p>
    <w:p>
      <w:pPr>
        <w:spacing w:after="0" w:line="170" w:lineRule="exact"/>
        <w:rPr>
          <w:sz w:val="20"/>
          <w:szCs w:val="20"/>
          <w:color w:val="auto"/>
        </w:rPr>
      </w:pPr>
    </w:p>
    <w:p>
      <w:pPr>
        <w:ind w:left="26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r:id="rId197">
        <w:r>
          <w:rPr>
            <w:rFonts w:ascii="Arial" w:cs="Arial" w:eastAsia="Arial" w:hAnsi="Arial"/>
            <w:sz w:val="16"/>
            <w:szCs w:val="16"/>
            <w:u w:val="single" w:color="auto"/>
            <w:color w:val="0000EE"/>
          </w:rPr>
          <w:t>Form of Voting Agreement, dated February 8, 2021.</w:t>
        </w:r>
      </w:hyperlink>
    </w:p>
    <w:p>
      <w:pPr>
        <w:spacing w:after="0" w:line="225" w:lineRule="exact"/>
        <w:rPr>
          <w:sz w:val="20"/>
          <w:szCs w:val="20"/>
          <w:color w:val="auto"/>
        </w:rPr>
      </w:pPr>
    </w:p>
    <w:p>
      <w:pPr>
        <w:ind w:left="2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21.1 *</w:t>
      </w:r>
      <w:r>
        <w:rPr>
          <w:sz w:val="20"/>
          <w:szCs w:val="20"/>
          <w:color w:val="auto"/>
        </w:rPr>
        <w:tab/>
      </w:r>
      <w:hyperlink w:anchor="page115">
        <w:r>
          <w:rPr>
            <w:rFonts w:ascii="Arial" w:cs="Arial" w:eastAsia="Arial" w:hAnsi="Arial"/>
            <w:sz w:val="16"/>
            <w:szCs w:val="16"/>
            <w:u w:val="single" w:color="auto"/>
            <w:color w:val="0000EE"/>
          </w:rPr>
          <w:t>List of Subsidiaries of the Registrant.</w:t>
        </w:r>
      </w:hyperlink>
    </w:p>
    <w:p>
      <w:pPr>
        <w:spacing w:after="0" w:line="131" w:lineRule="exact"/>
        <w:rPr>
          <w:sz w:val="20"/>
          <w:szCs w:val="20"/>
          <w:color w:val="auto"/>
        </w:rPr>
      </w:pPr>
    </w:p>
    <w:p>
      <w:pPr>
        <w:ind w:left="1020" w:right="40" w:hanging="76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116">
        <w:r>
          <w:rPr>
            <w:rFonts w:ascii="Arial" w:cs="Arial" w:eastAsia="Arial" w:hAnsi="Arial"/>
            <w:sz w:val="18"/>
            <w:szCs w:val="18"/>
            <w:u w:val="single" w:color="auto"/>
            <w:color w:val="0000EE"/>
          </w:rPr>
          <w:t>Consent of Deloitte &amp; Touche LLP, Independent Registered Public Accounting</w:t>
        </w:r>
      </w:hyperlink>
      <w:r>
        <w:rPr>
          <w:rFonts w:ascii="Arial" w:cs="Arial" w:eastAsia="Arial" w:hAnsi="Arial"/>
          <w:sz w:val="18"/>
          <w:szCs w:val="18"/>
          <w:u w:val="single" w:color="auto"/>
          <w:color w:val="0000EE"/>
        </w:rPr>
        <w:t xml:space="preserve"> </w:t>
      </w:r>
      <w:hyperlink w:anchor="page116">
        <w:r>
          <w:rPr>
            <w:rFonts w:ascii="Arial" w:cs="Arial" w:eastAsia="Arial" w:hAnsi="Arial"/>
            <w:sz w:val="18"/>
            <w:szCs w:val="18"/>
            <w:u w:val="single" w:color="auto"/>
            <w:color w:val="0000EE"/>
          </w:rPr>
          <w:t>Firm.</w:t>
        </w:r>
      </w:hyperlink>
    </w:p>
    <w:p>
      <w:pPr>
        <w:spacing w:after="0" w:line="76" w:lineRule="exact"/>
        <w:rPr>
          <w:sz w:val="20"/>
          <w:szCs w:val="20"/>
          <w:color w:val="auto"/>
        </w:rPr>
      </w:pPr>
    </w:p>
    <w:p>
      <w:pPr>
        <w:ind w:left="1020" w:right="280" w:hanging="762"/>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24.1*</w:t>
      </w:r>
      <w:r>
        <w:rPr>
          <w:sz w:val="20"/>
          <w:szCs w:val="20"/>
          <w:color w:val="auto"/>
        </w:rPr>
        <w:tab/>
      </w:r>
      <w:hyperlink w:anchor="page107">
        <w:r>
          <w:rPr>
            <w:rFonts w:ascii="Arial" w:cs="Arial" w:eastAsia="Arial" w:hAnsi="Arial"/>
            <w:sz w:val="18"/>
            <w:szCs w:val="18"/>
            <w:u w:val="single" w:color="auto"/>
            <w:color w:val="0000EE"/>
          </w:rPr>
          <w:t>Power of Attorney (included on the signature page to this Annual Report on</w:t>
        </w:r>
      </w:hyperlink>
      <w:r>
        <w:rPr>
          <w:rFonts w:ascii="Arial" w:cs="Arial" w:eastAsia="Arial" w:hAnsi="Arial"/>
          <w:sz w:val="18"/>
          <w:szCs w:val="18"/>
          <w:u w:val="single" w:color="auto"/>
          <w:color w:val="0000EE"/>
        </w:rPr>
        <w:t xml:space="preserve"> </w:t>
      </w:r>
      <w:hyperlink w:anchor="page107">
        <w:r>
          <w:rPr>
            <w:rFonts w:ascii="Arial" w:cs="Arial" w:eastAsia="Arial" w:hAnsi="Arial"/>
            <w:sz w:val="18"/>
            <w:szCs w:val="18"/>
            <w:u w:val="single" w:color="auto"/>
            <w:color w:val="0000EE"/>
          </w:rPr>
          <w:t>Form 10-K).</w:t>
        </w:r>
      </w:hyperlink>
    </w:p>
    <w:p>
      <w:pPr>
        <w:spacing w:after="0" w:line="76" w:lineRule="exact"/>
        <w:rPr>
          <w:sz w:val="20"/>
          <w:szCs w:val="20"/>
          <w:color w:val="auto"/>
        </w:rPr>
      </w:pPr>
    </w:p>
    <w:p>
      <w:pPr>
        <w:ind w:left="26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17">
        <w:r>
          <w:rPr>
            <w:rFonts w:ascii="Arial" w:cs="Arial" w:eastAsia="Arial" w:hAnsi="Arial"/>
            <w:sz w:val="16"/>
            <w:szCs w:val="16"/>
            <w:u w:val="single" w:color="auto"/>
            <w:color w:val="0000EE"/>
          </w:rPr>
          <w:t>Certifications of the Principal Executive Officer pursuant to Rule 13a-14(a) or</w:t>
        </w:r>
      </w:hyperlink>
    </w:p>
    <w:p>
      <w:pPr>
        <w:spacing w:after="0" w:line="23" w:lineRule="exact"/>
        <w:rPr>
          <w:sz w:val="20"/>
          <w:szCs w:val="20"/>
          <w:color w:val="auto"/>
        </w:rPr>
      </w:pPr>
    </w:p>
    <w:p>
      <w:pPr>
        <w:ind w:left="10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15d-14(a) of the Securities Exchange Act of 1934.</w:t>
        </w:r>
      </w:hyperlink>
    </w:p>
    <w:p>
      <w:pPr>
        <w:spacing w:after="0" w:line="116" w:lineRule="exact"/>
        <w:rPr>
          <w:sz w:val="20"/>
          <w:szCs w:val="20"/>
          <w:color w:val="auto"/>
        </w:rPr>
      </w:pPr>
    </w:p>
    <w:p>
      <w:pPr>
        <w:ind w:left="26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18">
        <w:r>
          <w:rPr>
            <w:rFonts w:ascii="Arial" w:cs="Arial" w:eastAsia="Arial" w:hAnsi="Arial"/>
            <w:sz w:val="16"/>
            <w:szCs w:val="16"/>
            <w:u w:val="single" w:color="auto"/>
            <w:color w:val="0000EE"/>
          </w:rPr>
          <w:t>Certifications of the Principal Financial Officer pursuant to Rule 13a-14(a) or</w:t>
        </w:r>
      </w:hyperlink>
    </w:p>
    <w:p>
      <w:pPr>
        <w:spacing w:after="0" w:line="23" w:lineRule="exact"/>
        <w:rPr>
          <w:sz w:val="20"/>
          <w:szCs w:val="20"/>
          <w:color w:val="auto"/>
        </w:rPr>
      </w:pPr>
    </w:p>
    <w:p>
      <w:pPr>
        <w:ind w:left="102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15d-14(a) of the Securities Exchange Act of 1934.</w:t>
        </w:r>
      </w:hyperlink>
    </w:p>
    <w:p>
      <w:pPr>
        <w:spacing w:after="0" w:line="116" w:lineRule="exact"/>
        <w:rPr>
          <w:sz w:val="20"/>
          <w:szCs w:val="20"/>
          <w:color w:val="auto"/>
        </w:rPr>
      </w:pPr>
    </w:p>
    <w:p>
      <w:pPr>
        <w:ind w:left="1020" w:hanging="807"/>
        <w:spacing w:after="0" w:line="26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19">
        <w:r>
          <w:rPr>
            <w:rFonts w:ascii="Arial" w:cs="Arial" w:eastAsia="Arial" w:hAnsi="Arial"/>
            <w:sz w:val="18"/>
            <w:szCs w:val="18"/>
            <w:u w:val="single" w:color="auto"/>
            <w:color w:val="0000EE"/>
          </w:rPr>
          <w:t>Certifications of the Principal Executive Officer and Principal Financial Officer</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pursuant to 18 U.S.C. Section 1350, as adopted pursuant to Section 906 of the</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Sarbanes-Oxley Act of 2002.</w:t>
        </w:r>
      </w:hyperlink>
    </w:p>
    <w:p>
      <w:pPr>
        <w:spacing w:after="0" w:line="184" w:lineRule="exact"/>
        <w:rPr>
          <w:rFonts w:ascii="Arial" w:cs="Arial" w:eastAsia="Arial" w:hAnsi="Arial"/>
          <w:sz w:val="18"/>
          <w:szCs w:val="18"/>
          <w:u w:val="single" w:color="auto"/>
          <w:color w:val="0000EE"/>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19"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12/1/2020</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553"/>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12/1/2020</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769"/>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001-38937</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66"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2/3/2021</w:t>
            </w: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2/3/2021</w:t>
            </w: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2/3/2021</w:t>
            </w: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2/3/2021</w:t>
            </w: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2/3/2021</w:t>
            </w: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2/3/2021</w:t>
            </w: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553"/>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2/3/2021</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2/9/2021</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001-38937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2/9/2021</w:t>
            </w: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2">
            <w:col w:w="6760" w:space="400"/>
            <w:col w:w="4080"/>
          </w:cols>
          <w:pgMar w:left="320" w:top="333" w:right="339" w:bottom="1440" w:gutter="0" w:footer="0" w:header="0"/>
          <w:type w:val="continuous"/>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76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9"/>
                <w:szCs w:val="9"/>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9"/>
                <w:szCs w:val="9"/>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9"/>
                <w:szCs w:val="9"/>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5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920" w:type="dxa"/>
            <w:vAlign w:val="bottom"/>
          </w:tcPr>
          <w:p>
            <w:pPr>
              <w:ind w:left="100"/>
              <w:spacing w:after="0"/>
              <w:rPr>
                <w:sz w:val="20"/>
                <w:szCs w:val="20"/>
                <w:color w:val="auto"/>
              </w:rPr>
            </w:pPr>
            <w:r>
              <w:rPr>
                <w:rFonts w:ascii="Arial" w:cs="Arial" w:eastAsia="Arial" w:hAnsi="Arial"/>
                <w:sz w:val="18"/>
                <w:szCs w:val="18"/>
                <w:color w:val="auto"/>
              </w:rPr>
              <w:t>101.INS</w:t>
            </w:r>
          </w:p>
        </w:tc>
        <w:tc>
          <w:tcPr>
            <w:tcW w:w="5980" w:type="dxa"/>
            <w:vAlign w:val="bottom"/>
            <w:gridSpan w:val="3"/>
          </w:tcPr>
          <w:p>
            <w:pPr>
              <w:ind w:left="100"/>
              <w:spacing w:after="0"/>
              <w:rPr>
                <w:sz w:val="20"/>
                <w:szCs w:val="20"/>
                <w:color w:val="auto"/>
              </w:rPr>
            </w:pPr>
            <w:r>
              <w:rPr>
                <w:rFonts w:ascii="Arial" w:cs="Arial" w:eastAsia="Arial" w:hAnsi="Arial"/>
                <w:sz w:val="18"/>
                <w:szCs w:val="18"/>
                <w:color w:val="auto"/>
              </w:rPr>
              <w:t>Inline XBRL Instance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5980" w:type="dxa"/>
            <w:vAlign w:val="bottom"/>
            <w:gridSpan w:val="3"/>
          </w:tcPr>
          <w:p>
            <w:pPr>
              <w:ind w:left="100"/>
              <w:spacing w:after="0"/>
              <w:rPr>
                <w:sz w:val="20"/>
                <w:szCs w:val="20"/>
                <w:color w:val="auto"/>
              </w:rPr>
            </w:pPr>
            <w:r>
              <w:rPr>
                <w:rFonts w:ascii="Arial" w:cs="Arial" w:eastAsia="Arial" w:hAnsi="Arial"/>
                <w:sz w:val="18"/>
                <w:szCs w:val="18"/>
                <w:color w:val="auto"/>
              </w:rPr>
              <w:t>Inline XBRL Taxonomy Extension Schema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5980" w:type="dxa"/>
            <w:vAlign w:val="bottom"/>
            <w:gridSpan w:val="3"/>
          </w:tcPr>
          <w:p>
            <w:pPr>
              <w:ind w:left="100"/>
              <w:spacing w:after="0"/>
              <w:rPr>
                <w:sz w:val="20"/>
                <w:szCs w:val="20"/>
                <w:color w:val="auto"/>
              </w:rPr>
            </w:pPr>
            <w:r>
              <w:rPr>
                <w:rFonts w:ascii="Arial" w:cs="Arial" w:eastAsia="Arial" w:hAnsi="Arial"/>
                <w:sz w:val="18"/>
                <w:szCs w:val="18"/>
                <w:color w:val="auto"/>
              </w:rPr>
              <w:t>Inline XBRL Taxonomy Extension Calculation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5980" w:type="dxa"/>
            <w:vAlign w:val="bottom"/>
            <w:gridSpan w:val="3"/>
          </w:tcPr>
          <w:p>
            <w:pPr>
              <w:ind w:left="100"/>
              <w:spacing w:after="0"/>
              <w:rPr>
                <w:sz w:val="20"/>
                <w:szCs w:val="20"/>
                <w:color w:val="auto"/>
              </w:rPr>
            </w:pPr>
            <w:r>
              <w:rPr>
                <w:rFonts w:ascii="Arial" w:cs="Arial" w:eastAsia="Arial" w:hAnsi="Arial"/>
                <w:sz w:val="18"/>
                <w:szCs w:val="18"/>
                <w:color w:val="auto"/>
              </w:rPr>
              <w:t>Inline XBRL Taxonomy Extension Definition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980" w:type="dxa"/>
            <w:vAlign w:val="bottom"/>
            <w:gridSpan w:val="3"/>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5980" w:type="dxa"/>
            <w:vAlign w:val="bottom"/>
            <w:gridSpan w:val="3"/>
          </w:tcPr>
          <w:p>
            <w:pPr>
              <w:ind w:left="100"/>
              <w:spacing w:after="0"/>
              <w:rPr>
                <w:sz w:val="20"/>
                <w:szCs w:val="20"/>
                <w:color w:val="auto"/>
              </w:rPr>
            </w:pPr>
            <w:r>
              <w:rPr>
                <w:rFonts w:ascii="Arial" w:cs="Arial" w:eastAsia="Arial" w:hAnsi="Arial"/>
                <w:sz w:val="18"/>
                <w:szCs w:val="18"/>
                <w:color w:val="auto"/>
              </w:rPr>
              <w:t>Inline XBRL Taxonomy Extension Presentation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020" w:hanging="922"/>
        <w:spacing w:after="0"/>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Non-material schedules and exhibits have been omitted pursuant to Item 601(a)(5) of Regulation S-K. The Company hereby undertakes to furnish</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copies of any of the omitted schedules and exhibits upon request by the Securities and Exchange Commission.</w:t>
      </w:r>
    </w:p>
    <w:p>
      <w:pPr>
        <w:spacing w:after="0" w:line="9" w:lineRule="exact"/>
        <w:rPr>
          <w:sz w:val="20"/>
          <w:szCs w:val="20"/>
          <w:color w:val="auto"/>
        </w:rPr>
      </w:pPr>
    </w:p>
    <w:p>
      <w:pPr>
        <w:ind w:left="500" w:right="200" w:hanging="492"/>
        <w:spacing w:after="0" w:line="290"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MOHAWK GROUP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58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30"/>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220" w:type="dxa"/>
            <w:vAlign w:val="bottom"/>
          </w:tcPr>
          <w:p>
            <w:pPr>
              <w:spacing w:after="0"/>
              <w:rPr>
                <w:sz w:val="20"/>
                <w:szCs w:val="20"/>
                <w:color w:val="auto"/>
              </w:rPr>
            </w:pPr>
            <w:r>
              <w:rPr>
                <w:rFonts w:ascii="Arial" w:cs="Arial" w:eastAsia="Arial" w:hAnsi="Arial"/>
                <w:sz w:val="18"/>
                <w:szCs w:val="18"/>
                <w:color w:val="auto"/>
              </w:rPr>
              <w:t>March 16, 2021</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3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jointly and severally, Yaniv Sarig, Arturo Rodriguez and Joseph A. Risico, and each of them acting individually, as his or her attorney-in-fact, each with full power of substitution and resubstitution, for him or her in any and all capacities, to sign any and all amendments to this Annual Report on Form 10-K,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or she might or could do in person, hereby ratifying and confirming all that said attorneys-in-fact, or their substitute or substitutes, may lawfully do or cause to be done by virtue hereof.</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Signature</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700" w:type="dxa"/>
            <w:vAlign w:val="bottom"/>
            <w:tcBorders>
              <w:bottom w:val="single" w:sz="8" w:color="auto"/>
            </w:tcBorders>
          </w:tcPr>
          <w:p>
            <w:pPr>
              <w:jc w:val="right"/>
              <w:ind w:right="3053"/>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0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Date</w:t>
            </w:r>
          </w:p>
        </w:tc>
      </w:tr>
      <w:tr>
        <w:trPr>
          <w:trHeight w:val="33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Yaniv Sarig</w:t>
            </w:r>
          </w:p>
        </w:tc>
        <w:tc>
          <w:tcPr>
            <w:tcW w:w="80" w:type="dxa"/>
            <w:vAlign w:val="bottom"/>
          </w:tcPr>
          <w:p>
            <w:pPr>
              <w:spacing w:after="0"/>
              <w:rPr>
                <w:sz w:val="24"/>
                <w:szCs w:val="24"/>
                <w:color w:val="auto"/>
              </w:rPr>
            </w:pPr>
          </w:p>
        </w:tc>
        <w:tc>
          <w:tcPr>
            <w:tcW w:w="7020" w:type="dxa"/>
            <w:vAlign w:val="bottom"/>
            <w:gridSpan w:val="3"/>
          </w:tcPr>
          <w:p>
            <w:pPr>
              <w:jc w:val="center"/>
              <w:ind w:right="3460"/>
              <w:spacing w:after="0"/>
              <w:rPr>
                <w:sz w:val="20"/>
                <w:szCs w:val="20"/>
                <w:color w:val="auto"/>
              </w:rPr>
            </w:pPr>
            <w:r>
              <w:rPr>
                <w:rFonts w:ascii="Arial" w:cs="Arial" w:eastAsia="Arial" w:hAnsi="Arial"/>
                <w:sz w:val="18"/>
                <w:szCs w:val="18"/>
                <w:color w:val="auto"/>
                <w:w w:val="92"/>
              </w:rPr>
              <w:t>President, Chief Executive Officer and 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2021</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1"/>
              </w:rPr>
              <w:t>Yaniv Sarig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20" w:type="dxa"/>
            <w:vAlign w:val="bottom"/>
            <w:gridSpan w:val="2"/>
          </w:tcPr>
          <w:p>
            <w:pPr>
              <w:jc w:val="center"/>
              <w:ind w:right="364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Arturo Rodriguez</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2021</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4"/>
              </w:rPr>
              <w:t>Arturo Rodriguez</w:t>
            </w:r>
          </w:p>
        </w:tc>
        <w:tc>
          <w:tcPr>
            <w:tcW w:w="80" w:type="dxa"/>
            <w:vAlign w:val="bottom"/>
          </w:tcPr>
          <w:p>
            <w:pPr>
              <w:spacing w:after="0"/>
              <w:rPr>
                <w:sz w:val="19"/>
                <w:szCs w:val="19"/>
                <w:color w:val="auto"/>
              </w:rPr>
            </w:pPr>
          </w:p>
        </w:tc>
        <w:tc>
          <w:tcPr>
            <w:tcW w:w="7020" w:type="dxa"/>
            <w:vAlign w:val="bottom"/>
            <w:gridSpan w:val="3"/>
          </w:tcPr>
          <w:p>
            <w:pPr>
              <w:jc w:val="center"/>
              <w:ind w:right="3460"/>
              <w:spacing w:after="0"/>
              <w:rPr>
                <w:sz w:val="20"/>
                <w:szCs w:val="20"/>
                <w:color w:val="auto"/>
              </w:rPr>
            </w:pPr>
            <w:r>
              <w:rPr>
                <w:rFonts w:ascii="Arial" w:cs="Arial" w:eastAsia="Arial" w:hAnsi="Arial"/>
                <w:sz w:val="18"/>
                <w:szCs w:val="18"/>
                <w:color w:val="auto"/>
                <w:w w:val="93"/>
              </w:rPr>
              <w:t>(Principal Accounting and Financial Officer)</w:t>
            </w: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Kurtz</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2021</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9"/>
              </w:rPr>
              <w:t>William Kurtz</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 B. Petersen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2021</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9"/>
              </w:rPr>
              <w:t>Greg B. Petersen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Amy von Walter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2021</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4"/>
              </w:rPr>
              <w:t>Amy von Walter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Bari Harlam</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2021</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2"/>
              </w:rPr>
              <w:t>Bari Harlam</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755"/>
        </w:trPr>
        <w:tc>
          <w:tcPr>
            <w:tcW w:w="2080" w:type="dxa"/>
            <w:vAlign w:val="bottom"/>
          </w:tcPr>
          <w:p>
            <w:pPr>
              <w:spacing w:after="0"/>
              <w:rPr>
                <w:sz w:val="24"/>
                <w:szCs w:val="24"/>
                <w:color w:val="auto"/>
              </w:rPr>
            </w:pPr>
          </w:p>
        </w:tc>
        <w:tc>
          <w:tcPr>
            <w:tcW w:w="6980" w:type="dxa"/>
            <w:vAlign w:val="bottom"/>
            <w:gridSpan w:val="3"/>
          </w:tcPr>
          <w:p>
            <w:pPr>
              <w:jc w:val="right"/>
              <w:ind w:right="325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4.17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ESCRIPTION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OHAWK</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OLDING</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authorized capital stock of Mohawk Group Holdings,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consists of:</w:t>
      </w:r>
    </w:p>
    <w:p>
      <w:pPr>
        <w:spacing w:after="0" w:line="218" w:lineRule="exact"/>
        <w:rPr>
          <w:sz w:val="20"/>
          <w:szCs w:val="20"/>
          <w:color w:val="auto"/>
        </w:rPr>
      </w:pPr>
    </w:p>
    <w:p>
      <w:pPr>
        <w:ind w:left="880" w:hanging="440"/>
        <w:spacing w:after="0"/>
        <w:tabs>
          <w:tab w:leader="none" w:pos="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500,000,000 shares of common stock, $0.0001 par value per share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and</w:t>
      </w:r>
    </w:p>
    <w:p>
      <w:pPr>
        <w:spacing w:after="0" w:line="8" w:lineRule="exact"/>
        <w:rPr>
          <w:rFonts w:ascii="Arial" w:cs="Arial" w:eastAsia="Arial" w:hAnsi="Arial"/>
          <w:sz w:val="22"/>
          <w:szCs w:val="22"/>
          <w:color w:val="auto"/>
        </w:rPr>
      </w:pPr>
    </w:p>
    <w:p>
      <w:pPr>
        <w:ind w:left="880" w:hanging="440"/>
        <w:spacing w:after="0"/>
        <w:tabs>
          <w:tab w:leader="none" w:pos="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10,000,000 shares of preferred stock, $0.0001 par value per share (“</w:t>
      </w:r>
      <w:r>
        <w:rPr>
          <w:rFonts w:ascii="Arial" w:cs="Arial" w:eastAsia="Arial" w:hAnsi="Arial"/>
          <w:sz w:val="22"/>
          <w:szCs w:val="22"/>
          <w:b w:val="1"/>
          <w:bCs w:val="1"/>
          <w:i w:val="1"/>
          <w:iCs w:val="1"/>
          <w:color w:val="auto"/>
        </w:rPr>
        <w:t>Preferred Stock</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b w:val="1"/>
          <w:bCs w:val="1"/>
          <w:i w:val="1"/>
          <w:iCs w:val="1"/>
          <w:color w:val="auto"/>
        </w:rPr>
        <w:t xml:space="preserve">Dividend Rights. </w:t>
      </w:r>
      <w:r>
        <w:rPr>
          <w:rFonts w:ascii="Arial" w:cs="Arial" w:eastAsia="Arial" w:hAnsi="Arial"/>
          <w:sz w:val="22"/>
          <w:szCs w:val="22"/>
          <w:color w:val="auto"/>
        </w:rPr>
        <w:t>Dividends may be declared and paid on Common Stock if, as and when determined by the Company’s board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subject to any preferential dividend or other rights of any then outstanding Preferred Stock and to the requirements of applicable law.</w:t>
      </w:r>
    </w:p>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b w:val="1"/>
          <w:bCs w:val="1"/>
          <w:i w:val="1"/>
          <w:iCs w:val="1"/>
          <w:color w:val="auto"/>
        </w:rPr>
        <w:t xml:space="preserve">Voting Rights. </w:t>
      </w:r>
      <w:r>
        <w:rPr>
          <w:rFonts w:ascii="Arial" w:cs="Arial" w:eastAsia="Arial" w:hAnsi="Arial"/>
          <w:sz w:val="19"/>
          <w:szCs w:val="19"/>
          <w:color w:val="auto"/>
        </w:rPr>
        <w:t>Holders of Common Stock are entitled to one vote for each share held on all matters submitted to a vote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stockholders. The Company’s Amended and Restated Certificate of Incorporation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does not provide for cumulative voting for the election of directors. Accordingly, the holders of a majority of the outstanding shares of Common Stock entitled to vote in any election of directors can elect all of the directors standing for election, if they so choose, other than any directors that holders of any outstanding Preferred Stock may be entitled to elect. The Certificate of Incorporation establishes a classified board of directors that is divided into three classes with staggered three-year terms. Only the directors in one class will be subject to election at each annual meeting of the Company’s stockholders, with the directors in the other classes continuing for the remainder of their respective three-year terms. The Certificate of Incorporation and the Company’s Amended and Restated Bylaws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also provide that the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the Certificate of Incorporation. See the section of this exhibit entitled “Anti-Takeover Effects of Certain Provisions of the Company’s Certificate of Incorporation, Bylaws and General Corporation Law of the State of Delaware” for additional details regarding the anti-takeover provisions of the Certificate of Incorporation and Bylaws.</w:t>
      </w:r>
    </w:p>
    <w:p>
      <w:pPr>
        <w:spacing w:after="0" w:line="160"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MV II, LLC, Dr. Larisa Storozhenko and Mr. Maximus Yaney (collectively, the “</w:t>
      </w:r>
      <w:r>
        <w:rPr>
          <w:rFonts w:ascii="Arial" w:cs="Arial" w:eastAsia="Arial" w:hAnsi="Arial"/>
          <w:sz w:val="19"/>
          <w:szCs w:val="19"/>
          <w:b w:val="1"/>
          <w:bCs w:val="1"/>
          <w:i w:val="1"/>
          <w:iCs w:val="1"/>
          <w:color w:val="auto"/>
        </w:rPr>
        <w:t>Designating Parties</w:t>
      </w:r>
      <w:r>
        <w:rPr>
          <w:rFonts w:ascii="Arial" w:cs="Arial" w:eastAsia="Arial" w:hAnsi="Arial"/>
          <w:sz w:val="19"/>
          <w:szCs w:val="19"/>
          <w:color w:val="auto"/>
        </w:rPr>
        <w:t>”) have entered into a voting agreement, dated as of March 13, 2019, with Asher Delug and the Company (the “</w:t>
      </w:r>
      <w:r>
        <w:rPr>
          <w:rFonts w:ascii="Arial" w:cs="Arial" w:eastAsia="Arial" w:hAnsi="Arial"/>
          <w:sz w:val="19"/>
          <w:szCs w:val="19"/>
          <w:b w:val="1"/>
          <w:bCs w:val="1"/>
          <w:i w:val="1"/>
          <w:iCs w:val="1"/>
          <w:color w:val="auto"/>
        </w:rPr>
        <w:t>Restated Voting Agreement</w:t>
      </w:r>
      <w:r>
        <w:rPr>
          <w:rFonts w:ascii="Arial" w:cs="Arial" w:eastAsia="Arial" w:hAnsi="Arial"/>
          <w:sz w:val="19"/>
          <w:szCs w:val="19"/>
          <w:color w:val="auto"/>
        </w:rPr>
        <w:t>”), pursuant to which the Board has the sole right to vote all of their shares of capital stock of, and any other equity interest in, the Company (collectively, the “</w:t>
      </w:r>
      <w:r>
        <w:rPr>
          <w:rFonts w:ascii="Arial" w:cs="Arial" w:eastAsia="Arial" w:hAnsi="Arial"/>
          <w:sz w:val="19"/>
          <w:szCs w:val="19"/>
          <w:b w:val="1"/>
          <w:bCs w:val="1"/>
          <w:i w:val="1"/>
          <w:iCs w:val="1"/>
          <w:color w:val="auto"/>
        </w:rPr>
        <w:t>Voting Interests</w:t>
      </w:r>
      <w:r>
        <w:rPr>
          <w:rFonts w:ascii="Arial" w:cs="Arial" w:eastAsia="Arial" w:hAnsi="Arial"/>
          <w:sz w:val="19"/>
          <w:szCs w:val="19"/>
          <w:color w:val="auto"/>
        </w:rPr>
        <w:t>”) as the Designating Parties’ proxyholder. Pursuant to the proxy granted by the Designating Parties, the Board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the Company receives the prior approval of The Nasdaq Stock Market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spacing w:after="0" w:line="271" w:lineRule="auto"/>
        <w:rPr>
          <w:sz w:val="20"/>
          <w:szCs w:val="20"/>
          <w:color w:val="auto"/>
        </w:rPr>
      </w:pPr>
      <w:r>
        <w:rPr>
          <w:rFonts w:ascii="Arial" w:cs="Arial" w:eastAsia="Arial" w:hAnsi="Arial"/>
          <w:sz w:val="19"/>
          <w:szCs w:val="19"/>
          <w:color w:val="auto"/>
        </w:rPr>
        <w:t>Restated Voting Agreement became effective on June 12, 2019 and will continue until the earlier to occur of (1) a Deemed Liquidation Event unless, immediately upon such Deemed Liquidation Event, the Common Stock is and remains listed on The Nasdaq Stock Market LLC, or (2) Mr. Yaney’s death. For purposes of the Restated Voting Agreement, a “Deemed Liquidation Event” means (i) the acquisition of the Company by another entity by means of any transaction or series of related transactions to which the Company is a party, other than a transaction or series of transactions in which the holders of the Company’s voting securities outstanding immediately prior to such transaction or series of transactions retain, immediately after such transaction or series of transactions, as a result of the shares held by such holders prior to such transaction or series of transactions, a majority of the total voting power represented by the outstanding voting securities of the Company or such other surviving or resulting entity; (ii) a sale, lease or other disposition of all or substantially all of the Company’s and its subsidiaries’ assets taken as a whole by means of any transaction or series of related transactions, except where such sale, lease or other disposition is to a wholly-owned subsidiary of the Company; or (iii) any liquidation, dissolution or winding up of the Company, whether voluntary or involuntary; however, a Deemed Liquidation Event shall not include any transaction effected primarily to raise capital for the Company or a spin-off or similar divestiture of the Company’s product or SaaS business as part of a reorganization of the Company approved by the Board.</w:t>
      </w:r>
    </w:p>
    <w:p>
      <w:pPr>
        <w:spacing w:after="0" w:line="200" w:lineRule="exact"/>
        <w:rPr>
          <w:sz w:val="20"/>
          <w:szCs w:val="20"/>
          <w:color w:val="auto"/>
        </w:rPr>
      </w:pPr>
    </w:p>
    <w:p>
      <w:pPr>
        <w:spacing w:after="0" w:line="211"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As of December 31, 2020, the Board has voting power over an aggregate of 3,748,616 shares of the Common Stock, or 21.1% of the Company’s outstanding shares of Common Stock, pursuant to the Restated Voting Agreement.</w:t>
      </w:r>
    </w:p>
    <w:p>
      <w:pPr>
        <w:spacing w:after="0" w:line="151"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On April 12, 2019, Asher Delug entered into a voting agreement with the Company on substantially the same terms as the Restated Voting Agreement (the “</w:t>
      </w:r>
      <w:r>
        <w:rPr>
          <w:rFonts w:ascii="Arial" w:cs="Arial" w:eastAsia="Arial" w:hAnsi="Arial"/>
          <w:sz w:val="19"/>
          <w:szCs w:val="19"/>
          <w:b w:val="1"/>
          <w:bCs w:val="1"/>
          <w:i w:val="1"/>
          <w:iCs w:val="1"/>
          <w:color w:val="auto"/>
        </w:rPr>
        <w:t>Delug Voting Agreement</w:t>
      </w:r>
      <w:r>
        <w:rPr>
          <w:rFonts w:ascii="Arial" w:cs="Arial" w:eastAsia="Arial" w:hAnsi="Arial"/>
          <w:sz w:val="19"/>
          <w:szCs w:val="19"/>
          <w:color w:val="auto"/>
        </w:rPr>
        <w:t>”), pursuant to which Mr. Delug agreed to relinquish the right to vote his shares of capital stock of, and any other equity interest in, the Company (collectively, the “</w:t>
      </w:r>
      <w:r>
        <w:rPr>
          <w:rFonts w:ascii="Arial" w:cs="Arial" w:eastAsia="Arial" w:hAnsi="Arial"/>
          <w:sz w:val="19"/>
          <w:szCs w:val="19"/>
          <w:b w:val="1"/>
          <w:bCs w:val="1"/>
          <w:i w:val="1"/>
          <w:iCs w:val="1"/>
          <w:color w:val="auto"/>
        </w:rPr>
        <w:t>Delug Voting Interests</w:t>
      </w:r>
      <w:r>
        <w:rPr>
          <w:rFonts w:ascii="Arial" w:cs="Arial" w:eastAsia="Arial" w:hAnsi="Arial"/>
          <w:sz w:val="19"/>
          <w:szCs w:val="19"/>
          <w:color w:val="auto"/>
        </w:rPr>
        <w:t>”) by granting the Board the sole right to vote all of the Delug Voting Interests as Mr. Delug’s proxyholder. The Delug Voting Interests include all shares of Common Stock held by Mr. Delug, as well as any of the Company’s securities or other equity interests acquired by Mr. Delug in the future. Pursuant to the proxy granted by Mr. Delug, the Board is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the Company receives the prior approval of The Nasdaq Stock Market LLC. The Delug Voting Agreement became effective on June 12, 2019, and it will continue until the earlier to occur of (1) a Deemed Liquidation Event unless, immediately upon such Deemed Liquidation Event, the Common Stock is and remains listed on The Nasdaq Stock Market LLC, (2) Mr. Delug’s death, or (3) the date we and Mr. Delug agree to terminate the Delug Voting Agreement.</w:t>
      </w:r>
    </w:p>
    <w:p>
      <w:pPr>
        <w:spacing w:after="0" w:line="161"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As of December 31, 2020, the Board has voting power over an aggregate of 2,503,608 shares of the Common Stock, or 14.1% of the Company’s outstanding shares of Common Stock, pursuant to the Delug Voting Agreement.</w:t>
      </w:r>
    </w:p>
    <w:p>
      <w:pPr>
        <w:spacing w:after="0" w:line="151"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b w:val="1"/>
          <w:bCs w:val="1"/>
          <w:i w:val="1"/>
          <w:iCs w:val="1"/>
          <w:color w:val="auto"/>
        </w:rPr>
        <w:t xml:space="preserve">No Preemptive or Similar Rights. </w:t>
      </w:r>
      <w:r>
        <w:rPr>
          <w:rFonts w:ascii="Arial" w:cs="Arial" w:eastAsia="Arial" w:hAnsi="Arial"/>
          <w:sz w:val="22"/>
          <w:szCs w:val="22"/>
          <w:color w:val="auto"/>
        </w:rPr>
        <w:t>The Common Stock is not entitled to preemptive rights, and is not subject to conversion,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09" w:name="page110"/>
    <w:bookmarkEnd w:id="109"/>
    <w:p>
      <w:pPr>
        <w:jc w:val="both"/>
        <w:ind w:right="240"/>
        <w:spacing w:after="0" w:line="287" w:lineRule="auto"/>
        <w:rPr>
          <w:sz w:val="20"/>
          <w:szCs w:val="20"/>
          <w:color w:val="auto"/>
        </w:rPr>
      </w:pPr>
      <w:r>
        <w:rPr>
          <w:rFonts w:ascii="Arial" w:cs="Arial" w:eastAsia="Arial" w:hAnsi="Arial"/>
          <w:sz w:val="19"/>
          <w:szCs w:val="19"/>
          <w:b w:val="1"/>
          <w:bCs w:val="1"/>
          <w:i w:val="1"/>
          <w:iCs w:val="1"/>
          <w:color w:val="auto"/>
        </w:rPr>
        <w:t xml:space="preserve">Right to Receive Liquidation Distributions. </w:t>
      </w:r>
      <w:r>
        <w:rPr>
          <w:rFonts w:ascii="Arial" w:cs="Arial" w:eastAsia="Arial" w:hAnsi="Arial"/>
          <w:sz w:val="19"/>
          <w:szCs w:val="19"/>
          <w:color w:val="auto"/>
        </w:rPr>
        <w:t>If the Company becomes subject to a liquidation, dissolution or winding-up,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assets legally available for distribution to its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3" w:lineRule="exact"/>
        <w:rPr>
          <w:sz w:val="20"/>
          <w:szCs w:val="20"/>
          <w:color w:val="auto"/>
        </w:rPr>
      </w:pPr>
    </w:p>
    <w:p>
      <w:pPr>
        <w:jc w:val="both"/>
        <w:ind w:right="240"/>
        <w:spacing w:after="0" w:line="250" w:lineRule="auto"/>
        <w:rPr>
          <w:sz w:val="20"/>
          <w:szCs w:val="20"/>
          <w:color w:val="auto"/>
        </w:rPr>
      </w:pPr>
      <w:r>
        <w:rPr>
          <w:rFonts w:ascii="Arial" w:cs="Arial" w:eastAsia="Arial" w:hAnsi="Arial"/>
          <w:sz w:val="22"/>
          <w:szCs w:val="22"/>
          <w:b w:val="1"/>
          <w:bCs w:val="1"/>
          <w:i w:val="1"/>
          <w:iCs w:val="1"/>
          <w:color w:val="auto"/>
        </w:rPr>
        <w:t xml:space="preserve">Fully Paid and Non-Assessable. </w:t>
      </w:r>
      <w:r>
        <w:rPr>
          <w:rFonts w:ascii="Arial" w:cs="Arial" w:eastAsia="Arial" w:hAnsi="Arial"/>
          <w:sz w:val="22"/>
          <w:szCs w:val="22"/>
          <w:color w:val="auto"/>
        </w:rPr>
        <w:t>All of the outstanding shares of Common Stock are duly authorized, validly issued, fully paid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non-assessable.</w:t>
      </w:r>
    </w:p>
    <w:p>
      <w:pPr>
        <w:spacing w:after="0" w:line="175" w:lineRule="exact"/>
        <w:rPr>
          <w:sz w:val="20"/>
          <w:szCs w:val="20"/>
          <w:color w:val="auto"/>
        </w:rPr>
      </w:pPr>
    </w:p>
    <w:p>
      <w:pPr>
        <w:ind w:right="940"/>
        <w:spacing w:after="0" w:line="274" w:lineRule="auto"/>
        <w:rPr>
          <w:sz w:val="20"/>
          <w:szCs w:val="20"/>
          <w:color w:val="auto"/>
        </w:rPr>
      </w:pPr>
      <w:r>
        <w:rPr>
          <w:rFonts w:ascii="Arial" w:cs="Arial" w:eastAsia="Arial" w:hAnsi="Arial"/>
          <w:sz w:val="21"/>
          <w:szCs w:val="21"/>
          <w:b w:val="1"/>
          <w:bCs w:val="1"/>
          <w:i w:val="1"/>
          <w:iCs w:val="1"/>
          <w:color w:val="auto"/>
        </w:rPr>
        <w:t>Anti-Takeover Provisions</w:t>
      </w:r>
      <w:r>
        <w:rPr>
          <w:rFonts w:ascii="Arial" w:cs="Arial" w:eastAsia="Arial" w:hAnsi="Arial"/>
          <w:sz w:val="21"/>
          <w:szCs w:val="21"/>
          <w:color w:val="auto"/>
        </w:rPr>
        <w:t>. See the below section titled “Anti-Takeover Effects of Certain Provisions of the Company’s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Certificate of Incorporation, Bylaws and General Corporation Law of the State of Delaware”.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Common Stock is listed on the Nasdaq Capital Market under the symbol “MWK”.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Board is authorized, subject to limitations prescribed by Delaware law, to issue up to 10,000,000 shares of Preferred Stock in one or more series, to determine and fix from time to time the number of shares to be included in such series, and to fix the voting powers, designations, preferences and other rights, qualifications and restrictions thereof, including dividend rights, conversion rights, redemption privileges and liquidation preferences of such series, in each case without further vote or action by the stockholders. The Board can also increase or decrease the number of shares of any such series, but not below the number of shares of such series then outstanding, without any further vote or action by the stockholders.</w:t>
      </w:r>
    </w:p>
    <w:p>
      <w:pPr>
        <w:spacing w:after="0" w:line="150"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The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the Common Stock and the voting and other rights of the holders of Common Stock. The Company has no current plans to issue any shares of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As of December 31, 2020, the Company had outstanding warrants to purchase an aggregate of 3,207,291 shares of Common Stock as follows:</w:t>
      </w:r>
    </w:p>
    <w:p>
      <w:pPr>
        <w:spacing w:after="0" w:line="175" w:lineRule="exact"/>
        <w:rPr>
          <w:sz w:val="20"/>
          <w:szCs w:val="20"/>
          <w:color w:val="auto"/>
        </w:rPr>
      </w:pPr>
    </w:p>
    <w:p>
      <w:pPr>
        <w:ind w:left="880" w:right="500" w:hanging="440"/>
        <w:spacing w:after="0" w:line="238" w:lineRule="auto"/>
        <w:tabs>
          <w:tab w:leader="none" w:pos="8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warrant to purchase an aggregate of 44,871 shares with an exercise price of $15.60 per share, which is currently exercisable and expires on October 16, 2027, which shall be automatically exercised on a “cashless” basis upon expiration if the fair market value of the Common Stock is greater than the exercise price of the warrant on the expiration date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ind w:left="880" w:right="700" w:hanging="440"/>
        <w:spacing w:after="0" w:line="239" w:lineRule="auto"/>
        <w:tabs>
          <w:tab w:leader="none" w:pos="8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warrants to purchase an aggregate of 196,364 shares with an exercise price of $15.60 per share, all of which are currently exercisable and expire on September 4, 2023;</w:t>
      </w:r>
    </w:p>
    <w:p>
      <w:pPr>
        <w:ind w:left="880" w:right="260" w:hanging="440"/>
        <w:spacing w:after="0" w:line="230" w:lineRule="auto"/>
        <w:tabs>
          <w:tab w:leader="none" w:pos="8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warrants to purchase an aggregate of 76,923 shares with an exercise price of $15.60 per share, all of which are currently exercisable and expire on June 14, 2024, which shall be automatically exercised on a “cashless” basis upon expiration if the fair market value of the Common Stock is greater than the exercise price of the warrant on the expiration date of the warrant;</w:t>
      </w:r>
    </w:p>
    <w:p>
      <w:pPr>
        <w:spacing w:after="0" w:line="2" w:lineRule="exact"/>
        <w:rPr>
          <w:rFonts w:ascii="Arial" w:cs="Arial" w:eastAsia="Arial" w:hAnsi="Arial"/>
          <w:sz w:val="22"/>
          <w:szCs w:val="22"/>
          <w:color w:val="auto"/>
        </w:rPr>
      </w:pPr>
    </w:p>
    <w:p>
      <w:pPr>
        <w:ind w:left="880" w:right="20" w:hanging="440"/>
        <w:spacing w:after="0" w:line="230" w:lineRule="auto"/>
        <w:tabs>
          <w:tab w:leader="none" w:pos="8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warrants to purchase an aggregate of 2,864,133 shares of our common stock at an exercise price of $9.01 per share and initially provided that it would be exercisable on June 1, 2021, expire five years from the date of issuance and would be exercisable on a cash basis, unless there is not an effective registration statement covering the resale of the shares issuable upon exercise of the warrants, in which case the warrant would also be exercisable on a cashless exercise basis at High Trail loan’s election; and</w:t>
      </w:r>
    </w:p>
    <w:p>
      <w:pPr>
        <w:spacing w:after="0" w:line="2" w:lineRule="exact"/>
        <w:rPr>
          <w:rFonts w:ascii="Arial" w:cs="Arial" w:eastAsia="Arial" w:hAnsi="Arial"/>
          <w:sz w:val="22"/>
          <w:szCs w:val="22"/>
          <w:color w:val="auto"/>
        </w:rPr>
      </w:pPr>
    </w:p>
    <w:p>
      <w:pPr>
        <w:ind w:left="880" w:right="340" w:hanging="440"/>
        <w:spacing w:after="0" w:line="236" w:lineRule="auto"/>
        <w:tabs>
          <w:tab w:leader="none" w:pos="8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warrants to purchase an aggregate of 25,000 shares of our common stock at an exercise price of $9.09 per share and will expire on August 18, 2030.</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All of the outstanding warrants contain provisions for the adjustment of the exercise price in the event of stock dividends, stock splits or similar transactions. In addition, certain of the warrants contain a “cashless exercise” feature that allows the holders thereof to exercise the warrants without a cash payment to the Company under certain circumstances. Certain of the warrants also contain provisions that provide certain rights to warrant holders in the event of a fundamental transaction, including a merger or consolidation with or into another entity, such as the right to receive the same amount and kind of consideration paid to the holders of Common Stock in the fundamental transaction.</w:t>
      </w:r>
    </w:p>
    <w:p>
      <w:pPr>
        <w:spacing w:after="0" w:line="171" w:lineRule="exact"/>
        <w:rPr>
          <w:sz w:val="20"/>
          <w:szCs w:val="20"/>
          <w:color w:val="auto"/>
        </w:rPr>
      </w:pPr>
    </w:p>
    <w:p>
      <w:pPr>
        <w:ind w:right="920"/>
        <w:spacing w:after="0" w:line="256" w:lineRule="auto"/>
        <w:rPr>
          <w:sz w:val="20"/>
          <w:szCs w:val="20"/>
          <w:color w:val="auto"/>
        </w:rPr>
      </w:pPr>
      <w:r>
        <w:rPr>
          <w:rFonts w:ascii="Arial" w:cs="Arial" w:eastAsia="Arial" w:hAnsi="Arial"/>
          <w:sz w:val="22"/>
          <w:szCs w:val="22"/>
          <w:b w:val="1"/>
          <w:bCs w:val="1"/>
          <w:color w:val="auto"/>
        </w:rPr>
        <w:t>Anti-Takeover Effects of Certain Provisions of the Company’s Certificate of Incorporation, Bylaws and General Corporation Law of the State of Delaware</w:t>
      </w:r>
    </w:p>
    <w:p>
      <w:pPr>
        <w:spacing w:after="0" w:line="168"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Certain provisions of Delaware law, along with the Certificate of Incorporation and the Bylaws,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the Board. However, these provisions could have the effect of delaying, discouraging or preventing attempts to acquire the Company, which could deprive the stockholders of opportunities to sell their shares of Common Stock at prices higher than prevailing market prices.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Law</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Company is subject to Section 203 of the General Corporation Law of the State of Delaware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1" w:name="page112"/>
    <w:bookmarkEnd w:id="111"/>
    <w:p>
      <w:pPr>
        <w:ind w:right="60"/>
        <w:spacing w:after="0"/>
        <w:rPr>
          <w:sz w:val="20"/>
          <w:szCs w:val="20"/>
          <w:color w:val="auto"/>
        </w:rPr>
      </w:pPr>
      <w:r>
        <w:rPr>
          <w:rFonts w:ascii="Arial" w:cs="Arial" w:eastAsia="Arial" w:hAnsi="Arial"/>
          <w:sz w:val="22"/>
          <w:szCs w:val="22"/>
          <w:color w:val="auto"/>
        </w:rPr>
        <w:t>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Choice of Forum</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Certificate of Incorporation provides that, unless the Company consents in writing to the selection of an alternative forum, the Court of Chancery of the State of Delaware will be the sole and exclusive forum for: (1) any derivative action or proceeding brought on the Company’s behalf; (2) any action asserting a claim of breach of a fiduciary duty by any of the Company’s directors, officers, employees, agents or stockholders to the Company or its stockholders, creditors or other constituents; (3) any action asserting a claim against the Company arising pursuant to any provision of the DGCL or the Certificate of Incorporation or the Bylaws; or (4) any action asserting a claim governed by the internal affairs doctrine. The provision will not apply to suits brought to enforce a duty or liability created by the Securities Act of 1933, as amended,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 As a result, the choice of forum provision will not apply to suits brought to enforce any duty or liability created by the Exchange Act or any other claim for which the federal courts have exclusive jurisdiction. However, the Certificate of Incorporation does not relieve the Company of its duties to comply with federal securities laws and the rules and regulations thereunder, and its stockholders will not be deemed to have waived the Company’s compliance with these laws, rules and regulations. The Certificate of Incorporation also provides that any person or entity purchasing or otherwise acquiring any interest in shares of the Company’s capital stock will be deemed to have notice of and to have consented to this choice of forum provision.</w:t>
      </w:r>
    </w:p>
    <w:p>
      <w:pPr>
        <w:spacing w:after="0" w:line="200" w:lineRule="exact"/>
        <w:rPr>
          <w:sz w:val="20"/>
          <w:szCs w:val="20"/>
          <w:color w:val="auto"/>
        </w:rPr>
      </w:pP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This choice of forum provision in the Certificate of Incorporation may limit a stockholder’s ability to bring a claim in a judicial forum that it finds favorable for disputes with the Company or its directors, officers, employees or agents, which may discourage such lawsuits against the Company and its directors, officers, employees or agents. In addition, stockholders who do bring a claim in the Court of Chancery in the State of Delaware could face additional litigation costs in pursuing any such claim, particularly if they do not reside in or near Delaware. Furthermore, the enforceability of similar choice of forum provisions in other companies’ governing documents has been challenged in legal proceedings, and it is possible that a court could find these types of provisions to be inapplicable or unenforceable.</w:t>
      </w:r>
    </w:p>
    <w:p>
      <w:pPr>
        <w:spacing w:after="0" w:line="184" w:lineRule="exact"/>
        <w:rPr>
          <w:sz w:val="20"/>
          <w:szCs w:val="20"/>
          <w:color w:val="auto"/>
        </w:rPr>
      </w:pPr>
    </w:p>
    <w:p>
      <w:pPr>
        <w:spacing w:after="0" w:line="235" w:lineRule="auto"/>
        <w:rPr>
          <w:sz w:val="20"/>
          <w:szCs w:val="20"/>
          <w:color w:val="auto"/>
        </w:rPr>
      </w:pPr>
      <w:r>
        <w:rPr>
          <w:rFonts w:ascii="Arial" w:cs="Arial" w:eastAsia="Arial" w:hAnsi="Arial"/>
          <w:sz w:val="22"/>
          <w:szCs w:val="22"/>
          <w:i w:val="1"/>
          <w:iCs w:val="1"/>
          <w:color w:val="auto"/>
        </w:rPr>
        <w:t>Board of Directors Vacancies</w:t>
      </w:r>
      <w:r>
        <w:rPr>
          <w:rFonts w:ascii="Arial" w:cs="Arial" w:eastAsia="Arial" w:hAnsi="Arial"/>
          <w:sz w:val="22"/>
          <w:szCs w:val="22"/>
          <w:color w:val="auto"/>
        </w:rPr>
        <w:t>. Any vacancy or newly created directorship in the Board, however occurring, shall be filled only by</w:t>
      </w:r>
      <w:r>
        <w:rPr>
          <w:rFonts w:ascii="Arial" w:cs="Arial" w:eastAsia="Arial" w:hAnsi="Arial"/>
          <w:sz w:val="22"/>
          <w:szCs w:val="22"/>
          <w:i w:val="1"/>
          <w:iCs w:val="1"/>
          <w:color w:val="auto"/>
        </w:rPr>
        <w:t xml:space="preserve"> </w:t>
      </w:r>
      <w:r>
        <w:rPr>
          <w:rFonts w:ascii="Arial" w:cs="Arial" w:eastAsia="Arial" w:hAnsi="Arial"/>
          <w:sz w:val="22"/>
          <w:szCs w:val="22"/>
          <w:color w:val="auto"/>
        </w:rPr>
        <w:t>the vote of a majority of the directors then in office, although less than a quorum, and shall not be filled by the stockholders, unless the Board determines by resolution that any such vacancy or newly created directorship shall be filled by the stockholders. In addition, the number of directors constituting the Board shall be determined from time to time by a resolution adopted by the Board. These provisions may prevent a stockholder from increasing the size of the Board and then gaining control of the Board by filling the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2" w:name="page113"/>
    <w:bookmarkEnd w:id="112"/>
    <w:p>
      <w:pPr>
        <w:spacing w:after="0" w:line="250" w:lineRule="auto"/>
        <w:rPr>
          <w:sz w:val="20"/>
          <w:szCs w:val="20"/>
          <w:color w:val="auto"/>
        </w:rPr>
      </w:pPr>
      <w:r>
        <w:rPr>
          <w:rFonts w:ascii="Arial" w:cs="Arial" w:eastAsia="Arial" w:hAnsi="Arial"/>
          <w:sz w:val="22"/>
          <w:szCs w:val="22"/>
          <w:color w:val="auto"/>
        </w:rPr>
        <w:t>vacancies with its own nominees. This makes it more difficult to change the composition of the Board and promotes continuity of management.</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i w:val="1"/>
          <w:iCs w:val="1"/>
          <w:color w:val="auto"/>
        </w:rPr>
        <w:t>Classified Board</w:t>
      </w:r>
      <w:r>
        <w:rPr>
          <w:rFonts w:ascii="Arial" w:cs="Arial" w:eastAsia="Arial" w:hAnsi="Arial"/>
          <w:sz w:val="19"/>
          <w:szCs w:val="19"/>
          <w:color w:val="auto"/>
        </w:rPr>
        <w:t>. The Board is divided into three classes. The directors in each class will serve for a three-year term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the directors initially assigned to Class I, whose term shall expire at the first annual meeting of stockholders following the Company’s initial public offering and those assigned to Class II, whose term shall expire to the second annual meeting of stockholders following the Company’s initial public offering),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w:t>
      </w:r>
    </w:p>
    <w:p>
      <w:pPr>
        <w:spacing w:after="0" w:line="150"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i w:val="1"/>
          <w:iCs w:val="1"/>
          <w:color w:val="auto"/>
        </w:rPr>
        <w:t>Stockholder Meetings</w:t>
      </w:r>
      <w:r>
        <w:rPr>
          <w:rFonts w:ascii="Arial" w:cs="Arial" w:eastAsia="Arial" w:hAnsi="Arial"/>
          <w:sz w:val="21"/>
          <w:szCs w:val="21"/>
          <w:color w:val="auto"/>
        </w:rPr>
        <w:t>. The Certificate of Incorporation and the Bylaws provide that a special meeting of stockholders may be</w:t>
      </w:r>
      <w:r>
        <w:rPr>
          <w:rFonts w:ascii="Arial" w:cs="Arial" w:eastAsia="Arial" w:hAnsi="Arial"/>
          <w:sz w:val="21"/>
          <w:szCs w:val="21"/>
          <w:i w:val="1"/>
          <w:iCs w:val="1"/>
          <w:color w:val="auto"/>
        </w:rPr>
        <w:t xml:space="preserve"> </w:t>
      </w:r>
      <w:r>
        <w:rPr>
          <w:rFonts w:ascii="Arial" w:cs="Arial" w:eastAsia="Arial" w:hAnsi="Arial"/>
          <w:sz w:val="21"/>
          <w:szCs w:val="21"/>
          <w:color w:val="auto"/>
        </w:rPr>
        <w:t>called only by the Board, the chairperson of the Board, chief executive officer or president (in the absence of a chief executive officer), thus prohibiting a stockholder (in the capacity as a stockholder) from calling a special meeting. These provisions might delay the ability of the stockholders to force consideration of a proposal or for stockholders controlling a majority of the capital stock to take any action, including the removal of directors.</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Elimination of Stockholder Action by Written Consent</w:t>
      </w:r>
      <w:r>
        <w:rPr>
          <w:rFonts w:ascii="Arial" w:cs="Arial" w:eastAsia="Arial" w:hAnsi="Arial"/>
          <w:sz w:val="22"/>
          <w:szCs w:val="22"/>
          <w:color w:val="auto"/>
        </w:rPr>
        <w:t>. The Certificate of Incorporation and the Bylaws eliminate the right of</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to act by written consent without a meeting. As a result, a holder controlling a majority of the capital stock would not be able to amend the Bylaws or remove directors without holding a meeting of the stockholders called in accordance with the Bylaws.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 xml:space="preserve">Advance Notice Requirements for Stockholder Proposals and Director Nominations. </w:t>
      </w:r>
      <w:r>
        <w:rPr>
          <w:rFonts w:ascii="Arial" w:cs="Arial" w:eastAsia="Arial" w:hAnsi="Arial"/>
          <w:sz w:val="19"/>
          <w:szCs w:val="19"/>
          <w:color w:val="auto"/>
        </w:rPr>
        <w:t>The Bylaws establish advance notice</w:t>
      </w:r>
      <w:r>
        <w:rPr>
          <w:rFonts w:ascii="Arial" w:cs="Arial" w:eastAsia="Arial" w:hAnsi="Arial"/>
          <w:sz w:val="19"/>
          <w:szCs w:val="19"/>
          <w:i w:val="1"/>
          <w:iCs w:val="1"/>
          <w:color w:val="auto"/>
        </w:rPr>
        <w:t xml:space="preserve"> </w:t>
      </w:r>
      <w:r>
        <w:rPr>
          <w:rFonts w:ascii="Arial" w:cs="Arial" w:eastAsia="Arial" w:hAnsi="Arial"/>
          <w:sz w:val="19"/>
          <w:szCs w:val="19"/>
          <w:color w:val="auto"/>
        </w:rPr>
        <w:t>procedures with respect to stockholder proposals to be brought before a stockholder meeting and the nomination of candidates for election as directors. The Bylaws also specify certain requirements regarding the form and content of a stockholder’s notice. These provisions might preclude the stockholders from bringing matters before an annual meeting of stockholders or from making nominations for directors at an annual meeting of stockholders if the proper procedures are not followed. The Company expects that these provisions may also discourage or deter a potential acquirer from conducting a solicitation of proxies to elect the acquirer’s own slate of directors or otherwise attempting to obtain control of the Company.</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22"/>
          <w:szCs w:val="22"/>
          <w:i w:val="1"/>
          <w:iCs w:val="1"/>
          <w:color w:val="auto"/>
        </w:rPr>
        <w:t>No Cumulative Voting</w:t>
      </w:r>
      <w:r>
        <w:rPr>
          <w:rFonts w:ascii="Arial" w:cs="Arial" w:eastAsia="Arial" w:hAnsi="Arial"/>
          <w:sz w:val="22"/>
          <w:szCs w:val="22"/>
          <w:color w:val="auto"/>
        </w:rPr>
        <w:t>. The Certificate of Incorporation does not permit stockholders to cumulate their votes in the election of</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directors. Accordingly, the holders of a majority of the outstanding shares of Common Stock entitled to vote in any election of directors can elect all of the directors standing for election, if they choose, other than any directors that holders of Preferred Stock may be entitled to elect.</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i w:val="1"/>
          <w:iCs w:val="1"/>
          <w:color w:val="auto"/>
        </w:rPr>
        <w:t>Directors Removed Only for Cause</w:t>
      </w:r>
      <w:r>
        <w:rPr>
          <w:rFonts w:ascii="Arial" w:cs="Arial" w:eastAsia="Arial" w:hAnsi="Arial"/>
          <w:sz w:val="22"/>
          <w:szCs w:val="22"/>
          <w:color w:val="auto"/>
        </w:rPr>
        <w:t>. The Certificate of Incorporation and the Bylaws provide that no member of the Board may</w:t>
      </w:r>
      <w:r>
        <w:rPr>
          <w:rFonts w:ascii="Arial" w:cs="Arial" w:eastAsia="Arial" w:hAnsi="Arial"/>
          <w:sz w:val="22"/>
          <w:szCs w:val="22"/>
          <w:i w:val="1"/>
          <w:iCs w:val="1"/>
          <w:color w:val="auto"/>
        </w:rPr>
        <w:t xml:space="preserve"> </w:t>
      </w:r>
      <w:r>
        <w:rPr>
          <w:rFonts w:ascii="Arial" w:cs="Arial" w:eastAsia="Arial" w:hAnsi="Arial"/>
          <w:sz w:val="22"/>
          <w:szCs w:val="22"/>
          <w:color w:val="auto"/>
        </w:rPr>
        <w:t>be removed from office by the stockholders except for cause and upon the approval of not less than two-thirds in voting power of the outstanding shares of capital stock then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3" w:name="page114"/>
    <w:bookmarkEnd w:id="113"/>
    <w:p>
      <w:pPr>
        <w:ind w:right="40"/>
        <w:spacing w:after="0" w:line="238" w:lineRule="auto"/>
        <w:rPr>
          <w:sz w:val="20"/>
          <w:szCs w:val="20"/>
          <w:color w:val="auto"/>
        </w:rPr>
      </w:pPr>
      <w:r>
        <w:rPr>
          <w:rFonts w:ascii="Arial" w:cs="Arial" w:eastAsia="Arial" w:hAnsi="Arial"/>
          <w:sz w:val="22"/>
          <w:szCs w:val="22"/>
          <w:i w:val="1"/>
          <w:iCs w:val="1"/>
          <w:color w:val="auto"/>
        </w:rPr>
        <w:t>Issuance of Undesignated Preferred Stock</w:t>
      </w:r>
      <w:r>
        <w:rPr>
          <w:rFonts w:ascii="Arial" w:cs="Arial" w:eastAsia="Arial" w:hAnsi="Arial"/>
          <w:sz w:val="22"/>
          <w:szCs w:val="22"/>
          <w:color w:val="auto"/>
        </w:rPr>
        <w:t>. The ability of the Board, without action by the stockholders, to issue up to 10,000,000</w:t>
      </w:r>
      <w:r>
        <w:rPr>
          <w:rFonts w:ascii="Arial" w:cs="Arial" w:eastAsia="Arial" w:hAnsi="Arial"/>
          <w:sz w:val="22"/>
          <w:szCs w:val="22"/>
          <w:i w:val="1"/>
          <w:iCs w:val="1"/>
          <w:color w:val="auto"/>
        </w:rPr>
        <w:t xml:space="preserve"> </w:t>
      </w:r>
      <w:r>
        <w:rPr>
          <w:rFonts w:ascii="Arial" w:cs="Arial" w:eastAsia="Arial" w:hAnsi="Arial"/>
          <w:sz w:val="22"/>
          <w:szCs w:val="22"/>
          <w:color w:val="auto"/>
        </w:rPr>
        <w:t>shares of undesignated Preferred Stock with voting or other rights or preferences as designated by the Board could impede the success of any attempt to change control of the Company. This may have the effect of deferring hostile takeovers or delaying changes in control or management of the Company.</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color w:val="auto"/>
        </w:rPr>
        <w:t>Amendment of Charter Provisions</w:t>
      </w:r>
      <w:r>
        <w:rPr>
          <w:rFonts w:ascii="Arial" w:cs="Arial" w:eastAsia="Arial" w:hAnsi="Arial"/>
          <w:sz w:val="21"/>
          <w:szCs w:val="21"/>
          <w:color w:val="auto"/>
        </w:rPr>
        <w:t>. The amendment of any of the above provisions, except for the provisions making it possible</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Board to issue Preferred Stock or for the stockholders to cumulate their votes, require approval by holders of at least two-thirds of the total voting power of all of the outstanding voting stock. The provisions of the DGCL, the Certificate of Incorporation and the Bylaws could have the effect of discouraging others from attempting hostile takeovers and, as a consequence, they may also inhibit temporary fluctuations in the market price of the Common Stock that often result from actual or rumored hostile takeover attempts. These provisions may also have the effect of preventing changes in the composition of the Board. It is possible that these provisions could make it more difficult to accomplish transactions that stockholders may otherwise deem to be in their best interests.</w:t>
      </w:r>
    </w:p>
    <w:p>
      <w:pPr>
        <w:sectPr>
          <w:pgSz w:w="11900" w:h="16838" w:orient="portrait"/>
          <w:cols w:equalWidth="0" w:num="1">
            <w:col w:w="11220"/>
          </w:cols>
          <w:pgMar w:left="320" w:top="361"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8980" w:type="dxa"/>
            <w:vAlign w:val="bottom"/>
            <w:vMerge w:val="restart"/>
          </w:tcPr>
          <w:p>
            <w:pPr>
              <w:ind w:left="3420"/>
              <w:spacing w:after="0"/>
              <w:rPr>
                <w:sz w:val="20"/>
                <w:szCs w:val="20"/>
                <w:color w:val="auto"/>
              </w:rPr>
            </w:pPr>
            <w:r>
              <w:rPr>
                <w:rFonts w:ascii="Arial" w:cs="Arial" w:eastAsia="Arial" w:hAnsi="Arial"/>
                <w:sz w:val="18"/>
                <w:szCs w:val="18"/>
                <w:b w:val="1"/>
                <w:bCs w:val="1"/>
                <w:color w:val="auto"/>
              </w:rPr>
              <w:t>List of Subsidiaries of Mohawk Group Holdings, Inc.</w:t>
            </w:r>
          </w:p>
        </w:tc>
        <w:tc>
          <w:tcPr>
            <w:tcW w:w="200" w:type="dxa"/>
            <w:vAlign w:val="bottom"/>
          </w:tcPr>
          <w:p>
            <w:pPr>
              <w:spacing w:after="0"/>
              <w:rPr>
                <w:sz w:val="20"/>
                <w:szCs w:val="20"/>
                <w:color w:val="auto"/>
              </w:rPr>
            </w:pPr>
          </w:p>
        </w:tc>
        <w:tc>
          <w:tcPr>
            <w:tcW w:w="1900" w:type="dxa"/>
            <w:vAlign w:val="bottom"/>
            <w:gridSpan w:val="2"/>
          </w:tcPr>
          <w:p>
            <w:pPr>
              <w:ind w:left="98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216"/>
        </w:trPr>
        <w:tc>
          <w:tcPr>
            <w:tcW w:w="8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200" w:type="dxa"/>
            <w:vAlign w:val="bottom"/>
          </w:tcPr>
          <w:p>
            <w:pPr>
              <w:spacing w:after="0"/>
              <w:rPr>
                <w:sz w:val="24"/>
                <w:szCs w:val="24"/>
                <w:color w:val="auto"/>
              </w:rPr>
            </w:pPr>
          </w:p>
        </w:tc>
        <w:tc>
          <w:tcPr>
            <w:tcW w:w="1900" w:type="dxa"/>
            <w:vAlign w:val="bottom"/>
            <w:gridSpan w:val="2"/>
          </w:tcPr>
          <w:p>
            <w:pPr>
              <w:ind w:left="50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89"/>
        </w:trPr>
        <w:tc>
          <w:tcPr>
            <w:tcW w:w="8980" w:type="dxa"/>
            <w:vAlign w:val="bottom"/>
          </w:tcPr>
          <w:p>
            <w:pPr>
              <w:ind w:left="20"/>
              <w:spacing w:after="0" w:line="189" w:lineRule="exact"/>
              <w:rPr>
                <w:sz w:val="20"/>
                <w:szCs w:val="20"/>
                <w:color w:val="auto"/>
              </w:rPr>
            </w:pPr>
            <w:r>
              <w:rPr>
                <w:rFonts w:ascii="Arial" w:cs="Arial" w:eastAsia="Arial" w:hAnsi="Arial"/>
                <w:sz w:val="18"/>
                <w:szCs w:val="18"/>
                <w:color w:val="auto"/>
              </w:rPr>
              <w:t>Mohawk Group, Inc.</w:t>
            </w:r>
          </w:p>
        </w:tc>
        <w:tc>
          <w:tcPr>
            <w:tcW w:w="200" w:type="dxa"/>
            <w:vAlign w:val="bottom"/>
          </w:tcPr>
          <w:p>
            <w:pPr>
              <w:spacing w:after="0"/>
              <w:rPr>
                <w:sz w:val="16"/>
                <w:szCs w:val="16"/>
                <w:color w:val="auto"/>
              </w:rPr>
            </w:pPr>
          </w:p>
        </w:tc>
        <w:tc>
          <w:tcPr>
            <w:tcW w:w="1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Xtava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Sunlabz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RIF6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Vremi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hOmelabs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Vidazen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Urban Source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Zephyr Beauty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Discocart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Vueti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Punched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SweetHomeDealz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KitchenVox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Holonix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Kinetic Wave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3GirlsFromNY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ChicAlley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BoxWhale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Spiralizer,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Commerce Planet,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Mueller Austria,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KNDirect,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Pohl &amp; Schmidt,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PurSteam,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Maison Contempo,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Products for Change,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Kitchen Products,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Rencare,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Chromatic Jammer,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Trucom,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Posture Products,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Finest Screen (Remedy)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First Hour Commerce (Remedy)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Healing Solutions (Remedy)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Model Trading Company (Remedy)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Selection Exchange (Remedy)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Sari Foods,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Aussie Health Co, LLC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Mohawk Group Inc. Philippines Branch</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Mohawk Innovations Limited Irish Private Limited Co.</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Shenzhen Mohawk Technology Ltd. Co.</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 xml:space="preserve">Mohawk </w:t>
            </w:r>
            <w:r>
              <w:rPr>
                <w:rFonts w:ascii="Arial" w:cs="Arial" w:eastAsia="Arial" w:hAnsi="Arial"/>
                <w:sz w:val="18"/>
                <w:szCs w:val="18"/>
                <w:color w:val="222222"/>
              </w:rPr>
              <w:t>Group Poland Sp. z.o.o.</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Mohawk Israel</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Mohawk Innovations Canada Inc.</w:t>
            </w:r>
          </w:p>
        </w:tc>
        <w:tc>
          <w:tcPr>
            <w:tcW w:w="2100" w:type="dxa"/>
            <w:vAlign w:val="bottom"/>
            <w:gridSpan w:val="3"/>
          </w:tcPr>
          <w:p>
            <w:pPr>
              <w:ind w:left="2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ectPr>
          <w:pgSz w:w="11900" w:h="16838" w:orient="portrait"/>
          <w:cols w:equalWidth="0" w:num="1">
            <w:col w:w="11080"/>
          </w:cols>
          <w:pgMar w:left="48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333-239614 on Form S-3 and Registration Statement Nos. 333-23087 and 333-251295 on Form S-8 of our report dated March 16, 2021, relating to the financial statements of Mohawk Group Holdings, Inc. appearing in this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ectPr>
          <w:pgSz w:w="11900" w:h="16838" w:orient="portrait"/>
          <w:cols w:equalWidth="0" w:num="1">
            <w:col w:w="11240"/>
          </w:cols>
          <w:pgMar w:left="320" w:top="35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Arturo Rodriguez, certify that:</w:t>
      </w:r>
    </w:p>
    <w:p>
      <w:pPr>
        <w:spacing w:after="0" w:line="77" w:lineRule="exact"/>
        <w:rPr>
          <w:sz w:val="20"/>
          <w:szCs w:val="20"/>
          <w:color w:val="auto"/>
        </w:rPr>
      </w:pPr>
    </w:p>
    <w:p>
      <w:pPr>
        <w:ind w:left="740" w:hanging="181"/>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551"/>
        <w:spacing w:after="0" w:line="286" w:lineRule="auto"/>
        <w:rPr>
          <w:sz w:val="20"/>
          <w:szCs w:val="20"/>
          <w:color w:val="auto"/>
        </w:rPr>
      </w:pPr>
      <w:r>
        <w:rPr>
          <w:rFonts w:ascii="Arial" w:cs="Arial" w:eastAsia="Arial" w:hAnsi="Arial"/>
          <w:sz w:val="17"/>
          <w:szCs w:val="17"/>
          <w:color w:val="auto"/>
        </w:rPr>
        <w:t>In connection with the Annual Report on Form 10-K of Mohawk Group Holdings, Inc. (the “Company”) for the period ended December 31, 2020 as filed with the Securities and Exchange Commission on the date hereof (the “Report”), the undersigned hereby certify, pursuant to 18 U.S.C. Section 1350, as adopted pursuant to Section 906 of the Sarbanes-Oxley Act of 2002, to their knowledge that:</w:t>
      </w:r>
    </w:p>
    <w:p>
      <w:pPr>
        <w:spacing w:after="0" w:line="17" w:lineRule="exact"/>
        <w:rPr>
          <w:sz w:val="20"/>
          <w:szCs w:val="20"/>
          <w:color w:val="auto"/>
        </w:rPr>
      </w:pPr>
    </w:p>
    <w:p>
      <w:pPr>
        <w:ind w:left="820" w:hanging="261"/>
        <w:spacing w:after="0"/>
        <w:tabs>
          <w:tab w:leader="none" w:pos="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560" w:right="760" w:hanging="1"/>
        <w:spacing w:after="0" w:line="277" w:lineRule="auto"/>
        <w:tabs>
          <w:tab w:leader="none" w:pos="8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20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Arturo Rodriguez</w:t>
            </w: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4000" w:type="dxa"/>
            <w:vAlign w:val="bottom"/>
          </w:tcPr>
          <w:p>
            <w:pPr>
              <w:spacing w:after="0"/>
              <w:rPr>
                <w:sz w:val="20"/>
                <w:szCs w:val="20"/>
                <w:color w:val="auto"/>
              </w:rPr>
            </w:pPr>
            <w:r>
              <w:rPr>
                <w:rFonts w:ascii="Arial" w:cs="Arial" w:eastAsia="Arial" w:hAnsi="Arial"/>
                <w:sz w:val="18"/>
                <w:szCs w:val="18"/>
                <w:color w:val="auto"/>
              </w:rPr>
              <w:t>Arturo Rodriguez</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March 16, 2021</w:t>
            </w:r>
          </w:p>
        </w:tc>
        <w:tc>
          <w:tcPr>
            <w:tcW w:w="4000" w:type="dxa"/>
            <w:vAlign w:val="bottom"/>
          </w:tcPr>
          <w:p>
            <w:pPr>
              <w:spacing w:after="0"/>
              <w:rPr>
                <w:sz w:val="20"/>
                <w:szCs w:val="20"/>
                <w:color w:val="auto"/>
              </w:rPr>
            </w:pPr>
            <w:r>
              <w:rPr>
                <w:rFonts w:ascii="Arial" w:cs="Arial" w:eastAsia="Arial" w:hAnsi="Arial"/>
                <w:sz w:val="18"/>
                <w:szCs w:val="18"/>
                <w:color w:val="auto"/>
              </w:rPr>
              <w:t>March 16, 2021</w:t>
            </w:r>
          </w:p>
        </w:tc>
      </w:tr>
    </w:tbl>
    <w:p>
      <w:pPr>
        <w:spacing w:after="0" w:line="175" w:lineRule="exact"/>
        <w:rPr>
          <w:sz w:val="20"/>
          <w:szCs w:val="20"/>
          <w:color w:val="auto"/>
        </w:rPr>
      </w:pPr>
    </w:p>
    <w:p>
      <w:pPr>
        <w:ind w:right="320" w:firstLine="55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right="80" w:firstLine="551"/>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3"/>
    </w:lvl>
    <w:lvl w:ilvl="1">
      <w:lvlJc w:val="left"/>
      <w:lvlText w:val="%2."/>
      <w:numFmt w:val="lowerRoman"/>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lowerRoman"/>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2"/>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3"/>
    </w:lvl>
  </w:abstractNum>
  <w:abstractNum w:abstractNumId="28">
    <w:nsid w:val="1D4ED43B"/>
    <w:multiLevelType w:val="hybridMultilevel"/>
    <w:lvl w:ilvl="0">
      <w:lvlJc w:val="left"/>
      <w:lvlText w:val="%1."/>
      <w:numFmt w:val="decimal"/>
      <w:start w:val="4"/>
    </w:lvl>
  </w:abstractNum>
  <w:abstractNum w:abstractNumId="29">
    <w:nsid w:val="725A06FB"/>
    <w:multiLevelType w:val="hybridMultilevel"/>
    <w:lvl w:ilvl="0">
      <w:lvlJc w:val="left"/>
      <w:lvlText w:val="%1."/>
      <w:numFmt w:val="decimal"/>
      <w:start w:val="5"/>
    </w:lvl>
  </w:abstractNum>
  <w:abstractNum w:abstractNumId="30">
    <w:nsid w:val="2CD89A32"/>
    <w:multiLevelType w:val="hybridMultilevel"/>
    <w:lvl w:ilvl="0">
      <w:lvlJc w:val="left"/>
      <w:lvlText w:val="%1."/>
      <w:numFmt w:val="decimal"/>
      <w:start w:val="6"/>
    </w:lvl>
  </w:abstractNum>
  <w:abstractNum w:abstractNumId="31">
    <w:nsid w:val="57E4CCAF"/>
    <w:multiLevelType w:val="hybridMultilevel"/>
    <w:lvl w:ilvl="0">
      <w:lvlJc w:val="left"/>
      <w:lvlText w:val="%1."/>
      <w:numFmt w:val="decimal"/>
      <w:start w:val="7"/>
    </w:lvl>
  </w:abstractNum>
  <w:abstractNum w:abstractNumId="32">
    <w:nsid w:val="7A6D8D3C"/>
    <w:multiLevelType w:val="hybridMultilevel"/>
    <w:lvl w:ilvl="0">
      <w:lvlJc w:val="left"/>
      <w:lvlText w:val="%1."/>
      <w:numFmt w:val="decimal"/>
      <w:start w:val="8"/>
    </w:lvl>
  </w:abstractNum>
  <w:abstractNum w:abstractNumId="33">
    <w:nsid w:val="4B588F54"/>
    <w:multiLevelType w:val="hybridMultilevel"/>
    <w:lvl w:ilvl="0">
      <w:lvlJc w:val="left"/>
      <w:lvlText w:val="%1."/>
      <w:numFmt w:val="decimal"/>
      <w:start w:val="9"/>
    </w:lvl>
  </w:abstractNum>
  <w:abstractNum w:abstractNumId="34">
    <w:nsid w:val="542289EC"/>
    <w:multiLevelType w:val="hybridMultilevel"/>
    <w:lvl w:ilvl="0">
      <w:lvlJc w:val="left"/>
      <w:lvlText w:val="%1."/>
      <w:numFmt w:val="decimal"/>
      <w:start w:val="10"/>
    </w:lvl>
  </w:abstractNum>
  <w:abstractNum w:abstractNumId="35">
    <w:nsid w:val="6DE91B18"/>
    <w:multiLevelType w:val="hybridMultilevel"/>
    <w:lvl w:ilvl="0">
      <w:lvlJc w:val="left"/>
      <w:lvlText w:val="%1."/>
      <w:numFmt w:val="decimal"/>
      <w:start w:val="11"/>
    </w:lvl>
  </w:abstractNum>
  <w:abstractNum w:abstractNumId="36">
    <w:nsid w:val="38437FDB"/>
    <w:multiLevelType w:val="hybridMultilevel"/>
    <w:lvl w:ilvl="0">
      <w:lvlJc w:val="left"/>
      <w:lvlText w:val="%1."/>
      <w:numFmt w:val="decimal"/>
      <w:start w:val="12"/>
    </w:lvl>
  </w:abstractNum>
  <w:abstractNum w:abstractNumId="37">
    <w:nsid w:val="7644A45C"/>
    <w:multiLevelType w:val="hybridMultilevel"/>
    <w:lvl w:ilvl="0">
      <w:lvlJc w:val="left"/>
      <w:lvlText w:val="%1."/>
      <w:numFmt w:val="decimal"/>
      <w:start w:val="13"/>
    </w:lvl>
  </w:abstractNum>
  <w:abstractNum w:abstractNumId="38">
    <w:nsid w:val="32FFF902"/>
    <w:multiLevelType w:val="hybridMultilevel"/>
    <w:lvl w:ilvl="0">
      <w:lvlJc w:val="left"/>
      <w:lvlText w:val="%1."/>
      <w:numFmt w:val="decimal"/>
      <w:start w:val="14"/>
    </w:lvl>
  </w:abstractNum>
  <w:abstractNum w:abstractNumId="39">
    <w:nsid w:val="684A481A"/>
    <w:multiLevelType w:val="hybridMultilevel"/>
    <w:lvl w:ilvl="0">
      <w:lvlJc w:val="left"/>
      <w:lvlText w:val="(%1)"/>
      <w:numFmt w:val="lowerLetter"/>
      <w:start w:val="2"/>
    </w:lvl>
  </w:abstractNum>
  <w:abstractNum w:abstractNumId="40">
    <w:nsid w:val="579478FE"/>
    <w:multiLevelType w:val="hybridMultilevel"/>
    <w:lvl w:ilvl="0">
      <w:lvlJc w:val="left"/>
      <w:lvlText w:val="%1."/>
      <w:numFmt w:val="decimal"/>
      <w:start w:val="15"/>
    </w:lvl>
  </w:abstractNum>
  <w:abstractNum w:abstractNumId="41">
    <w:nsid w:val="749ABB43"/>
    <w:multiLevelType w:val="hybridMultilevel"/>
    <w:lvl w:ilvl="0">
      <w:lvlJc w:val="left"/>
      <w:lvlText w:val="%1."/>
      <w:numFmt w:val="decimal"/>
      <w:start w:val="16"/>
    </w:lvl>
  </w:abstractNum>
  <w:abstractNum w:abstractNumId="42">
    <w:nsid w:val="3DC240FB"/>
    <w:multiLevelType w:val="hybridMultilevel"/>
    <w:lvl w:ilvl="0">
      <w:lvlJc w:val="left"/>
      <w:lvlText w:val="%1."/>
      <w:numFmt w:val="decimal"/>
      <w:start w:val="17"/>
    </w:lvl>
  </w:abstractNum>
  <w:abstractNum w:abstractNumId="43">
    <w:nsid w:val="1BA026FA"/>
    <w:multiLevelType w:val="hybridMultilevel"/>
    <w:lvl w:ilvl="0">
      <w:lvlJc w:val="left"/>
      <w:lvlText w:val="%1."/>
      <w:numFmt w:val="decimal"/>
      <w:start w:val="18"/>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Roman"/>
      <w:start w:val="1"/>
    </w:lvl>
  </w:abstractNum>
  <w:abstractNum w:abstractNumId="47">
    <w:nsid w:val="70C6A529"/>
    <w:multiLevelType w:val="hybridMultilevel"/>
    <w:lvl w:ilvl="0">
      <w:lvlJc w:val="left"/>
      <w:lvlText w:val="*"/>
      <w:numFmt w:val="bullet"/>
      <w:start w:val="1"/>
    </w:lvl>
    <w:lvl w:ilvl="1">
      <w:lvlJc w:val="left"/>
      <w:lvlText w:val="%2"/>
      <w:numFmt w:val="decimal"/>
      <w:start w:val="104"/>
    </w:lvl>
  </w:abstractNum>
  <w:abstractNum w:abstractNumId="48">
    <w:nsid w:val="520EEDD1"/>
    <w:multiLevelType w:val="hybridMultilevel"/>
    <w:lvl w:ilvl="0">
      <w:lvlJc w:val="left"/>
      <w:lvlText w:val="**"/>
      <w:numFmt w:val="bullet"/>
      <w:start w:val="1"/>
    </w:lvl>
    <w:lvl w:ilvl="1">
      <w:lvlJc w:val="left"/>
      <w:lvlText w:val="%2"/>
      <w:numFmt w:val="decimal"/>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131" Type="http://schemas.openxmlformats.org/officeDocument/2006/relationships/hyperlink" Target="http://www.sec.gov/Archives/edgar/data/1757715/000119312520307364/d61785dex21.htm" TargetMode="External"/><Relationship Id="rId132" Type="http://schemas.openxmlformats.org/officeDocument/2006/relationships/hyperlink" Target="http://www.sec.gov/Archives/edgar/data/1757715/000119312521026328/d101467dex21.htm" TargetMode="External"/><Relationship Id="rId133" Type="http://schemas.openxmlformats.org/officeDocument/2006/relationships/hyperlink" Target="http://www.sec.gov/Archives/edgar/data/1757715/000119312519173667/d826688dex31.htm" TargetMode="External"/><Relationship Id="rId134" Type="http://schemas.openxmlformats.org/officeDocument/2006/relationships/hyperlink" Target="http://www.sec.gov/Archives/edgar/data/1757715/000119312519173667/d826688dex32.htm" TargetMode="External"/><Relationship Id="rId135" Type="http://schemas.openxmlformats.org/officeDocument/2006/relationships/hyperlink" Target="http://www.sec.gov/Archives/edgar/data/1757715/000119312519157090/d639806dex41.htm" TargetMode="External"/><Relationship Id="rId136" Type="http://schemas.openxmlformats.org/officeDocument/2006/relationships/hyperlink" Target="http://www.sec.gov/Archives/edgar/data/1757715/000119312519144273/d639806dex42.htm" TargetMode="External"/><Relationship Id="rId137" Type="http://schemas.openxmlformats.org/officeDocument/2006/relationships/hyperlink" Target="http://www.sec.gov/Archives/edgar/data/1757715/000119312519144273/d639806dex43.htm" TargetMode="External"/><Relationship Id="rId138" Type="http://schemas.openxmlformats.org/officeDocument/2006/relationships/hyperlink" Target="http://www.sec.gov/Archives/edgar/data/1757715/000119312519144273/d639806dex44.htm" TargetMode="External"/><Relationship Id="rId139" Type="http://schemas.openxmlformats.org/officeDocument/2006/relationships/hyperlink" Target="http://www.sec.gov/Archives/edgar/data/1757715/000119312519144273/d639806dex45.htm" TargetMode="External"/><Relationship Id="rId140" Type="http://schemas.openxmlformats.org/officeDocument/2006/relationships/hyperlink" Target="http://www.sec.gov/Archives/edgar/data/1757715/000119312519144273/d639806dex46.htm" TargetMode="External"/><Relationship Id="rId141" Type="http://schemas.openxmlformats.org/officeDocument/2006/relationships/hyperlink" Target="http://www.sec.gov/Archives/edgar/data/1757715/000156459020052585/mwk-ex47_108.htm" TargetMode="External"/><Relationship Id="rId142" Type="http://schemas.openxmlformats.org/officeDocument/2006/relationships/hyperlink" Target="http://www.sec.gov/Archives/edgar/data/1757715/000119312520307364/d61785dex41.htm" TargetMode="External"/><Relationship Id="rId143" Type="http://schemas.openxmlformats.org/officeDocument/2006/relationships/hyperlink" Target="http://www.sec.gov/Archives/edgar/data/1757715/000119312521026328/d101467dex41.htm" TargetMode="External"/><Relationship Id="rId144" Type="http://schemas.openxmlformats.org/officeDocument/2006/relationships/hyperlink" Target="http://www.sec.gov/Archives/edgar/data/1757715/000119312521026328/d101467dex42.htm" TargetMode="External"/><Relationship Id="rId145" Type="http://schemas.openxmlformats.org/officeDocument/2006/relationships/hyperlink" Target="http://www.sec.gov/Archives/edgar/data/1757715/000119312521026328/d101467dex43.htm" TargetMode="External"/><Relationship Id="rId146" Type="http://schemas.openxmlformats.org/officeDocument/2006/relationships/hyperlink" Target="http://www.sec.gov/Archives/edgar/data/1757715/000119312521033476/d111753dex41.htm" TargetMode="External"/><Relationship Id="rId150" Type="http://schemas.openxmlformats.org/officeDocument/2006/relationships/hyperlink" Target="http://www.sec.gov/Archives/edgar/data/1757715/000119312521033476/d111753dex42.htm" TargetMode="External"/><Relationship Id="rId151" Type="http://schemas.openxmlformats.org/officeDocument/2006/relationships/hyperlink" Target="http://www.sec.gov/Archives/edgar/data/1757715/000119312521033476/d111753dex43.htm" TargetMode="External"/><Relationship Id="rId152" Type="http://schemas.openxmlformats.org/officeDocument/2006/relationships/hyperlink" Target="http://www.sec.gov/Archives/edgar/data/1757715/000119312521033476/d111753dex44.htm" TargetMode="External"/><Relationship Id="rId153" Type="http://schemas.openxmlformats.org/officeDocument/2006/relationships/hyperlink" Target="http://www.sec.gov/Archives/edgar/data/1757715/000119312521033476/d111753dex45.htm" TargetMode="External"/><Relationship Id="rId154" Type="http://schemas.openxmlformats.org/officeDocument/2006/relationships/hyperlink" Target="http://www.sec.gov/Archives/edgar/data/1757715/000119312519157090/d639806dex101.htm" TargetMode="External"/><Relationship Id="rId155" Type="http://schemas.openxmlformats.org/officeDocument/2006/relationships/hyperlink" Target="http://www.sec.gov/Archives/edgar/data/1757715/000119312519144273/d639806dex102.htm" TargetMode="External"/><Relationship Id="rId156" Type="http://schemas.openxmlformats.org/officeDocument/2006/relationships/hyperlink" Target="http://www.sec.gov/Archives/edgar/data/1757715/000119312519144273/d639806dex103.htm" TargetMode="External"/><Relationship Id="rId157" Type="http://schemas.openxmlformats.org/officeDocument/2006/relationships/hyperlink" Target="http://www.sec.gov/Archives/edgar/data/1757715/000119312519171607/d762301dex103.htm" TargetMode="External"/><Relationship Id="rId158" Type="http://schemas.openxmlformats.org/officeDocument/2006/relationships/hyperlink" Target="http://www.sec.gov/Archives/edgar/data/1757715/000119312519144273/d639806dex105.htm" TargetMode="External"/><Relationship Id="rId159" Type="http://schemas.openxmlformats.org/officeDocument/2006/relationships/hyperlink" Target="http://www.sec.gov/Archives/edgar/data/1757715/000119312519171607/d762301dex104.htm" TargetMode="External"/><Relationship Id="rId160" Type="http://schemas.openxmlformats.org/officeDocument/2006/relationships/hyperlink" Target="http://www.sec.gov/Archives/edgar/data/1757715/000119312519144273/d639806dex1017.htm" TargetMode="External"/><Relationship Id="rId161" Type="http://schemas.openxmlformats.org/officeDocument/2006/relationships/hyperlink" Target="http://www.sec.gov/Archives/edgar/data/1757715/000119312519144273/d639806dex1018.htm" TargetMode="External"/><Relationship Id="rId162" Type="http://schemas.openxmlformats.org/officeDocument/2006/relationships/hyperlink" Target="http://www.sec.gov/Archives/edgar/data/1757715/000119312519144273/d639806dex109.htm" TargetMode="External"/><Relationship Id="rId163" Type="http://schemas.openxmlformats.org/officeDocument/2006/relationships/hyperlink" Target="http://www.sec.gov/Archives/edgar/data/1757715/000119312519144273/d639806dex1010.htm" TargetMode="External"/><Relationship Id="rId164" Type="http://schemas.openxmlformats.org/officeDocument/2006/relationships/hyperlink" Target="http://www.sec.gov/Archives/edgar/data/1757715/000119312519144273/d639806dex1011.htm" TargetMode="External"/><Relationship Id="rId165" Type="http://schemas.openxmlformats.org/officeDocument/2006/relationships/hyperlink" Target="http://www.sec.gov/Archives/edgar/data/1757715/000119312519144273/d639806dex1012.htm" TargetMode="External"/><Relationship Id="rId166" Type="http://schemas.openxmlformats.org/officeDocument/2006/relationships/hyperlink" Target="http://www.sec.gov/Archives/edgar/data/1757715/000119312519144273/d639806dex1014.htm" TargetMode="External"/><Relationship Id="rId167" Type="http://schemas.openxmlformats.org/officeDocument/2006/relationships/hyperlink" Target="http://www.sec.gov/Archives/edgar/data/1757715/000119312519144273/d639806dex1015.htm" TargetMode="External"/><Relationship Id="rId168" Type="http://schemas.openxmlformats.org/officeDocument/2006/relationships/hyperlink" Target="http://www.sec.gov/Archives/edgar/data/1757715/000119312519144273/d639806dex1016.htm" TargetMode="External"/><Relationship Id="rId169" Type="http://schemas.openxmlformats.org/officeDocument/2006/relationships/hyperlink" Target="http://www.sec.gov/Archives/edgar/data/1757715/000119312519144273/d639806dex1019.htm" TargetMode="External"/><Relationship Id="rId170" Type="http://schemas.openxmlformats.org/officeDocument/2006/relationships/hyperlink" Target="http://www.sec.gov/Archives/edgar/data/1757715/000119312519144273/d639806dex1020.htm" TargetMode="External"/><Relationship Id="rId174" Type="http://schemas.openxmlformats.org/officeDocument/2006/relationships/hyperlink" Target="http://www.sec.gov/Archives/edgar/data/1757715/000119312519144273/d639806dex106.htm" TargetMode="External"/><Relationship Id="rId175" Type="http://schemas.openxmlformats.org/officeDocument/2006/relationships/hyperlink" Target="http://www.sec.gov/Archives/edgar/data/1757715/000119312519144273/d639806dex107.htm" TargetMode="External"/><Relationship Id="rId176" Type="http://schemas.openxmlformats.org/officeDocument/2006/relationships/hyperlink" Target="http://www.sec.gov/Archives/edgar/data/1757715/000119312519144273/d639806dex1021.htm" TargetMode="External"/><Relationship Id="rId177" Type="http://schemas.openxmlformats.org/officeDocument/2006/relationships/hyperlink" Target="http://www.sec.gov/Archives/edgar/data/1757715/000119312519157090/d639806dex1022.htm" TargetMode="External"/><Relationship Id="rId178" Type="http://schemas.openxmlformats.org/officeDocument/2006/relationships/hyperlink" Target="http://www.sec.gov/Archives/edgar/data/1757715/000156459020024258/mwk-ex101_31.htm" TargetMode="External"/><Relationship Id="rId179" Type="http://schemas.openxmlformats.org/officeDocument/2006/relationships/hyperlink" Target="http://www.sec.gov/Archives/edgar/data/1757715/000156459020052585/mwk-ex101_86.htm" TargetMode="External"/><Relationship Id="rId180" Type="http://schemas.openxmlformats.org/officeDocument/2006/relationships/hyperlink" Target="http://www.sec.gov/Archives/edgar/data/1757715/000156459020052585/mwk-ex102_87.htm" TargetMode="External"/><Relationship Id="rId181" Type="http://schemas.openxmlformats.org/officeDocument/2006/relationships/hyperlink" Target="http://www.sec.gov/Archives/edgar/data/1757715/000119312520307364/d61785dex101.htm" TargetMode="External"/><Relationship Id="rId182" Type="http://schemas.openxmlformats.org/officeDocument/2006/relationships/hyperlink" Target="http://www.sec.gov/Archives/edgar/data/1757715/000119312520307364/d61785dex102.htm" TargetMode="External"/><Relationship Id="rId186" Type="http://schemas.openxmlformats.org/officeDocument/2006/relationships/hyperlink" Target="http://www.sec.gov/Archives/edgar/data/1757715/000119312520307364/d61785dex103.htm" TargetMode="External"/><Relationship Id="rId187" Type="http://schemas.openxmlformats.org/officeDocument/2006/relationships/hyperlink" Target="http://www.sec.gov/Archives/edgar/data/1757715/000119312520307364/d61785dex104.htm" TargetMode="External"/><Relationship Id="rId188" Type="http://schemas.openxmlformats.org/officeDocument/2006/relationships/hyperlink" Target="http://www.sec.gov/Archives/edgar/data/1757715/000119312521026328/d101467dex101.htm" TargetMode="External"/><Relationship Id="rId189" Type="http://schemas.openxmlformats.org/officeDocument/2006/relationships/hyperlink" Target="http://www.sec.gov/Archives/edgar/data/1757715/000119312521026328/d101467dex102.htm" TargetMode="External"/><Relationship Id="rId190" Type="http://schemas.openxmlformats.org/officeDocument/2006/relationships/hyperlink" Target="http://www.sec.gov/Archives/edgar/data/1757715/000119312521026328/d101467dex103.htm" TargetMode="External"/><Relationship Id="rId191" Type="http://schemas.openxmlformats.org/officeDocument/2006/relationships/hyperlink" Target="http://www.sec.gov/Archives/edgar/data/1757715/000119312521026328/d101467dex104.htm" TargetMode="External"/><Relationship Id="rId192" Type="http://schemas.openxmlformats.org/officeDocument/2006/relationships/hyperlink" Target="http://www.sec.gov/Archives/edgar/data/1757715/000119312521026328/d101467dex105.htm" TargetMode="External"/><Relationship Id="rId193" Type="http://schemas.openxmlformats.org/officeDocument/2006/relationships/hyperlink" Target="http://www.sec.gov/Archives/edgar/data/1757715/000119312521026328/d101467dex106.htm" TargetMode="External"/><Relationship Id="rId194" Type="http://schemas.openxmlformats.org/officeDocument/2006/relationships/hyperlink" Target="http://www.sec.gov/Archives/edgar/data/1757715/000119312521026328/d101467dex107.htm" TargetMode="External"/><Relationship Id="rId195" Type="http://schemas.openxmlformats.org/officeDocument/2006/relationships/hyperlink" Target="http://www.sec.gov/Archives/edgar/data/1757715/000119312521026328/d101467dex108.htm" TargetMode="External"/><Relationship Id="rId196" Type="http://schemas.openxmlformats.org/officeDocument/2006/relationships/hyperlink" Target="http://www.sec.gov/Archives/edgar/data/1757715/000119312521033476/d111753dex101.htm" TargetMode="External"/><Relationship Id="rId197" Type="http://schemas.openxmlformats.org/officeDocument/2006/relationships/hyperlink" Target="http://www.sec.gov/Archives/edgar/data/1757715/000119312521033476/d11175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2021-03-16T07:46:49Z</dcterms:created>
  <dcterms:modified xsi:type="dcterms:W3CDTF">2021-03-16T07:46:49Z</dcterms:modified>
</cp:coreProperties>
</file>