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60" w:right="2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-291465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2020</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8" w:lineRule="exact"/>
        <w:rPr>
          <w:sz w:val="24"/>
          <w:szCs w:val="24"/>
          <w:color w:val="auto"/>
        </w:rPr>
      </w:pPr>
    </w:p>
    <w:p>
      <w:pPr>
        <w:ind w:left="460" w:right="260" w:hanging="452"/>
        <w:spacing w:after="0" w:line="237"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-291465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Mohawk Group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243"/>
              <w:spacing w:after="0"/>
              <w:rPr>
                <w:sz w:val="20"/>
                <w:szCs w:val="20"/>
                <w:color w:val="auto"/>
              </w:rPr>
            </w:pPr>
            <w:r>
              <w:rPr>
                <w:rFonts w:ascii="Times New Roman" w:cs="Times New Roman" w:eastAsia="Times New Roman" w:hAnsi="Times New Roman"/>
                <w:sz w:val="18"/>
                <w:szCs w:val="18"/>
                <w:b w:val="1"/>
                <w:bCs w:val="1"/>
                <w:color w:val="auto"/>
              </w:rPr>
              <w:t>83-1739858</w:t>
            </w:r>
          </w:p>
        </w:tc>
      </w:tr>
      <w:tr>
        <w:trPr>
          <w:trHeight w:val="148"/>
        </w:trPr>
        <w:tc>
          <w:tcPr>
            <w:tcW w:w="3940" w:type="dxa"/>
            <w:vAlign w:val="bottom"/>
          </w:tcPr>
          <w:p>
            <w:pPr>
              <w:jc w:val="center"/>
              <w:ind w:left="15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Pr>
          <w:p>
            <w:pPr>
              <w:jc w:val="center"/>
              <w:ind w:right="164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44"/>
        </w:trPr>
        <w:tc>
          <w:tcPr>
            <w:tcW w:w="394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w w:val="99"/>
              </w:rPr>
              <w:t>37 East 18th Street, 7th Floor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8"/>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443"/>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166"/>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80"/>
        </w:trPr>
        <w:tc>
          <w:tcPr>
            <w:tcW w:w="3940" w:type="dxa"/>
            <w:vAlign w:val="bottom"/>
          </w:tcPr>
          <w:p>
            <w:pPr>
              <w:spacing w:after="0"/>
              <w:rPr>
                <w:sz w:val="15"/>
                <w:szCs w:val="15"/>
                <w:color w:val="auto"/>
              </w:rPr>
            </w:pPr>
          </w:p>
        </w:tc>
        <w:tc>
          <w:tcPr>
            <w:tcW w:w="280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(347) 676-1681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90"/>
        </w:trPr>
        <w:tc>
          <w:tcPr>
            <w:tcW w:w="3940" w:type="dxa"/>
            <w:vAlign w:val="bottom"/>
          </w:tcPr>
          <w:p>
            <w:pPr>
              <w:spacing w:after="0"/>
              <w:rPr>
                <w:sz w:val="16"/>
                <w:szCs w:val="16"/>
                <w:color w:val="auto"/>
              </w:rPr>
            </w:pPr>
          </w:p>
        </w:tc>
        <w:tc>
          <w:tcPr>
            <w:tcW w:w="35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77"/>
        </w:trPr>
        <w:tc>
          <w:tcPr>
            <w:tcW w:w="44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tcPr>
          <w:p>
            <w:pPr>
              <w:spacing w:after="0"/>
              <w:rPr>
                <w:sz w:val="6"/>
                <w:szCs w:val="6"/>
                <w:color w:val="auto"/>
              </w:rPr>
            </w:pPr>
          </w:p>
        </w:tc>
      </w:tr>
      <w:tr>
        <w:trPr>
          <w:trHeight w:val="258"/>
        </w:trPr>
        <w:tc>
          <w:tcPr>
            <w:tcW w:w="7480" w:type="dxa"/>
            <w:vAlign w:val="bottom"/>
            <w:gridSpan w:val="8"/>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22"/>
                <w:szCs w:val="22"/>
                <w:color w:val="auto"/>
              </w:rPr>
            </w:pPr>
          </w:p>
        </w:tc>
      </w:tr>
      <w:tr>
        <w:trPr>
          <w:trHeight w:val="222"/>
        </w:trPr>
        <w:tc>
          <w:tcPr>
            <w:tcW w:w="3940" w:type="dxa"/>
            <w:vAlign w:val="bottom"/>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3940" w:type="dxa"/>
            <w:vAlign w:val="bottom"/>
            <w:tcBorders>
              <w:top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7"/>
              </w:rPr>
              <w:t>MWK</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6"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2"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20" w:right="21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2, 2020, the registrant had 21,844,944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638810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9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80" w:type="dxa"/>
            <w:vAlign w:val="bottom"/>
            <w:vMerge w:val="restart"/>
          </w:tcPr>
          <w:p>
            <w:pPr>
              <w:ind w:left="1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INFORMATION</w:t>
              </w:r>
            </w:hyperlink>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960" w:type="dxa"/>
            <w:vAlign w:val="bottom"/>
            <w:vMerge w:val="continue"/>
          </w:tcPr>
          <w:p>
            <w:pPr>
              <w:spacing w:after="0"/>
              <w:rPr>
                <w:sz w:val="18"/>
                <w:szCs w:val="18"/>
                <w:color w:val="auto"/>
              </w:rPr>
            </w:pPr>
          </w:p>
        </w:tc>
        <w:tc>
          <w:tcPr>
            <w:tcW w:w="93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Statements (Unaudited)</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Balance Sheets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Comprehensive Loss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Stockholder’s Equity</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Condensed Consolidated Statements of Cash Flows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OTHER INFORMATION</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80" w:type="dxa"/>
            <w:vAlign w:val="bottom"/>
          </w:tcPr>
          <w:p>
            <w:pPr>
              <w:ind w:left="18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Exhibits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4"/>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Signatures</w:t>
              </w:r>
            </w:hyperlink>
          </w:p>
        </w:tc>
        <w:tc>
          <w:tcPr>
            <w:tcW w:w="9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3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94" w:lineRule="exact"/>
        <w:rPr>
          <w:sz w:val="20"/>
          <w:szCs w:val="20"/>
          <w:color w:val="auto"/>
        </w:rPr>
      </w:pPr>
    </w:p>
    <w:p>
      <w:pPr>
        <w:ind w:left="880" w:right="34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revenue and financial condition, including our supply chain and our operations, due to the COVID-19 global pandemic;</w:t>
      </w:r>
    </w:p>
    <w:p>
      <w:pPr>
        <w:spacing w:after="0" w:line="53" w:lineRule="exact"/>
        <w:rPr>
          <w:rFonts w:ascii="Times New Roman" w:cs="Times New Roman" w:eastAsia="Times New Roman" w:hAnsi="Times New Roman"/>
          <w:sz w:val="18"/>
          <w:szCs w:val="18"/>
          <w:color w:val="auto"/>
        </w:rPr>
      </w:pPr>
    </w:p>
    <w:p>
      <w:pPr>
        <w:ind w:left="880" w:right="64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consumer spending will continue to shift online, and that such shift will continue even after the COVID-19 global pandemic ends;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net revenue from sales of personal protective equipment (“PPE”);</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revenue, costs of goods sold and operating expenses;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grow profitability;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to meet our liquidity and operational needs and to execute our growth strategies;</w:t>
      </w:r>
    </w:p>
    <w:p>
      <w:pPr>
        <w:spacing w:after="0" w:line="113" w:lineRule="exact"/>
        <w:rPr>
          <w:rFonts w:ascii="Times New Roman" w:cs="Times New Roman" w:eastAsia="Times New Roman" w:hAnsi="Times New Roman"/>
          <w:sz w:val="18"/>
          <w:szCs w:val="18"/>
          <w:color w:val="auto"/>
        </w:rPr>
      </w:pPr>
    </w:p>
    <w:p>
      <w:pPr>
        <w:ind w:left="880" w:right="460" w:hanging="373"/>
        <w:spacing w:after="0" w:line="28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technology platform, including our AIMEE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rtificial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ntelligence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ohawk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-Commerce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ngine) software platform;</w:t>
      </w:r>
    </w:p>
    <w:p>
      <w:pPr>
        <w:spacing w:after="0" w:line="5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new products, including our ability to successfully manage supply chain risks;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merger and acquisition transactions;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predictions about industry and market trends;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internationally;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future expenses;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total addressable market;</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including our AIMEE software platform;</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modified or new laws and regulations applying to our business;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of qualified employees and key personnel;</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or to pursue litigation;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and obligations associated with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the forward-looking statements made in this Quarterly Report on Form 10-Q.</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MOHAWK GROUP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15"/>
                <w:szCs w:val="15"/>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receivable—net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INTANGIBLES—net</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 facility</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 loan</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LOANS</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63,697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share—500,000,000 shares authorized and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17,736,649 shares outstanding at December 31, 2019; 500,000,000 shares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and 21,844,944 shares outstanding at September 30, 2020</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(129,809)</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(148,581)</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MOHAWK GROUP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3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(INCOME)—net</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(40,243)</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15,134,422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17,090,050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12,971,641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15,903,517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MOHAWK GROUP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(40,243)</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(40,217)</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MOHAWK GROUP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11"/>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20" w:type="dxa"/>
            <w:vAlign w:val="bottom"/>
            <w:gridSpan w:val="3"/>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0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000" w:type="dxa"/>
            <w:vAlign w:val="bottom"/>
          </w:tcPr>
          <w:p>
            <w:pPr>
              <w:jc w:val="right"/>
              <w:ind w:right="221"/>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BALANCE—July 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17,625,241</w:t>
            </w: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119,348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(96,288)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(14,975)</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(14,975)</w:t>
            </w: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costs from Initial Public Offering</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84,975 shares of restricted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in August 2019</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(see Note 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BALANCE—September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17,710,659</w:t>
            </w:r>
          </w:p>
        </w:tc>
        <w:tc>
          <w:tcPr>
            <w:tcW w:w="2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130,703</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(111,263)</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39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1"/>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2020</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20" w:type="dxa"/>
            <w:vAlign w:val="bottom"/>
            <w:gridSpan w:val="3"/>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0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000" w:type="dxa"/>
            <w:vAlign w:val="bottom"/>
          </w:tcPr>
          <w:p>
            <w:pPr>
              <w:jc w:val="right"/>
              <w:ind w:right="221"/>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BALANCE—July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17,763,164</w:t>
            </w: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152,948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(147,776)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3,860,710 shares of common</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 in connection with follow-on</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public offering, including underwriter's</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over-allotment, net of offering costs</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and underwriter's discount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3,860,710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10,000 shares of restricted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July 13, 2020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95,500 shares of restricted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on July 20,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95,500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22,700 shares of restricted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September 30, 2020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25,000 warrants 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August 18,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90,000 shares of restricted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August 10, 2020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7"/>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BALANCE—September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21,844,944</w:t>
            </w:r>
          </w:p>
        </w:tc>
        <w:tc>
          <w:tcPr>
            <w:tcW w:w="2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181,971</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(148,581)</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20" w:type="dxa"/>
            <w:vAlign w:val="bottom"/>
            <w:gridSpan w:val="3"/>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0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BALANCE—January 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11,534,190</w:t>
            </w: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76,348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(71,020)</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(40,243)</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(40,243)</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2,406,618 shares of restricted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March 20, 2019</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(see Note 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2,406,618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88,548 shares of restricted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on May 17, 2019 and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forfeiture of 69,141 shares of restricted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(see Note 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64,982 shares of restricted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June 12, 2019</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(see Note 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64,982</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3,600,000 shares of common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on June 14, 2019 (see Note 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3,600,000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84,975 shares of restricted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in August 2019</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(see Note 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84,975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BALANCE—September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17,710,659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130,703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(111,263)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11"/>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2020</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20" w:type="dxa"/>
            <w:vAlign w:val="bottom"/>
            <w:gridSpan w:val="4"/>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020" w:type="dxa"/>
            <w:vAlign w:val="bottom"/>
            <w:tcBorders>
              <w:bottom w:val="single" w:sz="8" w:color="auto"/>
            </w:tcBorders>
            <w:gridSpan w:val="4"/>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14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17,736,649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140,477</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(129,809)</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(18,772)</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(18,772)</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439,145 shares of restricted</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March 12, 2020</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(see Note 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Forfeiture of 371,329 shares of restricted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(371,329)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Shares of restricted common stock</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retired in connection with vesting</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(41,299)</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Forfeiture of 134,366 shares of</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common stock</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(134,366)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134,364 shares of</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restricted common 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3,860,710 shares of common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in connection with follow-on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public offering, including underwriter's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over-allotment, net of offering costs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underwriter's discount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10,000 shares of restricted</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July 13, 2020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95,500 shares of restricted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on July 20, 2020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22,700 shares of restricted</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September 30, 2020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25,000 warrants 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August 18, 2020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90,000 shares of restricted</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on August 10, 2020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0"/>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BALANCE—September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21,844,944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181,971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(148,581)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MOHAWK GROUP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OPERATING ACTIVITIES:</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(40,243)</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(18,772)</w:t>
            </w: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Provision for sales returns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Amortization of deferred financing costs and debt discounts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Stock-based compensation</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24,747</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Accounts receivable</w:t>
            </w: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(1,784)</w:t>
            </w:r>
          </w:p>
        </w:tc>
        <w:tc>
          <w:tcPr>
            <w:tcW w:w="9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(7,492)</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Inventory</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4,944</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17,235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Prepaid and other current assets</w:t>
            </w: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(2,307)</w:t>
            </w:r>
          </w:p>
        </w:tc>
        <w:tc>
          <w:tcPr>
            <w:tcW w:w="9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(320)</w:t>
            </w: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Accounts payable, accrued and other liabilities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(1,698)</w:t>
            </w:r>
          </w:p>
        </w:tc>
        <w:tc>
          <w:tcPr>
            <w:tcW w:w="0" w:type="dxa"/>
            <w:vAlign w:val="bottom"/>
          </w:tcPr>
          <w:p>
            <w:pPr>
              <w:spacing w:after="0"/>
              <w:rPr>
                <w:sz w:val="1"/>
                <w:szCs w:val="1"/>
                <w:color w:val="auto"/>
              </w:rPr>
            </w:pPr>
          </w:p>
        </w:tc>
      </w:tr>
      <w:tr>
        <w:trPr>
          <w:trHeight w:val="169"/>
        </w:trPr>
        <w:tc>
          <w:tcPr>
            <w:tcW w:w="7760" w:type="dxa"/>
            <w:vAlign w:val="bottom"/>
          </w:tcPr>
          <w:p>
            <w:pPr>
              <w:ind w:left="740"/>
              <w:spacing w:after="0" w:line="169" w:lineRule="exact"/>
              <w:rPr>
                <w:sz w:val="20"/>
                <w:szCs w:val="20"/>
                <w:color w:val="auto"/>
              </w:rPr>
            </w:pPr>
            <w:r>
              <w:rPr>
                <w:rFonts w:ascii="Times New Roman" w:cs="Times New Roman" w:eastAsia="Times New Roman" w:hAnsi="Times New Roman"/>
                <w:sz w:val="15"/>
                <w:szCs w:val="15"/>
                <w:color w:val="auto"/>
              </w:rPr>
              <w:t>Cash (used in) provided by operating activities</w:t>
            </w:r>
          </w:p>
        </w:tc>
        <w:tc>
          <w:tcPr>
            <w:tcW w:w="9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(13,146)</w:t>
            </w: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7,600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Purchase of Truweo assets</w:t>
            </w: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(14,032)</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Purchase of fixed assets</w:t>
            </w: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(48)</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Purchase of Aussie Health Co. assets</w:t>
            </w: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(1,105)</w:t>
            </w:r>
          </w:p>
        </w:tc>
        <w:tc>
          <w:tcPr>
            <w:tcW w:w="9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Proceeds on sale of fixed assets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7760" w:type="dxa"/>
            <w:vAlign w:val="bottom"/>
          </w:tcPr>
          <w:p>
            <w:pPr>
              <w:ind w:left="740"/>
              <w:spacing w:after="0" w:line="169" w:lineRule="exact"/>
              <w:rPr>
                <w:sz w:val="20"/>
                <w:szCs w:val="20"/>
                <w:color w:val="auto"/>
              </w:rPr>
            </w:pPr>
            <w:r>
              <w:rPr>
                <w:rFonts w:ascii="Times New Roman" w:cs="Times New Roman" w:eastAsia="Times New Roman" w:hAnsi="Times New Roman"/>
                <w:sz w:val="15"/>
                <w:szCs w:val="15"/>
                <w:color w:val="auto"/>
              </w:rPr>
              <w:t>Cash used in investing activities</w:t>
            </w:r>
          </w:p>
        </w:tc>
        <w:tc>
          <w:tcPr>
            <w:tcW w:w="9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(1,147)</w:t>
            </w: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(14,065)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Proceeds from initial public offering, net of issuance costs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30,554</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Proceeds from issuance of common stock from follow-on public offering, net of issuance costs</w:t>
            </w: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Repayment of note payable related to Aussie Health acquisition</w:t>
            </w: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(207)</w:t>
            </w: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Taxes paid related to net settlement upon vesting of restricted common stock</w:t>
            </w: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(112)</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Borrowings from Mid Cap credit facility</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69,740</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99,508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Repayments from Mid Cap credit facility</w:t>
            </w: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(71,082)</w:t>
            </w:r>
          </w:p>
        </w:tc>
        <w:tc>
          <w:tcPr>
            <w:tcW w:w="9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(108,278)</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Repayments from Horizon term loan</w:t>
            </w: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Debt issuance costs from Mid Cap credit facility</w:t>
            </w: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(581)</w:t>
            </w:r>
          </w:p>
        </w:tc>
        <w:tc>
          <w:tcPr>
            <w:tcW w:w="9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Debt issuance costs from Horizon term loan</w:t>
            </w: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(900)</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Deferred offering costs</w:t>
            </w: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Insurance obligation payments</w:t>
            </w: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(1,818)</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(2,357)</w:t>
            </w: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Insurance financing proceeds</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3,833</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Capital lease obligation payments</w:t>
            </w: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(42)</w:t>
            </w:r>
          </w:p>
        </w:tc>
        <w:tc>
          <w:tcPr>
            <w:tcW w:w="9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9"/>
        </w:trPr>
        <w:tc>
          <w:tcPr>
            <w:tcW w:w="7760" w:type="dxa"/>
            <w:vAlign w:val="bottom"/>
          </w:tcPr>
          <w:p>
            <w:pPr>
              <w:ind w:left="740"/>
              <w:spacing w:after="0" w:line="169" w:lineRule="exact"/>
              <w:rPr>
                <w:sz w:val="20"/>
                <w:szCs w:val="20"/>
                <w:color w:val="auto"/>
              </w:rPr>
            </w:pPr>
            <w:r>
              <w:rPr>
                <w:rFonts w:ascii="Times New Roman" w:cs="Times New Roman" w:eastAsia="Times New Roman" w:hAnsi="Times New Roman"/>
                <w:sz w:val="15"/>
                <w:szCs w:val="15"/>
                <w:color w:val="auto"/>
              </w:rPr>
              <w:t>Cash provided by financing activities</w:t>
            </w:r>
          </w:p>
        </w:tc>
        <w:tc>
          <w:tcPr>
            <w:tcW w:w="9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29,706</w:t>
            </w: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13,499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EFFECT OF EXCHANGE RATE ON CASH</w:t>
            </w:r>
          </w:p>
        </w:tc>
        <w:tc>
          <w:tcPr>
            <w:tcW w:w="9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CHANGE IN CASH AND RESTRICTED CASH FOR PERIOD</w:t>
            </w:r>
          </w:p>
        </w:tc>
        <w:tc>
          <w:tcPr>
            <w:tcW w:w="98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15,414</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7,037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CASH AND RESTRICTED CASH AT BEGINNING OF PERIOD</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20,708</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30,789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CASH AND RESTRICTED CASH AT END OF PERIOD</w:t>
            </w:r>
          </w:p>
        </w:tc>
        <w:tc>
          <w:tcPr>
            <w:tcW w:w="98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36,122</w:t>
            </w:r>
          </w:p>
        </w:tc>
        <w:tc>
          <w:tcPr>
            <w:tcW w:w="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37,826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RECONCILIATION OF CASH AND RESTRICTED CASH</w:t>
            </w: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980" w:type="dxa"/>
            <w:vAlign w:val="bottom"/>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35,686</w:t>
            </w:r>
          </w:p>
        </w:tc>
        <w:tc>
          <w:tcPr>
            <w:tcW w:w="260" w:type="dxa"/>
            <w:vAlign w:val="bottom"/>
          </w:tcPr>
          <w:p>
            <w:pPr>
              <w:spacing w:after="0"/>
              <w:rPr>
                <w:sz w:val="15"/>
                <w:szCs w:val="15"/>
                <w:color w:val="auto"/>
              </w:rPr>
            </w:pP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RESTRICTED CASH—Prepaid and other assets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RESTRICTED CASH—Other non-current assets</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6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TOTAL CASH AND RESTRICTED CASH</w:t>
            </w:r>
          </w:p>
        </w:tc>
        <w:tc>
          <w:tcPr>
            <w:tcW w:w="980" w:type="dxa"/>
            <w:vAlign w:val="bottom"/>
            <w:tcBorders>
              <w:bottom w:val="single" w:sz="8" w:color="auto"/>
            </w:tcBorders>
            <w:shd w:val="clear" w:color="auto" w:fill="CFF0FC"/>
          </w:tcPr>
          <w:p>
            <w:pPr>
              <w:jc w:val="right"/>
              <w:ind w:right="82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36,122</w:t>
            </w:r>
          </w:p>
        </w:tc>
        <w:tc>
          <w:tcPr>
            <w:tcW w:w="26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37,826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2,467</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taxes</w:t>
            </w:r>
          </w:p>
        </w:tc>
        <w:tc>
          <w:tcPr>
            <w:tcW w:w="980" w:type="dxa"/>
            <w:vAlign w:val="bottom"/>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60" w:type="dxa"/>
            <w:vAlign w:val="bottom"/>
          </w:tcPr>
          <w:p>
            <w:pPr>
              <w:spacing w:after="0"/>
              <w:rPr>
                <w:sz w:val="15"/>
                <w:szCs w:val="15"/>
                <w:color w:val="auto"/>
              </w:rPr>
            </w:pP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Non-cash consideration paid to contractors</w:t>
            </w: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Non-cash barter exchange of inventory for advertising credits</w:t>
            </w:r>
          </w:p>
        </w:tc>
        <w:tc>
          <w:tcPr>
            <w:tcW w:w="980" w:type="dxa"/>
            <w:vAlign w:val="bottom"/>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NON-CASH INVESTING AND FINANCING ACTIVITIES:</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Note payable on acquisition of Truweo</w:t>
            </w:r>
          </w:p>
        </w:tc>
        <w:tc>
          <w:tcPr>
            <w:tcW w:w="980" w:type="dxa"/>
            <w:vAlign w:val="bottom"/>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Note payable on acquisition of Aussie Health</w:t>
            </w: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Mohawk Group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2019 and 2020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1"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Mohawk Group Holdings, Inc. and subsidiaries (“Mohawk” or the “Company”) is a rapidly growing technology-enabled consumer products company that uses machine learning and data analytics to design, develop, market and sell products. Mohawk predominately operates through online retail channels such as Amazon.com, Inc. (“Amazon”) and Walmart,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York, Mohawk’s offices can be found in China, Philippines, Israel and Poland.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Follow-on Equity Offering</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26, 2020 the Company completed an underwritten public offering (the “Follow-On Offering”) of 3,860,710 shares of common stock, which includes the exercise by the underwriters of their option to purchase additional shares of common stock solely to cover over-allotments, at a public offering price of $7.00 per share, less underwriting discounts and commissions. The Company received net proceeds of approximately $23.4 million after deducting underwriting discounts and commissions of approximately $2.2 million and other offering expenses payable by the Company of approximately $1.4 million.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Truweo Acquisition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26, 2020 the Company completed the acquisition of the assets of a leading ecommerce brand in the health and personal wellness category (the “Truweo Assets”) for total consideration of $16.4 million which was comprised of cash of $14.0 million and an unsecured promissory note for $2.4 million. The unsecured promissory note accrues interest at a rate of 8% per annum, with $0.6 million principal and accrued interest payments due on November 30, 2021, February 28, 2022 and May 31, 2022, and matures on August 22, 2022 (See Note 10 - Acquisition).</w:t>
      </w:r>
    </w:p>
    <w:p>
      <w:pPr>
        <w:spacing w:after="0" w:line="1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Liquidity and Going Concern—</w:t>
      </w:r>
      <w:r>
        <w:rPr>
          <w:rFonts w:ascii="Times New Roman" w:cs="Times New Roman" w:eastAsia="Times New Roman" w:hAnsi="Times New Roman"/>
          <w:sz w:val="18"/>
          <w:szCs w:val="18"/>
          <w:color w:val="auto"/>
        </w:rPr>
        <w:t>The Company is an early-stage growth company. Accordingly, the Company endeavors to continuously invest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 of new products, the development of its software, and the expansion of its sales and distribution infrastructure in order to accelerate revenue growth and scale operations to support such growth. To fund these investments, the Company has historically obtained financing and raised capital since its inception with the expectation that the Company will generate profits in the future. The Company intends to continue to its strategy of investing in growth by launching new products, developing its software and expanding its sales and distribution operations for the foreseeable future.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result of its historical investments, the Company has incurred operating losses since its inception, which includes operating losses of $54.3 million and $15.6 million for the year ended December 31, 2019 and the nine months ended September 30, 2020, respectively, and had an accumulated deficit of $129.8 million and $148.6 million at December 31, 2019 and September 30, 2020, respectively, cash on hand of $30.4 million and $37.4 million at December 31, 2019 and September 30, 2020, respectively, total outstanding borrowings from lenders of $35.1 million and $28.7 million at December 31, 2019 and September 30, 2020, respectively, and no available capacity on borrowings as of December 31, 2019 and September 30, 2020. The Company has raised $125.4 million in equity financing to fund its operations since inception, including the net proceeds from the Company’s initial public offering of common stock (“IPO”), and the Follow-On Offering, through September 30, 2020.</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During the Company’s review of the September 30, 2020 condensed consolidated financial statements, the Company’s financial forecast for the next 12 months following the filing date of this Quarterly Report on Form 10-Q included projected revenue growth, margin expansion, a reduction of certain fixed costs, an improvement in inventory management and a reduction in operating cash deficit. In addition, management anticipated that the Company would not breach its financial covenants associated with its existing credit facility or term loan for the next twelve months. Currently, the Company has met or exceeded its forecasts over the past three quarters and in August 2020 raised $23.4 million in equity financing earmarked to acquire, invest in or license complementary products, technologies or businesses. On August 26, 2020, the Company completed the acquisition of the Truweo Assets for $16.4 million, of which $2.4 million was in an unsecured promissory note (See Note 10 - Acquisition). However, due the Company’s short operating history, its short history of meeting and exceeding its forecast and its strategy of investing in growth, there are no assurances that the Company will continue to meet or exceed forecast or that it will be able to maintain sufficient liquidity to fund operations and/or compliance with its covenants without future equity investments or issuance of debt from outside sources. In the event of a breach of the Company’s financial covenants under the credit facility and/or its term loan, outstanding borrowings would become due on demand absent a waiver from the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while the Company anticipates it will remain in compliance with the covenants prescribed by its existing financing arrangements (See Note 6 – Credit Facility and Term Loans), there can be no assurance that the Company’s operating forecast and cash flows for the twelve months following the issuance of the accompanying condensed consolidated financial statements, will be attained such that the Company will be able to maintain compliance with these covenants or generate sufficient liquidity to fund its ongoing operations. The Company’s short operating history of meeting and exceeding its forecasts, the COVID-19 pandemic (see below), its current strategy of investing in growth and these negative financial conditions raise substantial doubt about the Company’s ability to continue as a going concern as of September 30, 2020.</w:t>
      </w:r>
    </w:p>
    <w:p>
      <w:pPr>
        <w:spacing w:after="0" w:line="187"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on the basis that the Company will continue to operate as a going concern and as such, include no adjustments that might be necessary in the event that the Company was unable to operate on this basis.</w:t>
      </w:r>
    </w:p>
    <w:p>
      <w:pPr>
        <w:spacing w:after="0" w:line="16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Management plans to continue to closely monitor its operating forecast and cash flows, and may pursue additional sources of financing and/or capital to fund its operations, if necessary. If the Company is unable to improve its operating results, increase its operating cash inflows, and/or obtain additional sources of financing and capital on acceptable terms (if at all), the Company may have to make significant changes to its operating plan, such as delay expenditures, reduce investments in new products, delay the development of its software, reduce its sale and distribution infrastructure, or otherwise significantly reduce the scope of its business. The accompanying condensed consolidated financial statements do not include any adjustments that might result from the outcome of this uncertainty.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the Company, other businesses and governments are taking, continues to evolve as of the date of this report. As such, the future impact on the Company’s personnel, business and global operations, and on the Company’s suppliers, logistics providers, marketplaces and other business partners is uncertain and cannot be reasonably estimated at this time. Given the nature of the COVID-19 pandemic, it is possible that any and every aspect of the Company’s value chain could be disrupted, and such impact could have a material adverse impact on the Company’s business, financial condition, operating results and prospects. For example, the Company may be unable to launch new products, replenish inventory for existing products, ship into or receive inventory in its third-party warehouses, or ship or sell products to customers, in each case on a timely basis or at all. The Company may also be unable to forecast demand for its products during the pendency of this pandemic and the Company may experience a substantial decrease in the demand for its products, most of which are considered not essential. In addition, the majority of the Company’s personnel are currently working remotely, which creates challenges in the way the Company operates its business, including, but not limited to, the manner in which the Company tests products and its ability to meet its reporting obligations. The Company’s ability to execute its operations could be further impacted if any of the Company’s key personnel contracts COVID-19. While the potential economic impact brought by, and the duration of, COVID-19 may be difficult to assess or predict, the continued widespread pandemic could result in significant disruption of global financial markets, reducing the Company’s ability to access capital, which could in the future negatively affect its liquidity. Due to the uncertainty as to the severity and duration of the pandemic, the impact on the Company’s future revenues, profitability, liquidity, financial condition, business and results of operations is uncertain at this time.</w:t>
      </w:r>
    </w:p>
    <w:p>
      <w:pPr>
        <w:spacing w:after="0" w:line="2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the Company has been preserving its liquidity and capital resources through various actions, which have included delaying and negotiating the delay of payments to certain vendors, the effect of such actions could have an adverse impact on the Company’s business, including its relationships with these vendors. The Company’s operations rely on third-parties to manufacture its products, to provide logistics and warehousing services and to facilitate sales of its products, and, accordingly, the Company relies on the business continuity plans of these third parties to operate during the pandemic and have limited ability to influence their plans. In light of the uncertainty as to the severity and duration of the COVID-19 pandemic, the Company may be unable to remain in compliance with the terms of its existing loan agreements and may be unable to secure a waiver, which could have an adverse impact on the Company’s business, prospects and financial condition and the Company may seek additional financing options. The Company expects that any financing, if successful, will be expensive and/or dilutive.</w:t>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COVID-19 pandemic began to have an unfavorable impact on the Company, including its key manufacturing partners, in January 2020. Substantially all of the Company’s products are sourced and manufactured in China, including new products that it expects to launch during 2020. In addition, the Company relies upon its team in Shenzhen for a number of functions relating to product sourcing and development, among other things. The Company has a key manufacturing partner in China that re-opened its facilities as of February 10, 2020 and reached over 90% capacity early in March 2020. This key manufacturer is expected to manufacture over 30% of the Company’s inventory in 2020.</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12" w:name="page13"/>
    <w:bookmarkEnd w:id="12"/>
    <w:p>
      <w:pPr>
        <w:ind w:right="100"/>
        <w:spacing w:after="0" w:line="253" w:lineRule="auto"/>
        <w:rPr>
          <w:sz w:val="20"/>
          <w:szCs w:val="20"/>
          <w:color w:val="auto"/>
        </w:rPr>
      </w:pPr>
      <w:r>
        <w:rPr>
          <w:rFonts w:ascii="Times New Roman" w:cs="Times New Roman" w:eastAsia="Times New Roman" w:hAnsi="Times New Roman"/>
          <w:sz w:val="18"/>
          <w:szCs w:val="18"/>
          <w:color w:val="auto"/>
        </w:rPr>
        <w:t>To date the Company has had few overall negative impacts to its business and operations from the COVID-19 pandemic. As reported, the Company has seen 45% growth in its net revenue for the three months ended September 30, 2020 versus the same quarter in the prior year. The shift of consumer spending from traditional retail to online spending has increased dramatically due to the COVID-19 pandemic. This has benefited the Company as historically over 90% of its net revenue comes from the sale of products online in the U.S. and it believes this shift to increased online consumer spending will continue even after the COVID-19 pandemic ends. The Company’s investments in its infrastructure and software and the expansion of its third party warehousing network have also allowed the Company to continue to deliver its products, even when Amazon itself limited its delivery services. The Company has had no material impacts to its vendor or other business relationships to date and in certain circumstances it has been able to negotiate improved credit and other terms. Further, to date, none of the Company’s key operations vendors has had any negative impacts related to COVID-19 or changes which have negatively affected the Company’s business, borrowing capabilities or financial covenants. Though the COVID-19 pandemic is fluid, the Company believes at this time that its business may continue to minimize the impact, if any, from this current pandemic given the Company’s ability to work remotely, continued consumer demand for products on e-commerce channels and the business continuity plans of its key manufacturing partners and other vendors. The Company believes this combination of factors may help to mitigate risk from the COVID-19 pandemic.</w:t>
      </w:r>
    </w:p>
    <w:p>
      <w:pPr>
        <w:spacing w:after="0" w:line="29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unaudited condensed consolidated financial statements have been prepared by the Company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generally accepted accounting principles in the United States (“GAAP”) for interim financial reporting and as required by Rule 10-01 of Regulation S-X. In the opinion of the Company’s management, the accompanying unaudited condensed consolidated financial statements contain all adjustments (consisting of items of a normal and recurring nature) necessary to present fairly the financial position as of September 30, 2020, the results of operations for the three and nine months ended September 30, 2019 and 2020, the statements of stockholders’ equity for the three and nine months ended September 30, 2019 and 2020, and cash flows for the nine months ended September 30, 2019 and 2020. The results of operations for the three and nine months ended September 30, 2020 are not necessarily indicative of the results to be expected for the full year.</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2019 included herein was derived from the Company’s audited consolidated financial statements as of that date, but does not include all of the information and notes required by GAAP for complete financial statements.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audited consolidated financial statements and the related notes thereto as of and for the year ended December 31, 2019, included in the Company’s Annual Report on Form 10-K filed with the Securities and Exchange Commission, on March 30, 2020 (the “Annual Report”).</w:t>
      </w:r>
    </w:p>
    <w:p>
      <w:pPr>
        <w:spacing w:after="0" w:line="18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GAAP requires management to make estimates and assumptions that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condensed consolidated financial statements include the accounts of the Company and its wholly-owned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0" w:lineRule="exact"/>
        <w:rPr>
          <w:sz w:val="20"/>
          <w:szCs w:val="20"/>
          <w:color w:val="auto"/>
        </w:rPr>
      </w:pPr>
    </w:p>
    <w:p>
      <w:pPr>
        <w:spacing w:after="0" w:line="2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derives its revenue from the sale of consumer products. The Company sells its products directly to consumers through online retail channels and through wholesale channels.</w:t>
      </w:r>
    </w:p>
    <w:p>
      <w:pPr>
        <w:spacing w:after="0" w:line="2"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 sets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tcPr>
          <w:p>
            <w:pPr>
              <w:ind w:left="66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Managed SaaS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94"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7"/>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Managed SaaS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Managed SaaS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5"/>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Managed SaaS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 sets forth the Company’s net revenue disaggregated by product categories: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4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80" w:type="dxa"/>
            <w:vAlign w:val="bottom"/>
            <w:gridSpan w:val="4"/>
          </w:tcPr>
          <w:p>
            <w:pPr>
              <w:jc w:val="center"/>
              <w:ind w:right="30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appliances (i.e., dehumidifiers</w:t>
            </w:r>
          </w:p>
        </w:tc>
        <w:tc>
          <w:tcPr>
            <w:tcW w:w="3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air conditioners)</w:t>
            </w:r>
          </w:p>
        </w:tc>
        <w:tc>
          <w:tcPr>
            <w:tcW w:w="43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Small home appliances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Cosmetics, skincare, and heath supplements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Hair appliances and accessories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 revenue</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Managed SaaS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3360" w:type="dxa"/>
            <w:vAlign w:val="bottom"/>
          </w:tcPr>
          <w:p>
            <w:pPr>
              <w:spacing w:after="0"/>
              <w:rPr>
                <w:sz w:val="19"/>
                <w:szCs w:val="19"/>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40" w:type="dxa"/>
            <w:vAlign w:val="bottom"/>
            <w:tcBorders>
              <w:bottom w:val="single" w:sz="8" w:color="auto"/>
            </w:tcBorders>
            <w:gridSpan w:val="5"/>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80" w:type="dxa"/>
            <w:vAlign w:val="bottom"/>
            <w:gridSpan w:val="4"/>
          </w:tcPr>
          <w:p>
            <w:pPr>
              <w:jc w:val="center"/>
              <w:ind w:right="30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appliances (i.e., dehumidifiers</w:t>
            </w:r>
          </w:p>
        </w:tc>
        <w:tc>
          <w:tcPr>
            <w:tcW w:w="3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air conditioners)</w:t>
            </w:r>
          </w:p>
        </w:tc>
        <w:tc>
          <w:tcPr>
            <w:tcW w:w="43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52,757</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Small home appliances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Cosmetics, skincare, and heath supplements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3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Hair appliances and accessories</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 revenue</w:t>
            </w:r>
          </w:p>
        </w:tc>
        <w:tc>
          <w:tcPr>
            <w:tcW w:w="3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143,166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Managed SaaS</w:t>
            </w:r>
          </w:p>
        </w:tc>
        <w:tc>
          <w:tcPr>
            <w:tcW w:w="3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3360" w:type="dxa"/>
            <w:vAlign w:val="bottom"/>
          </w:tcPr>
          <w:p>
            <w:pPr>
              <w:spacing w:after="0"/>
              <w:rPr>
                <w:sz w:val="19"/>
                <w:szCs w:val="19"/>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144,212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3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55" w:right="319" w:bottom="1440" w:gutter="0" w:footer="0" w:header="0"/>
        </w:sectPr>
      </w:pPr>
    </w:p>
    <w:bookmarkStart w:id="14" w:name="page15"/>
    <w:bookmarkEnd w:id="14"/>
    <w:p>
      <w:pPr>
        <w:spacing w:after="0" w:line="256"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At September 30, 2020, the carrying amounts of these instruments approximated their fair values because of their short-term nature. The Company’s credit facility is carried at amortized cost at December 31, 2019 and September 30, 2020 and the carrying amount approximates fair value as the stated interest rate approximates market rates currently available to the Company. The Company considers the inputs utilized to determine the fair value of the borrowings to be Level 2 inputs. The Company’s financial instruments of cash and restricted cash consist of Level 1 assets at December 31, 2019 and September 30, 2020. The Company’s cash and restricted cash was approximately $30.8 million and $37.8 million, respectively, and included savings deposits and overnight investments at December 31, 2019 and September 30, 2020.</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Accounting Standards</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June 2018, the FASB issued Accounting Standards Update (“ASU”) No. 2018-07, </w:t>
      </w:r>
      <w:r>
        <w:rPr>
          <w:rFonts w:ascii="Times New Roman" w:cs="Times New Roman" w:eastAsia="Times New Roman" w:hAnsi="Times New Roman"/>
          <w:sz w:val="18"/>
          <w:szCs w:val="18"/>
          <w:i w:val="1"/>
          <w:iCs w:val="1"/>
          <w:color w:val="auto"/>
        </w:rPr>
        <w:t>Compensation—Stock Compensation (Topic 718):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Nonemployee Share-based Payment Accounting</w:t>
      </w:r>
      <w:r>
        <w:rPr>
          <w:rFonts w:ascii="Times New Roman" w:cs="Times New Roman" w:eastAsia="Times New Roman" w:hAnsi="Times New Roman"/>
          <w:sz w:val="18"/>
          <w:szCs w:val="18"/>
          <w:color w:val="auto"/>
        </w:rPr>
        <w:t>, which expands the scope of ASC Topic 718, Compensation—Stock Compensation, which currently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share-based payments issued to employees, to also include share-based payments issued to nonemployees for goods and services. This ASU is effective for all annual reporting periods beginning after December 15, 2019, including interim periods therein. The new guidance was adopted on January 1, 2020 with no material impact on the condensed consolidated financial statements.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Income Statement—Reporting Comprehensive Income (Topic 220)</w:t>
      </w:r>
      <w:r>
        <w:rPr>
          <w:rFonts w:ascii="Times New Roman" w:cs="Times New Roman" w:eastAsia="Times New Roman" w:hAnsi="Times New Roman"/>
          <w:sz w:val="18"/>
          <w:szCs w:val="18"/>
          <w:color w:val="auto"/>
        </w:rPr>
        <w:t xml:space="preserve"> (“ASU 2018-02”). ASU 2018-02 addresses the effect of the change in the U.S. federal corporate tax rate due to the enactment of the Tax Cuts and Jobs Act of 2017 on items within accumulated other comprehensive income (loss). The new guidance was adopted on January 1, 2020 with no material impact on the Company’s condensed consolidated financial statements.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which changes the fair value measurement disclosure requirements of ASC Topic 820. 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The new guidance was adopted on January 1, 2020 with no material impact on the Company’s condensed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the Company has not completed its evaluation of the impact of adoption of this standard, the Company does not expect it to have a material impact on its consolidated financial statements.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 Financial Instruments – Credit Losses (Topic 326).</w:t>
      </w:r>
      <w:r>
        <w:rPr>
          <w:rFonts w:ascii="Times New Roman" w:cs="Times New Roman" w:eastAsia="Times New Roman" w:hAnsi="Times New Roman"/>
          <w:sz w:val="18"/>
          <w:szCs w:val="18"/>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consolidated financial statements.</w:t>
      </w:r>
    </w:p>
    <w:p>
      <w:pPr>
        <w:spacing w:after="0" w:line="289"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2019 and September 30, 2020:</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3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r>
      <w:tr>
        <w:trPr>
          <w:trHeight w:val="155"/>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7"/>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3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8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2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8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36,212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of the Company’s inventory on-hand is held either with Amazon or the Company’s other third-party warehouses. The Company does not have any contractual right of returns with its contract manufacturers. The Company’s inventory on-hand held by Amazon was approximately $4.7 million and $3.1 million as of December 31, 2019 and September 30, 2020,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6" w:name="page17"/>
    <w:bookmarkEnd w:id="16"/>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 as of December 31, 2019 and September 30, 2020:</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3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r>
      <w:tr>
        <w:trPr>
          <w:trHeight w:val="155"/>
        </w:trPr>
        <w:tc>
          <w:tcPr>
            <w:tcW w:w="3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Barter credits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2019 and September 30, 2020:</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r>
      <w:tr>
        <w:trPr>
          <w:trHeight w:val="156"/>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3"/>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Accrual for insurance financing</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 and consultants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Seller note from acquisition</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Borders>
              <w:bottom w:val="single" w:sz="8" w:color="CFF0FC"/>
            </w:tcBorders>
          </w:tcPr>
          <w:p>
            <w:pPr>
              <w:spacing w:after="0"/>
              <w:rPr>
                <w:sz w:val="19"/>
                <w:szCs w:val="19"/>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392" w:lineRule="exact"/>
        <w:rPr>
          <w:sz w:val="20"/>
          <w:szCs w:val="20"/>
          <w:color w:val="auto"/>
        </w:rPr>
      </w:pPr>
    </w:p>
    <w:p>
      <w:pPr>
        <w:ind w:left="800" w:hanging="792"/>
        <w:spacing w:after="0"/>
        <w:tabs>
          <w:tab w:leader="none" w:pos="8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and term loans consisted of the following as of December 31, 2019 and September 30,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jc w:val="right"/>
              <w:ind w:right="713"/>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MidCap credit facility</w:t>
            </w:r>
          </w:p>
        </w:tc>
        <w:tc>
          <w:tcPr>
            <w:tcW w:w="16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00" w:type="dxa"/>
            <w:vAlign w:val="bottom"/>
            <w:vMerge w:val="restart"/>
          </w:tcPr>
          <w:p>
            <w:pPr>
              <w:spacing w:after="0"/>
              <w:rPr>
                <w:sz w:val="18"/>
                <w:szCs w:val="18"/>
                <w:color w:val="auto"/>
              </w:rPr>
            </w:pPr>
          </w:p>
        </w:tc>
        <w:tc>
          <w:tcPr>
            <w:tcW w:w="374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Horizon term loan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Horizon term loan</w:t>
            </w:r>
          </w:p>
        </w:tc>
        <w:tc>
          <w:tcPr>
            <w:tcW w:w="16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Less-current portion</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loan-non current portion</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2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5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MidCap Credit Facility and Term Loan</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November 23, 2018, the Company entered into a three-year $25.0 million revolving credit facility (the “Credit Facility”) with MidCap Financial Trust (“MidCap”). The Credit Facility can be increased, subject to certain conditions, to $50.0 million. Loans under the Credit Facility are determined based on percentages of the Company’s eligible accounts receivable and eligible inventory. The Credit Facility bears interest at the London Interbank Offered Rate (“LIBOR”) plus 5.75% for outstanding borrowings. The Company is required to pay a facility availability fee of 0.5% on the average unused portion of the facility. The Credit Facility contains a minimum liquidity financial covenant that requires the Company to maintain a minimum of $5.0 million in cash on hand or availability in the Credit Facility. In 2018, the Company incurred approximately $1.3 million in debt issuance costs which has been offset against the debt and will be expensed over the three years. Unamortized debt issuance costs of $0.7 million, relating to a prior three-year revolving credit facility with MidCap, will be amortized in accordance with the terms of the Credit Facility. As of December 31, 2019, there was $23.0 million outstanding on the Credit Facility and an available balance of approximately $0.0 million. As of September 30, 2020, there was $14.2 million outstanding on the Credit Facility and an available balance of $0.4 million. As of September 30, 2020, the Company was in compliance with the financial covenants contained within the Credit Facility.</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from the Credit Facility of approximately $0.4 million, $0.4 million, $1.9 million and $1.6 million for the three and nine months ended September 30, 2019 and 2020 respectively, which included less than, $0.2 million for each three month period and approximately $0.5 million for each nine month period, respectively, relating to debt issuance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Term Loan</w:t>
      </w:r>
    </w:p>
    <w:p>
      <w:pPr>
        <w:spacing w:after="0" w:line="12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On December 31, 2018, the Company entered into a term loan agreement (the “Horizon Loan Agreement”) with Horizon Technology Finance Corporation (“Horizon”). As part of the agreement, the Company obtained a five-year $15.0 million term loan (the “Term Loan”). The Term Loan bears interest at</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for outstanding borrowings and payments on principal are made on a monthly basis. The maturity date of the Term Loan is January 2023. The Term Loan contains minimum required EBITDA financial covenants that require the Company to achieve EBITDA of certain amounts based on the amount that the Company is permitted to borrow above $25.0 million under the Credit Facility (the “Revolving Line Indebtedness Cap”). The Horizon Loan Agreement also contains a cash collateral covenant that requires the Company to maintain a cash collateral account with an amount based on the Revolving Line Indebtedness Cap.</w:t>
      </w:r>
    </w:p>
    <w:p>
      <w:pPr>
        <w:spacing w:after="0" w:line="18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Horizon Loan Agreement, the Company issued to Horizon warrants to purchase 76,923 shares of its common stock at an exercise price of $15.60 per share. The warrants are exercisable and expire ten years from the date of issuance. The Company utilized the Binomial option-pricing model to determine the fair value of the warrants. The fair value of the warrants on issuance was $0.9 million, which has been recorded as a debt discount against the Term Loan.</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$1.0 million in debt issuance costs which has been offset against the debt and will be expensed over the five year term of the Term Loan.</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Credit Facility and the Term Loan contain a minimum liquidity covenant that requires the Company to maintain at minimum $5.0 million in unrestricted cash at all times, subject to increases based on amounts drawn. Further, there are additional covenants that, among other things, restrict the ability of the Company and certain of its subsidiaries to (i) incur, assume or guarantee additional indebtedness; (ii) pay dividends or redeem or repurchase capital stock; (iii) make other restricted payments; (iv) incur liens; (v) redeem debt that is junior in right of payment to the notes; (vi) sell or otherwise dispose of assets, including capital stock of subsidiaries; (vii) enter into mergers or consolidations; and (viii) enter into transactions with affiliates. These covenants are subject to a number of exceptions and qualifications.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2019, and September 30, 2020 there was $15.0 million and $14.0 million, respectively, outstanding on the Term Loan and the Company was in compliance with the financial covenants. The Company recorded interest expense from the Term Loan of $0.5 million, $0.5 million, $1.5 million and $1.5 million for the three and nine months ended September 30, 2019 and 2020, respectively, which included approximately $0.1 million for each of the three months ended September 30, 2019 and 2020 and $0.4 million for each of the nine months ending September 30, 2019 and 2020, relating to debt issuance costs for each period, respectively.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three and nine months ended September 30, 2019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gridSpan w:val="5"/>
          </w:tcPr>
          <w:p>
            <w:pPr>
              <w:jc w:val="center"/>
              <w:ind w:right="5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gridSpan w:val="5"/>
          </w:tcPr>
          <w:p>
            <w:pPr>
              <w:jc w:val="center"/>
              <w:ind w:right="5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5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20" w:type="dxa"/>
            <w:vAlign w:val="bottom"/>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equity plans: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of directors of Mohawk Group Holdings Inc., a subsidiary of the Company (“MGI”), adopted, and MGI’s stockholders approved, the Mohawk Group, Inc. 2014 Equity Incentive Plan on June 11, 2014. On March 1, 2017, MGI’s board of directors adopted, and MGI’s stockholders approved, an amendment and restatement of the 2014 Equity Incentive Plan (as amended, the “Mohawk 2014 Plan”). As of September 30, 2020, 56,327 shares were reserved for awards available for future issuance under the Mohawk 2014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the Mohawk Group Holdings, Inc. 2018 Equity Incentive Plan (the “Mohawk 2018 Plan”) on October 11, 2018. The Mohawk 2018 Plan was approved by its stockholders on May 24, 2019. As of September 30, 2020, 1,002,522 shares were reserved for awards available for future issuance under the Mohawk 2018 Plan.</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Options granted to date under the Mohawk 2014 Plan and the Mohawk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Plan</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adopted the Mohawk Group Holdings, Inc. 2019 Equity Plan (the “2019 Equity Plan”) on March 20, 2019. The 2019 Equity Plan was approved by its stockholders on May 24, 2019. As of September 30, 2020, no shares were reserved for future issuance. Shares of restricted common stock granted under the 2019 Equity Plan initially vested in substantially equal installments on the 6th, 12th, 18th and 24th monthly anniversary of the closing of the IPO. The Company and the 2019 Equity Plan participants subsequently agreed to extend (i) the vesting date for the first installment of shares of restricted common stock under the 2019 Equity Plan to March 13, 2020, (ii) the vesting date for the second installment of shares of restricted common stock to December 15, 2020, (iii) the vesting date for the third installment of shares of restricted common stock to January 2, 2021, and (iv) the fourth installment of shares of restricted common stock to July 1,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that there is more than one requisite service period. Upon prerequisite service period becoming probable, the day of the IPO, the Company recorded a cumulative catch 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involuntary termination unless, 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nine months ended September 30, 2020:</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1,862,569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(276,420)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Balance—September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1,583,279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2020</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1,062,960</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September 30, 2020</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1,583,279</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September 30, 2020, the total unrecognized compensation expense related to unvested options was $6.2 million, which the Company expects to recognize over an estimated weighted average period of 1.03 years.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no options were granted, options to purchase 276,420 shares of the Company’s common stock were cancelled, and options to purchase 2,870 shares of the Company’s common stock were exercised.</w:t>
      </w:r>
    </w:p>
    <w:p>
      <w:pPr>
        <w:spacing w:after="0" w:line="162"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During the nine months ended September 30, 2019, the Company granted options to purchase 195,975 shares of the Company’s common stock, cancelled options to purchase 165,622 shares of the Company’s common stock and options to purchase 487 shares of the Company’s common stock were exercised.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A summary of restricted stock award activity within the Company’s equity plans and changes for the nine months ended September 30, 2020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2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2020</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2,601,972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691,709</w:t>
            </w:r>
          </w:p>
        </w:tc>
        <w:tc>
          <w:tcPr>
            <w:tcW w:w="20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(416,953)</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(519,695)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2,357,033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March 12, 2020, 371,329 shares of restricted common stock were forfeited and treated as a cancellation with remaining unrecognized expense for the unvested awards recognized on the date of cancellation. The Company did not reverse previously recognized compensation expense as a result of these forfeitures.</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May 8, 2020, 134,366 shares of restricted common stock were forfeited and the Company reversed previously recognized compensation expense for unvested grants.</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2020, 14,000 shares of restricted common stock were forfeited and the Company reversed previously recognized expense for unvested grants.</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shares of restricted common stock granted was $3.3 million and $12.9 million for the three and nine months ended September 30, 2020, respectively. Stock-based compensation expense for shares restricted common stock granted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was $9.8 million and $20.3 million for the three and nine months ended September 30, 2019, respectively. </w:t>
      </w:r>
      <w:r>
        <w:rPr>
          <w:rFonts w:ascii="Times New Roman" w:cs="Times New Roman" w:eastAsia="Times New Roman" w:hAnsi="Times New Roman"/>
          <w:sz w:val="18"/>
          <w:szCs w:val="18"/>
          <w:color w:val="222222"/>
        </w:rPr>
        <w:t>No shares of restricted common stock 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during the nine months ended September 30, 2019.</w:t>
      </w:r>
    </w:p>
    <w:p>
      <w:pPr>
        <w:spacing w:after="0" w:line="1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weighted-average grant date fair value of shares of restricted common stock granted during the three months ended September 30, 2020 was $6.34. As of September 30, 2020, the total unrecognized compensation expense related to unvested shares of restricted common stock was $6.5 million which the Company expects to recognize over an estimated weighted-average period of 0.62 years.</w:t>
      </w:r>
    </w:p>
    <w:p>
      <w:pPr>
        <w:spacing w:after="0" w:line="16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222222"/>
        </w:rPr>
        <w:t xml:space="preserve">The table above includes 0.4 million shares of </w:t>
      </w:r>
      <w:r>
        <w:rPr>
          <w:rFonts w:ascii="Times New Roman" w:cs="Times New Roman" w:eastAsia="Times New Roman" w:hAnsi="Times New Roman"/>
          <w:sz w:val="18"/>
          <w:szCs w:val="18"/>
          <w:color w:val="000000"/>
        </w:rPr>
        <w:t>restricted common stock</w:t>
      </w:r>
      <w:r>
        <w:rPr>
          <w:rFonts w:ascii="Times New Roman" w:cs="Times New Roman" w:eastAsia="Times New Roman" w:hAnsi="Times New Roman"/>
          <w:sz w:val="18"/>
          <w:szCs w:val="18"/>
          <w:color w:val="222222"/>
        </w:rPr>
        <w:t xml:space="preserve"> that have been granted under the Mohawk 2018 Plan, included in the shares outstanding under that plan and </w:t>
      </w:r>
      <w:r>
        <w:rPr>
          <w:rFonts w:ascii="Times New Roman" w:cs="Times New Roman" w:eastAsia="Times New Roman" w:hAnsi="Times New Roman"/>
          <w:sz w:val="18"/>
          <w:szCs w:val="18"/>
          <w:color w:val="000000"/>
        </w:rPr>
        <w:t>carry dividend or voting rights applicable to the Company’s common stock.</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22222"/>
        </w:rPr>
        <w:t>Stock-based compensation expense is allocated based on the cost center to which the award holder belongs. The following table summarizes the total stock-based compensation expense by function, including expense related to consultants, for the three and nine months ended September 30, 2020 and 2019:</w:t>
      </w:r>
    </w:p>
    <w:p>
      <w:pPr>
        <w:sectPr>
          <w:pgSz w:w="11900" w:h="16838" w:orient="portrait"/>
          <w:cols w:equalWidth="0" w:num="1">
            <w:col w:w="11260"/>
          </w:cols>
          <w:pgMar w:left="320" w:top="378" w:right="319" w:bottom="1440" w:gutter="0" w:footer="0" w:header="0"/>
        </w:sectPr>
      </w:pPr>
    </w:p>
    <w:p>
      <w:pPr>
        <w:spacing w:after="0" w:line="16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wp:posOffset>
            </wp:positionV>
            <wp:extent cx="11398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ind w:left="6000"/>
        <w:spacing w:after="0"/>
        <w:tabs>
          <w:tab w:leader="none" w:pos="69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wp:posOffset>
            </wp:positionV>
            <wp:extent cx="11398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-3175</wp:posOffset>
            </wp:positionV>
            <wp:extent cx="11398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-635</wp:posOffset>
            </wp:positionV>
            <wp:extent cx="11398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p>
    <w:p>
      <w:pPr>
        <w:sectPr>
          <w:pgSz w:w="11900" w:h="16838" w:orient="portrait"/>
          <w:cols w:equalWidth="0" w:num="2">
            <w:col w:w="7300" w:space="660"/>
            <w:col w:w="3300"/>
          </w:cols>
          <w:pgMar w:left="320" w:top="378" w:right="319" w:bottom="1440" w:gutter="0" w:footer="0" w:header="0"/>
          <w:type w:val="continuous"/>
        </w:sectPr>
      </w:pPr>
    </w:p>
    <w:tbl>
      <w:tblPr>
        <w:tblLayout w:type="fixed"/>
        <w:tblInd w:w="1700" w:type="dxa"/>
        <w:tblCellMar>
          <w:top w:w="0" w:type="dxa"/>
          <w:left w:w="0" w:type="dxa"/>
          <w:bottom w:w="0" w:type="dxa"/>
          <w:right w:w="0" w:type="dxa"/>
        </w:tblCellMar>
      </w:tblP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7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4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FF0FC"/>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80" w:type="dxa"/>
            <w:vAlign w:val="bottom"/>
          </w:tcPr>
          <w:p>
            <w:pPr>
              <w:spacing w:after="0"/>
              <w:rPr>
                <w:sz w:val="19"/>
                <w:szCs w:val="19"/>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80" w:type="dxa"/>
            <w:vAlign w:val="bottom"/>
            <w:shd w:val="clear" w:color="auto" w:fill="CFF0FC"/>
          </w:tcPr>
          <w:p>
            <w:pPr>
              <w:spacing w:after="0"/>
              <w:rPr>
                <w:sz w:val="19"/>
                <w:szCs w:val="19"/>
                <w:color w:val="auto"/>
              </w:rPr>
            </w:pP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6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80" w:type="dxa"/>
            <w:vAlign w:val="bottom"/>
          </w:tcPr>
          <w:p>
            <w:pPr>
              <w:spacing w:after="0"/>
              <w:rPr>
                <w:sz w:val="19"/>
                <w:szCs w:val="19"/>
                <w:color w:val="auto"/>
              </w:rPr>
            </w:pPr>
          </w:p>
        </w:tc>
      </w:tr>
    </w:tbl>
    <w:p>
      <w:pPr>
        <w:spacing w:after="0" w:line="378"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reflects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per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right"/>
              <w:ind w:right="71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(14,975)</w:t>
            </w:r>
          </w:p>
        </w:tc>
        <w:tc>
          <w:tcPr>
            <w:tcW w:w="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basic and diluted</w:t>
            </w:r>
          </w:p>
        </w:tc>
        <w:tc>
          <w:tcPr>
            <w:tcW w:w="6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15,134,422</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17,090,050</w:t>
            </w:r>
          </w:p>
        </w:tc>
        <w:tc>
          <w:tcPr>
            <w:tcW w:w="80" w:type="dxa"/>
            <w:vAlign w:val="bottom"/>
            <w:tcBorders>
              <w:bottom w:val="single" w:sz="8" w:color="CFF0FC"/>
            </w:tcBorders>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78" w:right="319" w:bottom="1440" w:gutter="0" w:footer="0" w:header="0"/>
          <w:type w:val="continuous"/>
        </w:sectPr>
      </w:pPr>
    </w:p>
    <w:bookmarkStart w:id="21" w:name="page22"/>
    <w:bookmarkEnd w:id="21"/>
    <w:tbl>
      <w:tblPr>
        <w:tblLayout w:type="fixed"/>
        <w:tblInd w:w="170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5"/>
          </w:tcPr>
          <w:p>
            <w:pPr>
              <w:jc w:val="right"/>
              <w:ind w:right="71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(40,243)</w:t>
            </w:r>
          </w:p>
        </w:tc>
        <w:tc>
          <w:tcPr>
            <w:tcW w:w="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(18,772)</w:t>
            </w:r>
          </w:p>
        </w:tc>
      </w:tr>
      <w:tr>
        <w:trPr>
          <w:trHeight w:val="21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used in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basic and diluted</w:t>
            </w:r>
          </w:p>
        </w:tc>
        <w:tc>
          <w:tcPr>
            <w:tcW w:w="6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12,971,641</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15,903,517</w:t>
            </w:r>
          </w:p>
        </w:tc>
        <w:tc>
          <w:tcPr>
            <w:tcW w:w="80" w:type="dxa"/>
            <w:vAlign w:val="bottom"/>
            <w:tcBorders>
              <w:bottom w:val="single" w:sz="8" w:color="CFF0FC"/>
            </w:tcBorders>
          </w:tcPr>
          <w:p>
            <w:pPr>
              <w:spacing w:after="0"/>
              <w:rPr>
                <w:sz w:val="20"/>
                <w:szCs w:val="20"/>
                <w:color w:val="auto"/>
              </w:rPr>
            </w:pPr>
          </w:p>
        </w:tc>
      </w:tr>
      <w:tr>
        <w:trPr>
          <w:trHeight w:val="223"/>
        </w:trPr>
        <w:tc>
          <w:tcPr>
            <w:tcW w:w="47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—The Company is party to various actions and claims arising in the normal course of business. The Company does not believe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 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 places in most states within 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2019 and September 30, 2020, the Company estimates that the potential liability, including current sales tax payable is approximately $0.5 million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8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b w:val="1"/>
          <w:bCs w:val="1"/>
          <w:color w:val="auto"/>
        </w:rPr>
        <w:t>U.S. Department of Energy</w:t>
      </w:r>
      <w:r>
        <w:rPr>
          <w:rFonts w:ascii="Times New Roman" w:cs="Times New Roman" w:eastAsia="Times New Roman" w:hAnsi="Times New Roman"/>
          <w:sz w:val="17"/>
          <w:szCs w:val="17"/>
          <w:color w:val="auto"/>
        </w:rPr>
        <w:t>— In September 2019, the Company received a Test Notice from the U.S. Department of Energy (“DOE”) indicating that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Times New Roman" w:cs="Times New Roman" w:eastAsia="Times New Roman" w:hAnsi="Times New Roman"/>
          <w:sz w:val="17"/>
          <w:szCs w:val="17"/>
          <w:color w:val="222222"/>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2222"/>
        </w:rPr>
        <w:t xml:space="preserve">Company believes that its products are compliant, and the Company, in conjunction with its manufacturing partner, has disputed the Test Notice received from the DOE. </w:t>
      </w:r>
      <w:r>
        <w:rPr>
          <w:rFonts w:ascii="Times New Roman" w:cs="Times New Roman" w:eastAsia="Times New Roman" w:hAnsi="Times New Roman"/>
          <w:sz w:val="17"/>
          <w:szCs w:val="17"/>
          <w:color w:val="000000"/>
        </w:rPr>
        <w:t>As of the date of the issuance of these financial statements, the Company cannot reasonably estimate what, if any, penalties may be levied.</w:t>
      </w:r>
    </w:p>
    <w:p>
      <w:pPr>
        <w:spacing w:after="0" w:line="1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U.S. Environmental Protection Agency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In September 2019, the Company received notice from the U.S. Environmental Protection Agency (“EPA”)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has placed a hold on the sale of certain of the Company's dehumidifier inventory while it reviews the matter with the Company. The Company cannot be certain of the outcome with the EPA, and the Company may incur costs and penalties that cannot presently be calculated in the event that the Company is unable to resolve this matter with the EPA.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Acquisition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August 26, 2020, the Company completed the acquisition of the “Truweo Assets”, whose products sell primarily on the Amazon US marketplace, for total consideration of $16.4 million, which was comprised of cash of $14.0 million and a promissory note for $2.4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2" w:name="page23"/>
    <w:bookmarkEnd w:id="22"/>
    <w:p>
      <w:pPr>
        <w:ind w:right="260"/>
        <w:spacing w:after="0" w:line="282" w:lineRule="auto"/>
        <w:rPr>
          <w:sz w:val="20"/>
          <w:szCs w:val="20"/>
          <w:color w:val="auto"/>
        </w:rPr>
      </w:pPr>
      <w:r>
        <w:rPr>
          <w:rFonts w:ascii="Times New Roman" w:cs="Times New Roman" w:eastAsia="Times New Roman" w:hAnsi="Times New Roman"/>
          <w:sz w:val="18"/>
          <w:szCs w:val="18"/>
          <w:color w:val="auto"/>
        </w:rPr>
        <w:t>million. The promissory note accrues interest at a rate of 8% per annum, with $0.6 million principal and accrued interest payments due on November 30, 2021, February 28, 2022, and May 31, 2022 and matures on August 22, 2022.</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presents the preliminary allocation of purchase price to the assets acquired and liabilities assumed, based on the estimated fair values at acquisition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right"/>
              <w:ind w:right="63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58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54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4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40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 Allocated</w:t>
            </w:r>
          </w:p>
        </w:tc>
        <w:tc>
          <w:tcPr>
            <w:tcW w:w="2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155"/>
        </w:trPr>
        <w:tc>
          <w:tcPr>
            <w:tcW w:w="47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right"/>
              <w:ind w:right="41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2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1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5</w:t>
            </w: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2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1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&lt;1</w:t>
            </w:r>
          </w:p>
        </w:tc>
      </w:tr>
      <w:tr>
        <w:trPr>
          <w:trHeight w:val="230"/>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2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160" w:type="dxa"/>
            <w:vAlign w:val="bottom"/>
            <w:tcBorders>
              <w:bottom w:val="single" w:sz="8" w:color="CFF0FC"/>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Intangible Assets</w:t>
            </w:r>
          </w:p>
        </w:tc>
        <w:tc>
          <w:tcPr>
            <w:tcW w:w="2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22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Information</w:t>
      </w:r>
    </w:p>
    <w:p>
      <w:pPr>
        <w:spacing w:after="0" w:line="135"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8"/>
          <w:szCs w:val="18"/>
          <w:color w:val="auto"/>
        </w:rPr>
        <w:t>The following unaudited pro forma information illustrates the impact of the Truweo Assets acquisition on the Company’s net revenue for the three and nine months ended September 30, 2019 and 2020. The acquisition of the Truweo Assets is reflected in the following pro forma information as if the acquisition had occurred on January 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5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5"/>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as reported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5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100" w:type="dxa"/>
            <w:vAlign w:val="bottom"/>
            <w:shd w:val="clear" w:color="auto" w:fill="CFF0FC"/>
          </w:tcPr>
          <w:p>
            <w:pPr>
              <w:spacing w:after="0"/>
              <w:rPr>
                <w:sz w:val="19"/>
                <w:szCs w:val="19"/>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Truweo net revenue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pro forma</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 as reported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(14,071)</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(36,799)</w:t>
            </w: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(15,610)</w:t>
            </w:r>
          </w:p>
        </w:tc>
      </w:tr>
      <w:tr>
        <w:trPr>
          <w:trHeight w:val="229"/>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Truweo operating income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 pro forma</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2019 included in our Annual Report on Form 10-K for the year ended December 31, 2019 as filed with the Securities and Exchange Commission (the “SEC”) on March 30, 2020.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72"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“Mohawk,” the “Company,” “we,” “us” and “our” in this Quarterly Report on Form 10-Q refer to Mohawk Group Holdings, Inc. and our consolidated subsidiaries, including Mohawk Group, Inc.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Mohawk is a rapidly growing technology-enabled consumer products company. Mohawk was founded on the premise that if a consumer products goods (“CPG”) company was founded today, it would apply artificial intelligence (“A.I.”) and machine learning, the synthesis of massive quantities of data and the use of social proof to identify and validate high caliber product offerings and market opportunities, as opposed to over-reliance on brand value and other traditional marketing tactics.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launched and sold hundreds of SKUs on Amazon and other e-commerce platforms. Through the success of a number of those products, we have grouped them and have incubated four owned and operated brands: hOmeLabs, Vremi, Xtava and RIF6. These product categories include home and kitchen appliances, kitchenware, environmental appliances (i.e., dehumidifiers and air conditioners), beauty related products and, to a lesser extent, consumer electronics. The Company has recently launched a new brand, Holonix Health, which has been created to develop and market personal protective equipment and wellness related products in light of the COVID-19 pandemic, corresponding changes in consumer behavior and anticipated on-going needs past the pandemic.</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we are reinventing how to rapidly and successfully identify new product and market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APIs, to multiple e-commerce platforms. This allows us to automate the purchase of marketing, automate various parts of our fulfillment and logistics operations and to automate the pricing changes on product listings. We generate revenue primarily through the online sales of our various digital native consumer products and substantially all of our sales are made through the Amazon U.S. marketplace.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shifts in the timing of certain holidays and changes in our product mix.</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our products typically goes through the Launch phase and depending on its level of success is moved to one of the other phases as further described below:</w:t>
      </w:r>
    </w:p>
    <w:p>
      <w:pPr>
        <w:spacing w:after="0" w:line="54" w:lineRule="exact"/>
        <w:rPr>
          <w:sz w:val="20"/>
          <w:szCs w:val="20"/>
          <w:color w:val="auto"/>
        </w:rPr>
      </w:pPr>
    </w:p>
    <w:p>
      <w:pPr>
        <w:ind w:left="880" w:right="60" w:hanging="373"/>
        <w:spacing w:after="0" w:line="261"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cost of goods sold, less fulfillment, online advertising and selling expenses. These costs primarily reflect the estimated variable costs related to the sale of a product.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left="880" w:hanging="373"/>
        <w:spacing w:after="0" w:line="26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phase: Our goal is for every product we launch to enter the sustain phase and become profitable, with a target average of positive 10%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1" w:lineRule="exact"/>
        <w:rPr>
          <w:rFonts w:ascii="Times New Roman" w:cs="Times New Roman" w:eastAsia="Times New Roman" w:hAnsi="Times New Roman"/>
          <w:sz w:val="18"/>
          <w:szCs w:val="18"/>
          <w:color w:val="auto"/>
        </w:rPr>
      </w:pPr>
    </w:p>
    <w:p>
      <w:pPr>
        <w:ind w:left="880" w:right="20" w:hanging="373"/>
        <w:spacing w:after="0" w:line="25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Milk phase or Liquidate phase: If a product does not enter the sustain phase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 During the second quarter of 2020, we changed how we procure and order products, including our products in the launch phase, by reducing the targeted inventory on hand. For products in the launch phase in particular, we have reduced our initial order quantities to reduce exposure related to product launches which do not meet expectations. This reduced order quantity may impact the time needed for a product to reach sustain and may increase the cost of online advertising and other promotional programs related to product launches, but we believe this reduces the working capital impact from product launches, including product launches which may not meet expectations.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launches of new products included in our net revenue which have achieved, or are expected to achieve, more than $0.5 million in net revenue per year. The growth in our direct net revenue (i.e., direct to consumer sales) versus the comparable prior year period is the period over period growth of direct sales channel.</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0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424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Launches of new products</w:t>
            </w: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9"/>
                <w:szCs w:val="19"/>
                <w:color w:val="auto"/>
              </w:rPr>
            </w:pPr>
          </w:p>
        </w:tc>
      </w:tr>
      <w:tr>
        <w:trPr>
          <w:trHeight w:val="211"/>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in direct net revenue versus comparable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previous year period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growth in direct net revenue can be impacted by the timing and the season in which products are launched. For example, 3 of our 8 products launches for the three months ended September 30, 2020 occurred after August 15, 2020, and do not have a full quarter of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derive our revenue from the sale of consumer products, primarily in the United States. We sell products directly to consumers through online retail channels and through wholesale channels. Direct to 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 During the three months ended June 30, 2020, we began to sell personal protective equipment (“PPE”) to certain states and local governments. We recorded for the three months ended September 30, 2020 approximately $8.9 million in net revenue related to PPE sales and $14.7 million for the nine months ended September 30, 2020. PPE net revenue is typically recognized when the goods are delivered to the customer’s warehouse as the control of product has transferred at that point.</w:t>
      </w:r>
    </w:p>
    <w:p>
      <w:pPr>
        <w:spacing w:after="0" w:line="18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b w:val="1"/>
          <w:bCs w:val="1"/>
          <w:color w:val="auto"/>
        </w:rPr>
        <w:t>Cost of Goods Sold—</w:t>
      </w:r>
      <w:r>
        <w:rPr>
          <w:rFonts w:ascii="Times New Roman" w:cs="Times New Roman" w:eastAsia="Times New Roman" w:hAnsi="Times New Roman"/>
          <w:sz w:val="17"/>
          <w:szCs w:val="17"/>
          <w:color w:val="auto"/>
        </w:rPr>
        <w:t>Cost of goods sold is comprised of the book value of inventory sold to customers during the reporting period. When circumstances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We believe that the tariff increases that were previously announced and subsequently postponed by the USTR in late 2019, would have originally impacted our cost of goods sold at the end of the third quarter of 2020 as we expected to sell through our pre-tariff inventory. As such, we planned our inventory purchases (i.e., increased our days of inventory 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right="220"/>
        <w:spacing w:after="0" w:line="261" w:lineRule="auto"/>
        <w:rPr>
          <w:sz w:val="20"/>
          <w:szCs w:val="20"/>
          <w:color w:val="auto"/>
        </w:rPr>
      </w:pPr>
      <w:r>
        <w:rPr>
          <w:rFonts w:ascii="Times New Roman" w:cs="Times New Roman" w:eastAsia="Times New Roman" w:hAnsi="Times New Roman"/>
          <w:sz w:val="18"/>
          <w:szCs w:val="18"/>
          <w:color w:val="auto"/>
        </w:rPr>
        <w:t>hand) to delay the tariff impact into the summer of 2020, and we expected to raise prices to offset the tariff impact once we sold through our pre-tariff inventory. Our pricing actions are intended to offset the full gross margin impact of tariff increases, if they are enacted. However, there are no assurances that these pricing actions will not reduce customer orders if these tariffs or if additional tariffs are implemented in the future. Further, we can provide no assurances that future tariff increases will not be enacted.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Research and development expenses include compensation and employee benefits for technology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travel related costs and fees paid to outside consultants related to the development of our intellectual property.</w:t>
      </w:r>
    </w:p>
    <w:p>
      <w:pPr>
        <w:spacing w:after="0" w:line="15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Sales and Distribution Expenses—</w:t>
      </w:r>
      <w:r>
        <w:rPr>
          <w:rFonts w:ascii="Times New Roman" w:cs="Times New Roman" w:eastAsia="Times New Roman" w:hAnsi="Times New Roman"/>
          <w:sz w:val="18"/>
          <w:szCs w:val="18"/>
          <w:color w:val="auto"/>
        </w:rPr>
        <w:t>Sales and distribution expenses consist of online advertising costs, marketing and promotional costs,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commissions, fulfillment, warehouse costs and employee compensation and benefits. Costs associated with our advertising and sales promotion are expensed as incurred and are included in sales and distribution expenses. Shipping and handling expense is included in our condensed consolidated statements of operations in sales and distribution expenses. This includes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Mohawk (“FBM”), or through e-commerce platform service providers, i.e., fulfillment by Amazon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In the first quarter of 2020 we added five FBM warehouses to our direct fulfillment platform, enabling FBM One Day Prime delivery for sales through Amazon, for approximately 80% of the U.S., based on our sales history. Expanding our third-party warehouse locations to have greater geographic reach, reduces the average last mile shipping zones to the end customer and as such our speed of deliver improves while our shipping costs to customers decreases, prior to the impacts in shipping providers rates.</w:t>
      </w:r>
    </w:p>
    <w:p>
      <w:pPr>
        <w:spacing w:after="0" w:line="18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compensation and employee benefits for executive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administration, legal, and human resources, facility costs, insurance, travel, professional service fees and other general overhead costs, including the costs of being a public company.</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Interest Expense, Net</w:t>
      </w:r>
      <w:r>
        <w:rPr>
          <w:rFonts w:ascii="Times New Roman" w:cs="Times New Roman" w:eastAsia="Times New Roman" w:hAnsi="Times New Roman"/>
          <w:sz w:val="18"/>
          <w:szCs w:val="18"/>
          <w:color w:val="auto"/>
        </w:rPr>
        <w:t>—Interest expense, net includes the interest cost from our credit facility and term loan and includes amortization of deferred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debt discounts from our credit facility and term loan with MidCap Financial Trust (“MidCap”) and our term loan with Horizon Technology Finance Corporation (“Horizon”).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 However, for the reasons discussed below, we have presented certain non-GAAP measures herein.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used herein, Contribution margin represents operating loss plus general and administrative expenses, research and development expenses and fixed sales and distribution expenses.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and other expense, net. As used herein, Adjusted EBTIDA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ind w:right="80"/>
        <w:spacing w:after="0" w:line="255" w:lineRule="auto"/>
        <w:rPr>
          <w:sz w:val="20"/>
          <w:szCs w:val="20"/>
          <w:color w:val="auto"/>
        </w:rPr>
      </w:pPr>
      <w:r>
        <w:rPr>
          <w:rFonts w:ascii="Times New Roman" w:cs="Times New Roman" w:eastAsia="Times New Roman" w:hAnsi="Times New Roman"/>
          <w:sz w:val="18"/>
          <w:szCs w:val="18"/>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EBITDA, Adjusted EBITDA and Adjusted EBITDA as a percentage of net revenue, have limitations as analytical financial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neither EBITDA nor Adjusted EBITDA reflects:</w:t>
      </w:r>
    </w:p>
    <w:p>
      <w:pPr>
        <w:spacing w:after="0" w:line="112" w:lineRule="exact"/>
        <w:rPr>
          <w:sz w:val="20"/>
          <w:szCs w:val="20"/>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or future requirements for capital expenditures or mergers and acquisitions;</w:t>
      </w:r>
    </w:p>
    <w:p>
      <w:pPr>
        <w:spacing w:after="0" w:line="13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or the cash requirements necessary to service interest expense or principal payments, associated with indebtedness;</w:t>
      </w:r>
    </w:p>
    <w:p>
      <w:pPr>
        <w:spacing w:after="0" w:line="130" w:lineRule="exact"/>
        <w:rPr>
          <w:rFonts w:ascii="Times New Roman" w:cs="Times New Roman" w:eastAsia="Times New Roman" w:hAnsi="Times New Roman"/>
          <w:sz w:val="18"/>
          <w:szCs w:val="18"/>
          <w:color w:val="auto"/>
        </w:rPr>
      </w:pPr>
    </w:p>
    <w:p>
      <w:pPr>
        <w:ind w:left="880" w:right="100" w:hanging="373"/>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which are non-cash charges, although the assets being depreciated and amortized will likely have to be replaced in the future, or any cash requirements for the replacement of assets; or</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cash requirements for our working capital needs.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Adjusted EBITDA excludes non-cash expense for stock-based compensation, which is and will remain a key element of our overall long-term incentive compensation package.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67" w:lineRule="exact"/>
        <w:rPr>
          <w:sz w:val="20"/>
          <w:szCs w:val="20"/>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necessary to operate our business;</w:t>
      </w:r>
    </w:p>
    <w:p>
      <w:pPr>
        <w:spacing w:after="0" w:line="13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necessary for the development, operation and support of our software platform; or</w:t>
      </w:r>
    </w:p>
    <w:p>
      <w:pPr>
        <w:spacing w:after="0" w:line="13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costs portion of our sales and distribution expenses including stock-based compensation expense.</w:t>
      </w:r>
    </w:p>
    <w:p>
      <w:pPr>
        <w:sectPr>
          <w:pgSz w:w="11900" w:h="16838" w:orient="portrait"/>
          <w:cols w:equalWidth="0" w:num="1">
            <w:col w:w="11260"/>
          </w:cols>
          <w:pgMar w:left="320" w:top="553" w:right="319" w:bottom="1440" w:gutter="0" w:footer="0" w:header="0"/>
        </w:sectPr>
      </w:pPr>
    </w:p>
    <w:p>
      <w:pPr>
        <w:spacing w:after="0" w:line="327"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7620</wp:posOffset>
            </wp:positionV>
            <wp:extent cx="17399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ind w:left="5140"/>
        <w:spacing w:after="0"/>
        <w:tabs>
          <w:tab w:leader="none" w:pos="66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7620</wp:posOffset>
            </wp:positionV>
            <wp:extent cx="17399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ind w:left="160"/>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1" w:lineRule="exact"/>
        <w:rPr>
          <w:sz w:val="20"/>
          <w:szCs w:val="20"/>
          <w:color w:val="auto"/>
        </w:rPr>
      </w:pPr>
    </w:p>
    <w:p>
      <w:pPr>
        <w:sectPr>
          <w:pgSz w:w="11900" w:h="16838" w:orient="portrait"/>
          <w:cols w:equalWidth="0" w:num="2">
            <w:col w:w="7320" w:space="720"/>
            <w:col w:w="3220"/>
          </w:cols>
          <w:pgMar w:left="320" w:top="553" w:right="31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15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3,230</w:t>
            </w:r>
          </w:p>
        </w:tc>
        <w:tc>
          <w:tcPr>
            <w:tcW w:w="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4,172</w:t>
            </w: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20,492</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8.0%</w:t>
            </w:r>
          </w:p>
        </w:tc>
        <w:tc>
          <w:tcPr>
            <w:tcW w:w="5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58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(14,051)</w:t>
            </w:r>
          </w:p>
        </w:tc>
        <w:tc>
          <w:tcPr>
            <w:tcW w:w="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(36,716)</w:t>
            </w: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(15,427)</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(2,656)</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32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(11,916)</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21"/>
                <w:szCs w:val="21"/>
                <w:color w:val="auto"/>
              </w:rPr>
            </w:pPr>
          </w:p>
        </w:tc>
      </w:tr>
      <w:tr>
        <w:trPr>
          <w:trHeight w:val="432"/>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Contribution Margin</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Contribution margin represents operating loss plus general and administrative expenses, research and development expenses and fixed sales and distribution expenses. Contribution margin as a percentage of net revenue represents Contribution margin divided by net revenue. The following table provides a reconciliation of Contribution margin to operating loss, which is the most directly comparable financial measure presented in accordance with GAAP:</w:t>
      </w:r>
    </w:p>
    <w:p>
      <w:pPr>
        <w:sectPr>
          <w:pgSz w:w="11900" w:h="16838" w:orient="portrait"/>
          <w:cols w:equalWidth="0" w:num="1">
            <w:col w:w="11260"/>
          </w:cols>
          <w:pgMar w:left="320" w:top="659" w:right="319" w:bottom="1440" w:gutter="0" w:footer="0" w:header="0"/>
        </w:sectPr>
      </w:pPr>
    </w:p>
    <w:p>
      <w:pPr>
        <w:spacing w:after="0" w:line="281"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7620</wp:posOffset>
            </wp:positionV>
            <wp:extent cx="1714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left="522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7620</wp:posOffset>
            </wp:positionV>
            <wp:extent cx="1722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7" w:lineRule="exact"/>
        <w:rPr>
          <w:sz w:val="20"/>
          <w:szCs w:val="20"/>
          <w:color w:val="auto"/>
        </w:rPr>
      </w:pPr>
    </w:p>
    <w:p>
      <w:pPr>
        <w:ind w:left="180"/>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1" w:lineRule="exact"/>
        <w:rPr>
          <w:sz w:val="20"/>
          <w:szCs w:val="20"/>
          <w:color w:val="auto"/>
        </w:rPr>
      </w:pPr>
    </w:p>
    <w:p>
      <w:pPr>
        <w:sectPr>
          <w:pgSz w:w="11900" w:h="16838" w:orient="portrait"/>
          <w:cols w:equalWidth="0" w:num="2">
            <w:col w:w="7340" w:space="720"/>
            <w:col w:w="3200"/>
          </w:cols>
          <w:pgMar w:left="320" w:top="659" w:right="31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3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jc w:val="right"/>
              <w:ind w:right="13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3"/>
          </w:tcPr>
          <w:p>
            <w:pPr>
              <w:jc w:val="right"/>
              <w:ind w:right="11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74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(14,071)</w:t>
            </w:r>
          </w:p>
        </w:tc>
        <w:tc>
          <w:tcPr>
            <w:tcW w:w="5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(36,799)</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(15,610)</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18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80" w:type="dxa"/>
            <w:vAlign w:val="bottom"/>
          </w:tcPr>
          <w:p>
            <w:pPr>
              <w:spacing w:after="0"/>
              <w:rPr>
                <w:sz w:val="19"/>
                <w:szCs w:val="19"/>
                <w:color w:val="auto"/>
              </w:rPr>
            </w:pPr>
          </w:p>
        </w:tc>
      </w:tr>
      <w:tr>
        <w:trPr>
          <w:trHeight w:val="211"/>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fixed expenses, including</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30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32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80" w:type="dxa"/>
            <w:vAlign w:val="bottom"/>
            <w:shd w:val="clear" w:color="auto" w:fill="CFF0FC"/>
          </w:tcPr>
          <w:p>
            <w:pPr>
              <w:spacing w:after="0"/>
              <w:rPr>
                <w:sz w:val="20"/>
                <w:szCs w:val="20"/>
                <w:color w:val="auto"/>
              </w:rPr>
            </w:pPr>
          </w:p>
        </w:tc>
      </w:tr>
      <w:tr>
        <w:trPr>
          <w:trHeight w:val="263"/>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3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3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20,492</w:t>
            </w:r>
          </w:p>
        </w:tc>
        <w:tc>
          <w:tcPr>
            <w:tcW w:w="180" w:type="dxa"/>
            <w:vAlign w:val="bottom"/>
            <w:tcBorders>
              <w:bottom w:val="single" w:sz="8" w:color="CFF0FC"/>
            </w:tcBorders>
          </w:tcPr>
          <w:p>
            <w:pPr>
              <w:spacing w:after="0"/>
              <w:rPr>
                <w:sz w:val="22"/>
                <w:szCs w:val="22"/>
                <w:color w:val="auto"/>
              </w:rPr>
            </w:pPr>
          </w:p>
        </w:tc>
      </w:tr>
      <w:tr>
        <w:trPr>
          <w:trHeight w:val="192"/>
        </w:trPr>
        <w:tc>
          <w:tcPr>
            <w:tcW w:w="38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Contribution margin as a percentage of net</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3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EBITDA represents net loss plus depreciation and amortization, interest expense, net and income tax expense. Adjusted EBITDA represents EBITDA plus stock-based compensation expense and other expense, net. As used herein, Adjusted EBITDA as a percentage of net revenue represents Adjusted EBITDA divided by net revenue. The following table provides a reconciliation of EBITDA and Adjusted EBITDA to net loss, which is the most directly comparable financial measure presented in accordance with GAAP:</w:t>
      </w:r>
    </w:p>
    <w:p>
      <w:pPr>
        <w:sectPr>
          <w:pgSz w:w="11900" w:h="16838" w:orient="portrait"/>
          <w:cols w:equalWidth="0" w:num="1">
            <w:col w:w="11260"/>
          </w:cols>
          <w:pgMar w:left="320" w:top="659" w:right="319" w:bottom="1440" w:gutter="0" w:footer="0" w:header="0"/>
          <w:type w:val="continuous"/>
        </w:sectPr>
      </w:pPr>
    </w:p>
    <w:p>
      <w:pPr>
        <w:spacing w:after="0" w:line="281"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7620</wp:posOffset>
            </wp:positionV>
            <wp:extent cx="17316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7" w:lineRule="exact"/>
        <w:rPr>
          <w:sz w:val="20"/>
          <w:szCs w:val="20"/>
          <w:color w:val="auto"/>
        </w:rPr>
      </w:pPr>
    </w:p>
    <w:p>
      <w:pPr>
        <w:ind w:left="5160"/>
        <w:spacing w:after="0"/>
        <w:tabs>
          <w:tab w:leader="none" w:pos="66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7620</wp:posOffset>
            </wp:positionV>
            <wp:extent cx="17399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7" w:lineRule="exact"/>
        <w:rPr>
          <w:sz w:val="20"/>
          <w:szCs w:val="20"/>
          <w:color w:val="auto"/>
        </w:rPr>
      </w:pPr>
    </w:p>
    <w:p>
      <w:pPr>
        <w:ind w:left="160"/>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1" w:lineRule="exact"/>
        <w:rPr>
          <w:sz w:val="20"/>
          <w:szCs w:val="20"/>
          <w:color w:val="auto"/>
        </w:rPr>
      </w:pPr>
    </w:p>
    <w:p>
      <w:pPr>
        <w:sectPr>
          <w:pgSz w:w="11900" w:h="16838" w:orient="portrait"/>
          <w:cols w:equalWidth="0" w:num="2">
            <w:col w:w="7320" w:space="720"/>
            <w:col w:w="3220"/>
          </w:cols>
          <w:pgMar w:left="320" w:top="659" w:right="31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ind w:right="19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jc w:val="right"/>
              <w:ind w:right="9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(14,975)</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(805)</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(40,243)</w:t>
            </w:r>
          </w:p>
        </w:tc>
        <w:tc>
          <w:tcPr>
            <w:tcW w:w="4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(18,772)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EBITDA</w:t>
            </w:r>
          </w:p>
        </w:tc>
        <w:tc>
          <w:tcPr>
            <w:tcW w:w="6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3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3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(15,427)</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3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3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3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3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 as a percentage of net</w:t>
            </w: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59" w:right="3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2020</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2019 and 2020, together with the changes in those items in dollars and percentages: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Sales and distribution expenses (1)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(3,062)</w:t>
            </w: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CFF0FC"/>
            </w:tcBorders>
          </w:tcPr>
          <w:p>
            <w:pPr>
              <w:spacing w:after="0"/>
              <w:rPr>
                <w:sz w:val="19"/>
                <w:szCs w:val="19"/>
                <w:color w:val="auto"/>
              </w:rPr>
            </w:pPr>
          </w:p>
        </w:tc>
        <w:tc>
          <w:tcPr>
            <w:tcW w:w="88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vMerge w:val="continue"/>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stock-based compensation expense as follows: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0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56"/>
        </w:trPr>
        <w:tc>
          <w:tcPr>
            <w:tcW w:w="47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3"/>
          </w:tcPr>
          <w:p>
            <w:pPr>
              <w:jc w:val="right"/>
              <w:ind w:right="5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64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shd w:val="clear" w:color="auto" w:fill="CFF0FC"/>
          </w:tcPr>
          <w:p>
            <w:pPr>
              <w:spacing w:after="0"/>
              <w:rPr>
                <w:sz w:val="19"/>
                <w:szCs w:val="19"/>
                <w:color w:val="auto"/>
              </w:rPr>
            </w:pP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220" w:type="dxa"/>
            <w:vAlign w:val="bottom"/>
          </w:tcPr>
          <w:p>
            <w:pPr>
              <w:spacing w:after="0"/>
              <w:rPr>
                <w:sz w:val="19"/>
                <w:szCs w:val="19"/>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8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3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3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2"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3769.5%</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SaaS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increase in net revenue was primarily attributable to increased direct sales volume of $8.4 million, or a 21.0% increase, from increased pricing, growth in our existing sustain product portfolio, including the impact of products released in the second half of 2019, and our current year launches. We also saw an increase in wholesale revenue of $9.8 million versus the prior year primarily from the sale of PPE during the current period. Finally, our managed SaaS revenue was flat for the three months ended September 30, 2020 as compared to the comparable prior period.</w:t>
      </w:r>
    </w:p>
    <w:p>
      <w:pPr>
        <w:spacing w:after="0" w:line="27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08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56"/>
        </w:trPr>
        <w:tc>
          <w:tcPr>
            <w:tcW w:w="47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4"/>
          </w:tcPr>
          <w:p>
            <w:pPr>
              <w:jc w:val="right"/>
              <w:ind w:right="8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appliances (i.e., dehumidifiers and air</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conditioners)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2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35,241</w:t>
            </w:r>
          </w:p>
        </w:tc>
        <w:tc>
          <w:tcPr>
            <w:tcW w:w="80" w:type="dxa"/>
            <w:vAlign w:val="bottom"/>
            <w:shd w:val="clear" w:color="auto" w:fill="CFF0FC"/>
          </w:tcPr>
          <w:p>
            <w:pPr>
              <w:spacing w:after="0"/>
              <w:rPr>
                <w:sz w:val="20"/>
                <w:szCs w:val="20"/>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Small home appliances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Cosmetics, skincare, and heath supplements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Hair appliances and accessories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others</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 revenue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Managed SaaS</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revenue</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58,783</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Environmental appliances (i.e., dehumidifiers and air conditioners) accounted for approximately $27.1 million in net revenue for the three months ended September 30, 2019 and grew to $35.2 million for the three months ended September 30, 2020. This increase is principally due to the launch of new products over the last year which were not sold during the prior year comparable quarter offset by inventory shorts. Net revenue for our small home appliances products decreased $1.6 million for the three months ended September 30, 2020 as compared to the prior year comparable quarter due to inventory shorts. Cosmetics, skincare and heath supplements generated $2.6 million in net revenue for the three months ended September 30, 2020 as compared to $2.6 million for the three months ended September 30, 2019. Net revenue from cookware, kitchen tools and gadgets increased approximately $0.1 million during the three months ended September 30, 2020 from the prior year comparable period as we focused on certain product categories, reducing the SKUs managed and sold in this category. We recorded higher sales of hair appliances and accessories and all other categories, increasing from $1.2 million in the three months ended September 30, 2019 to $3.8 million in the three months ended September 30, 2020 from product launches in various other categories.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Margin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5"/>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23,076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17,527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24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580" w:type="dxa"/>
            <w:vAlign w:val="bottom"/>
          </w:tcPr>
          <w:p>
            <w:pPr>
              <w:spacing w:after="0"/>
              <w:rPr>
                <w:sz w:val="20"/>
                <w:szCs w:val="20"/>
                <w:color w:val="auto"/>
              </w:rPr>
            </w:pPr>
          </w:p>
        </w:tc>
      </w:tr>
      <w:tr>
        <w:trPr>
          <w:trHeight w:val="643"/>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bookmarkStart w:id="31" w:name="page32"/>
    <w:bookmarkEnd w:id="31"/>
    <w:p>
      <w:pPr>
        <w:ind w:right="580"/>
        <w:spacing w:after="0" w:line="282" w:lineRule="auto"/>
        <w:rPr>
          <w:sz w:val="20"/>
          <w:szCs w:val="20"/>
          <w:color w:val="auto"/>
        </w:rPr>
      </w:pPr>
      <w:r>
        <w:rPr>
          <w:rFonts w:ascii="Times New Roman" w:cs="Times New Roman" w:eastAsia="Times New Roman" w:hAnsi="Times New Roman"/>
          <w:sz w:val="18"/>
          <w:szCs w:val="18"/>
          <w:color w:val="auto"/>
        </w:rPr>
        <w:t>The increase in cost of goods sold was primarily attributable to increased sales volume due to growth in our existing product portfolio and impact of products released in the second half of 2019.</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margin improved to 47.8% for the three months ended September 30, 2020 compared to 43.2% for the three months ended September 30, 2019. The improvement in gross margin was due to a decrease in overall cost of product per unit as a result of increased sales prices and improved pricing from our manufacturers including favorable volume discounts.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18,111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increased to $18.9 million for the three months ended September 30, 2020 from $18.1 million for the three months ended September 30, 2019. These increases are attributable primarily to the increase in the volume of products sold in the three months ended September 30, 2019. For the three months ended September 30, 2020, our sales and distribution fixed costs (i.e., salary and office expenses) decreased slightly to $1.3 million from $1.4 million for the comparable prior year period due to continued optimization of our logistic networks fixed costs. The three months ended September 30, 2020 included a decrease in stock-based compensation expense of $1.6 million to $0.8 million from $2.4 million in the comparable prior year period due to the completion of expensing of certain tranches of restricted stock awards previously granted pursuant to the Mohawk Group Holdings, Inc. 2019 Equity Plan (the “2019 Equity Plan”).</w:t>
      </w:r>
    </w:p>
    <w:p>
      <w:pPr>
        <w:spacing w:after="0" w:line="19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decreased to 32.2% for the three months ended September 30, 2020 from 44.6% for the three months ended September 30, 2019 while our net revenue volume grew over 44%. E-commerce platform commissions, online advertising and logistics expenses included within sales and distribution expenses, as a percentage of net revenue, were 28.7% for the three months ended September 30, 2020 as compared to 35.2% for the three months ended September 30, 2019. This decrease was due to our warehouse expansion, which has led to reduced last mile shipping cost due to shorter distances and improved pricing with our delivery partners. We believe that e-commerce customers prefer to have delivery of their purchases as soon as possible (i.e., in one day). In an effort to deliver products as soon as possible, while managing our logistics spend, late in the second quarter of 2018, we began to fulfill product sales ourselves by leveraging our direct fulfillment platform (i.e., FBM) through third-party warehouses, instead of fulfilling through e-commerce platform service providers (i.e., FBA), which allowed us to reduce our logistics spend and improve our product unit economics, especially on oversized goods. During the first half of 2020, we added five third-party FBM warehouses to our direct fulfillment platform, enabling One Day Prime delivery for approximately 80% of the United States, based on our sales history. Expanding our third-party warehouse locations to have greater geographic reach, reduces the average last mile shipping zones to the end customer and as such our speed of deliver improves while our shipping costs to customers decreases, prior to the impacts in shipping providers rates.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3,226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was primarily attributable to a decrease of stock-based compensation expense of $1.1 million due to the completion of expensing of certain tranches of restricted stock awards previously granted pursuant to the 2019 Equity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5"/>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9"/>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10,261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(3,062)</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2" w:name="page33"/>
    <w:bookmarkEnd w:id="32"/>
    <w:p>
      <w:pPr>
        <w:ind w:right="80"/>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attributable to a decrease of stock-based compensation expense of $3.7 million due to the completion of expensing of certain tranches of restricted stock awards previously granted pursuant to the 2019 Equity Plan. This decrease was offset by an increase of $0.5 million in fixed costs primarily related to the cost of being a public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slight increase in interest expense, net was primarily related to an increase in interest expense under the three-year $25.0 million revolving credit facility with MidCap (the “Credit Facility”) as the average borrowings in the period were slightly higher as compared to the prior year comparable quarter.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2019 and 2020, together with the changes in those items in dollars and percentages: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w:t>
            </w:r>
          </w:p>
        </w:tc>
      </w:tr>
      <w:tr>
        <w:trPr>
          <w:trHeight w:val="230"/>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Sales and distribution expenses (1)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r>
      <w:tr>
        <w:trPr>
          <w:trHeight w:val="20"/>
        </w:trPr>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stock-based compensation expense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70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3"/>
          </w:tcPr>
          <w:p>
            <w:pPr>
              <w:jc w:val="right"/>
              <w:ind w:right="5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260" w:type="dxa"/>
            <w:vAlign w:val="bottom"/>
            <w:gridSpan w:val="2"/>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64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8"/>
        </w:trPr>
        <w:tc>
          <w:tcPr>
            <w:tcW w:w="5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tcPr>
          <w:p>
            <w:pPr>
              <w:spacing w:after="0"/>
              <w:rPr>
                <w:sz w:val="19"/>
                <w:szCs w:val="19"/>
                <w:color w:val="auto"/>
              </w:rPr>
            </w:pP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220" w:type="dxa"/>
            <w:vAlign w:val="bottom"/>
          </w:tcPr>
          <w:p>
            <w:pPr>
              <w:spacing w:after="0"/>
              <w:rPr>
                <w:sz w:val="19"/>
                <w:szCs w:val="19"/>
                <w:color w:val="auto"/>
              </w:rPr>
            </w:pP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70"/>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3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156"/>
        </w:trPr>
        <w:tc>
          <w:tcPr>
            <w:tcW w:w="46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 The following table sets forth our net revenue disaggregated by product categories:</w:t>
      </w:r>
    </w:p>
    <w:p>
      <w:pPr>
        <w:spacing w:after="0" w:line="35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1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127,358</w:t>
            </w:r>
          </w:p>
        </w:tc>
        <w:tc>
          <w:tcPr>
            <w:tcW w:w="4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SaaS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240" w:type="dxa"/>
            <w:vAlign w:val="bottom"/>
            <w:vMerge w:val="continue"/>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increase in net revenue was primarily attributable to an increase in direct sales volume of $41.0 million, or 47.4% from increased pricing, growth in our existing sustain product portfolio, including the impact of products released in the second half of 2019, and our current year launches.. We also saw an increase in wholesale revenue of $14.6 million versus the prior year primarily from the sale of PPE during the current period. Finally, we saw a decrease in our managed SaaS revenue of $0.2 million in the nine months ended September 30, 2020 as we completed certain contracts in 2019.</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08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47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4"/>
          </w:tcPr>
          <w:p>
            <w:pPr>
              <w:jc w:val="right"/>
              <w:ind w:right="8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appliances (i.e., dehumidifiers and air</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conditioners)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52,757</w:t>
            </w:r>
          </w:p>
        </w:tc>
        <w:tc>
          <w:tcPr>
            <w:tcW w:w="22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83,103</w:t>
            </w:r>
          </w:p>
        </w:tc>
        <w:tc>
          <w:tcPr>
            <w:tcW w:w="80" w:type="dxa"/>
            <w:vAlign w:val="bottom"/>
            <w:shd w:val="clear" w:color="auto" w:fill="CFF0FC"/>
          </w:tcPr>
          <w:p>
            <w:pPr>
              <w:spacing w:after="0"/>
              <w:rPr>
                <w:sz w:val="20"/>
                <w:szCs w:val="20"/>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Small home appliances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Cosmetics, skincare, and heath supplements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8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8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Hair appliances and accessories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others</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product revenue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143,166</w:t>
            </w:r>
          </w:p>
        </w:tc>
        <w:tc>
          <w:tcPr>
            <w:tcW w:w="8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Managed SaaS</w:t>
            </w: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FF0FC"/>
          </w:tcPr>
          <w:p>
            <w:pPr>
              <w:spacing w:after="0"/>
              <w:rPr>
                <w:sz w:val="19"/>
                <w:szCs w:val="19"/>
                <w:color w:val="auto"/>
              </w:rPr>
            </w:pPr>
          </w:p>
        </w:tc>
      </w:tr>
      <w:tr>
        <w:trPr>
          <w:trHeight w:val="223"/>
        </w:trPr>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revenue</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Environmental appliances (i.e., dehumidifiers and air conditioners) accounted for approximately $52.8 million in net revenue for the nine months ended September 30, 2019 and grew to $83.1 million for the nine months ended September 30, 2020. This increase is principally due to the launch of new products over the last year which were not sold during the prior year comparable quarter. We continued to expand our small home appliances products, which increased $3.2 million in net revenue to $20.6 million for the nine months ended September 30, 2020 as compared to the prior year comparable quarter. Cosmetics, skincare and heath supplements generated $9.0 million in net revenue for the nine months ended September 30, 2020 as compared to $8.3 million for the nine months ended September 30, 2019. Net revenue from cookware, kitchen tools and gadgets was down approximately $0.8 million during the nine months ended September 30, 2020 from the prior year comparable period as we focused on certain product categories, reducing</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4" w:name="page35"/>
    <w:bookmarkEnd w:id="34"/>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the SKUs managed and sold in this category. We recorded higher sales of hair appliances and accessories and all other categories from $3.8 million in the nine months ended September 30, 2019 to $11.4 million in the nine months ended September 30, 2020 from product launches in various other categories.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Margin</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52,859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35,958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65,994</w:t>
            </w:r>
          </w:p>
        </w:tc>
        <w:tc>
          <w:tcPr>
            <w:tcW w:w="24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r>
    </w:tbl>
    <w:p>
      <w:pPr>
        <w:spacing w:after="0" w:line="19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increase in cost of goods sold was primarily attributable to increased sales volume from growth in our existing product portfolio and the impact of products released in the second half of 2019.</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Gross margin improved to 45.7% for the nine months ended September 30, 2020 compared to 40.5% for the nine months ended September 30, 2019. The improvement in gross margin was due to a decrease in overall cost of product per unit as a result of increased sale prices and improved pricing from our manufacturers including favorable volume discounts.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41,094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r>
    </w:tbl>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increased from $41.1 million for the nine months ended September 30, 2020 to $51.5 million for the nine months ended September 30, 2020. This increase is attributable primarily to the increase in the volume of products sold in the nine months ended September 30, 2020. Our sales and distribution fixed costs (i.e., salary and office expenses) increased slightly to $4.2 million during the nine months ended September 30, 2020 from $4.1 million for the nine months ended September 30, 2019, as we expanded our fulfillment network support costs. Sales and distribution expenses also included a decrease in stock-based compensation expense of $3.4 million to $1.8 million in the nine months ended September 30, 2020 as compared to the prior year period due to expense reversals from the termination of certain employees whose stock grants did not vest and the completion of vesting of certain stock grants during the period which are no longer expensed.</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decreased to 35.7% for the nine months ended September 30, 2020 from 46.3% for the nine months ended September 30, 2019 as we continue to realize the economies of our platform as our net revenue volumes grow. E-commerce platform commissions, online advertising and logistics expenses included within sales and distribution expenses, as a percentage of net revenue, were 31.5% for the nine months ended September 30, 2020 as compared to 35.8% for the nine months ended September 30, 2019. This decreased due to our warehouse expansion, which has led to reduced last mile shipping costs due to shorter distances and improved pricing with our delivery partners, which took effect in April 2020. We believe that e-commerce customers prefer to have delivery of their purchases as soon as possible (i.e., in one day). In an effort to deliver products as soon as possible, while managing our logistics spend, late in the second quarter of 2018, we began to fulfill product sales ourselves by leveraging our direct fulfillment platform (i.e., FBM) through third-party warehouses, instead of fulfilling through e-commerce platform service providers (i.e., FBA), which allowed us to reduce our logistics spend and improve our product unit economics, especially on oversized goods. During the nine months ended September 30, 2020, we added five third-party FBM warehouses to our direct fulfillment platform, enabling One Day Prime delivery for approximately 80% of the United States, based on our sales history. Expanding our third-party warehouse locations to have greater geographic reach, reduces the average last mile shipping zones to the end customer and as such our speed of deliver improves while our shipping costs to customers decreases, prior to the impacts in shipping providers rates.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0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7,731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decrease in research and development expenses was attributable to a decrease of stock-based compensation expense of $0.7 million due to the expensing of certain new equity awards granted after June 2019 which vested during the period, compounded by a decrease in fixed costs of $0.4 million as we continue to centralize our research and development into fewer locations, primarily in Poland.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0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23,932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attributable to stock-based compensation expense of $3.1 million due to the completion of vesting of certain stock grants during the period which are no longer expensed. This decrease has been offset by an increase in insurance costs, primarily directors’ and officers’ liability insurance and other public company costs of $2.7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4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4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3,368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was primarily related to decreased interest expense under the Credit Facility as the average borrowings were lower period over period, a decrease in interest rates and a slight increase in interest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2019 and 2020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2019 and 2020, respectively:</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 operating activities</w:t>
            </w:r>
          </w:p>
        </w:tc>
        <w:tc>
          <w:tcPr>
            <w:tcW w:w="8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(13,146)</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(14,065)</w:t>
            </w: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19"/>
                <w:szCs w:val="19"/>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restricted cash for period</w:t>
            </w: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$13.1 million for the nine months ended September 30, 2019 and was driven primarily by our net cash losses from operations of $14.1 million offset by cash from working capital of $1.0 million from changes in accounts receivable, purchase of inventory and insurance and payments of accounts payable. Net cash provided by operating activities was $7.6 million for the nine months ended September 30, 2020, resulting from our net cash losses from operations of $0.1 million offset by cash from working capital of 7.7 million from changes in accounts receivable, purchase of inventory and insurance and payments of accounts payable.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2019 was primarily from the acquisition of the assets of Aussie Health for $1.1 million. Net cash used in investing activities for the nine months ended September 30, 2020 was primarily from the acquisition of the assets of Truweo (the “Truweo Assets”) for $14.0 million.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$29.7 million for the nine months ended September 30, 2019 and was driven primarily by our initial public offering (the “IPO”), increased borrowings under the Credit Facility and insurance financing proceeds, net. Net cash provided by financing activities of $13.5 million for the nine months ended September 30, 2020 was primarily from $23.4 million of net proceeds received from our underwritten public offering that was completed in August 2020 and was offset by repayments on the Credit Facility of $8.7 million and repayments of the five-year $15.0 million term loan with Horizon Term (the “Term Loan”) of $1.0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Initial Public Offering</w:t>
      </w:r>
    </w:p>
    <w:p>
      <w:pPr>
        <w:spacing w:after="0" w:line="11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Liquidity and Going Concern—</w:t>
      </w:r>
      <w:r>
        <w:rPr>
          <w:rFonts w:ascii="Times New Roman" w:cs="Times New Roman" w:eastAsia="Times New Roman" w:hAnsi="Times New Roman"/>
          <w:sz w:val="18"/>
          <w:szCs w:val="18"/>
          <w:color w:val="auto"/>
        </w:rPr>
        <w:t>We are an early-stage growth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endeavor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continuously invest in the launch of new products,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our software, and the expansion of our sales and distribution infrastructure in order to accelerate revenue growth and scale operations to support such growth. To fund these investments, we have historically obtained financing and raised capital since our inception with the expectation of generating profits in the future. We intend to continue to our strategy of investing in growth by launching new products, developing our software and expanding our sales and distribution operations for the foreseeable future.</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a result of our historical investments, we have incurred operating losses since our inception, which includes operating losses of $54.3 million and $15.6 million for the year ended December 31, 2019 and the nine months ended September 30, 2020, respectively, had an accumulated deficit of $129.8 million and $148.6 million at December 31, 2019 and September 30, 2020, respectively, cash on hand of $30.4 million and $37.4 million at December 31, 2019 and September 30, 2020, respectively, total outstanding borrowings from lenders of $35.1 million and $28.7 million at December 31, 2019 and September 30, 2020, respectively, and no available capacity on borrowings at December 31, 2019 and $0.4 million at September 30, 2020. Since our inception, we have raised $125.4 million in equity financing to fund our operations, including the net proceeds from our IPO, and our recent underwritten public offering completed on August 26, 2020.</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our review of the September 30, 2020 condensed consolidated financial statements, our financial forecast for the next 12 months included revenue growth, margin expansion, a reduction of certain fixed costs, an improvement in inventory management and a reduction in operating cash deficit. In addition, we anticipated that we would not breach our financial covenants associated with our existing credit facility or term loan for the next twelve months. Currently, we have met or exceeded our forecasts over the past three quarters and have recently raised $23.4 million in equity financing earmarked to acquire, invest in or license complementary products, technologies or businesses. On August 26, 2020, we completed the acquisition of the Truweo Assets for $16.4 million, of which $2.4 million was in an unsecured promissory note (See Note 10 Acquisition, of our condensed consolidated financial statements in this Quarterly Report on Form 10-Q). However, due to our short operating history, our short history of meeting and exceeding our forecasts and our strategy of investing in growth, there are no assurances that we will continue to meet or exceed our forecasts or that we will be able to maintain sufficient liquidity to fund operations and/or compliance with our covenants without future equity investments or issuance of debt from outside sources. In the event of a breach of our financial covenants under the Credit Facility and/or our Term Loan, outstanding borrowings would become due on demand absent a waiver from the lenders.</w:t>
      </w:r>
    </w:p>
    <w:p>
      <w:pPr>
        <w:spacing w:after="0" w:line="1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while we anticipate we will remain in compliance with the covenants prescribed by our existing financing arrangements (See Note 6 – Credit Facility and Term Loans, of our condensed consolidated financial statements in this Quarterly Report on Form 10-Q), there can be no assurance that our operating forecast and cash flows for the twelve months following the issuance of the accompanying condensed consolidated financial statements will be attained such that we will be able to maintain compliance with these covenants or generate sufficient liquidity to fund ongoing operations. Our short operating history of meeting and exceeding our forecasts, the COVID-19 pandemic (see below), our current strategy of investing in growth and these negative financial conditions raise substantial doubt about our ability to continue as a going concern as of September 30, 2020.</w:t>
      </w:r>
    </w:p>
    <w:p>
      <w:pPr>
        <w:spacing w:after="0" w:line="187" w:lineRule="exact"/>
        <w:rPr>
          <w:sz w:val="20"/>
          <w:szCs w:val="20"/>
          <w:color w:val="auto"/>
        </w:rPr>
      </w:pPr>
    </w:p>
    <w:p>
      <w:pPr>
        <w:ind w:right="560"/>
        <w:spacing w:after="0" w:line="313"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on the basis that we will continue to operate as a going concern and, as such, include no adjustments that might be necessary in the event that we are unable to operate on this basis.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7" w:name="page38"/>
    <w:bookmarkEnd w:id="37"/>
    <w:p>
      <w:pPr>
        <w:ind w:right="180"/>
        <w:spacing w:after="0" w:line="256" w:lineRule="auto"/>
        <w:rPr>
          <w:sz w:val="20"/>
          <w:szCs w:val="20"/>
          <w:color w:val="auto"/>
        </w:rPr>
      </w:pPr>
      <w:r>
        <w:rPr>
          <w:rFonts w:ascii="Times New Roman" w:cs="Times New Roman" w:eastAsia="Times New Roman" w:hAnsi="Times New Roman"/>
          <w:sz w:val="18"/>
          <w:szCs w:val="18"/>
          <w:color w:val="auto"/>
        </w:rPr>
        <w:t>We plan to continue to closely monitor our operating forecast and cash flows and may pursue additional sources of financing and/or capital to fund our operations, if necessary. If we are unable to improve operating results, increase operating cash inflows, and/or obtain additional sources of financing and capital on acceptable terms (if at all), we may have to make significant changes to our operating plan, such as delay expenditures, reduce investments in new products, delay the development of software, reduce our sale and distribution infrastructure, or otherwise significantly reduce the scope of our business. The accompanying condensed consolidated financial statements do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January 30, 2020, the World Health Organization (the “WHO”) announced a global health emergency because of a new strain of coronavirus (“COVID-19”) originating in Wuhan, China and the risks to the international community as the virus spreads globally beyond its point of origin. In March 2020, the WHO classified COVID-19 as a pandemic, based on the rapid increase in exposure globally. The full impact of the COVID-19 pandemic, including the impact associated with preventative and precautionary measures that we, other businesses and governments are taking, continues to evolve as of the date of this report. As such, the future impact on our personnel, business and global operations, and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we may be unable to launch new products, replenish inventory for existing products, ship into or receive inventory into our third-party warehouses or ship or sell products to customers, in each case on a timely basis or at all. We may also be unable to forecast demand for our products during the pendency of this pandemic and may experience a substantial decrease in the demand for our products, most of which are considered not essential. In addition, the majority of our personnel are currently working remotely, which creates challenges in the way we operate our business, including, but not limited to, how we test products and our ability to meet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Due to the uncertainty as to the severity and duration of the pandemic, the impact on our future revenues, profitability, liquidity, financial condition, business and results of operations is uncertain at this time.</w:t>
      </w:r>
    </w:p>
    <w:p>
      <w:pPr>
        <w:spacing w:after="0" w:line="19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While we have been preserving our liquidity and capital resources through various actions, which have included delaying and negotiating the delay of payments to certain vendors, the effect of such actions could have an adverse impact on our business, including our relationships with these vendors.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 In light of the uncertainty as to the severity and duration of the COVID-19 pandemic, we may be unable to remain in compliance with the terms of our existing loan agreements and may be unable to secure a waiver, which could have an adverse impact on our business, prospects and financial condition and we may seek additional financing options. We expect that any financing, if successful, will be expensive and/or dilutive.</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COVID-19 pandemic began to have an unfavorable impact on us, including our key manufacturing partners, in January 2020. Substantially all of our products are sourced and manufactured in China, including new products that we expect to launch during 2020. In addition, we rely on our team in Shenzhen for a number of functions relating to product sourcing and development, among other things. Our key manufacturing partner in China re-opened its facilities as of February 10, 2020 and reached over 90% capacity early in March 2020. This key manufacturer is expected to manufacture over 30% of our inventory in 2020.</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date we have had few overall negative impacts to our business and operations from the COVID-19 pandemic. As reported, we have seen over 44% growth in our net revenues for the three months ended September 30, 2020 versus the same quarter in the prior year. The shift of consumer spending from traditional retail to online spending has increased dramatically due to the COVID-19 pandemic. This has benefited us as historically over 90% of our revenues come from the sale of products online in the U.S. and we believe this shift to increased online consumer spending will continue even after the COVID-19 pandemic ends. Our investments in our infrastructure and software and our expansion of our third party warehousing network have also allowed us to continue to deliver our products, even when Amazon itself limited its delivery services. We have had no material impacts to our vendor or other business relationships to date as we in certain circumstances have negotiated improved credit and other terms. Further, to date, none of our key operations vendors has had any negative impacts related to COVID-19 or changes which have negatively affected our business, our borrowing capabilities or financial covenants. Though the COVID-19 pandemic is fluid, we believe at this time that our business may continue to minimize the impact, if any, from this current pandemic given our ability to work remotely, continued consumer demand for products on e-commerce channels and the business continuity plans of our key manufacturing partners and other vendors. We believe this combination of factors may help to mitigate risk from the COVID-19 pandemic.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Variable Interest Entities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compared to the critical accounting policies and significant judgments and estimates as disclosed in our Annual Report on Form 10-K filed with the SEC on March 30, 2020. For additional information, please refer to Note 2 of our condensed consolidated financial statements in this Quarterly Report on Form 10-Q.</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have outstanding debt under the Amended and Restated Credit Agreement, dated as of November 23, 2018, with MidCap as Agent and the lenders party thereto, as amended (the “MidCap Credit Agreement”) that bears interest. As of September 30, 2020, our outstanding indebtedness under the Credit Facility was $14.2 million, which bears interest at a rate of the London Interbank Offered Rate (“LIBOR”) plus 5.75%. We also have outstanding debt under the Term Loan. As of September 30, 2020, our outstanding indebtedness under the Term Loan was $14.0 million, which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We do not believe that an immediate 10% increase in interest rates would have a material effect on interest expense for the Credit Facility or the Term Loan, and therefore we do not expect our operating results or cash flows to be materially affected to any degree by a sudden change in market interest.</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less than 1% of our net revenue for each of the three months ended September 30, 2019 and 2020.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Inflation would generally affect us by increasing our cost of labor and overhead costs. We do not believe that inflation had a material effect on our business, financial condition or results of operations for each of the three months ended September 30, 2019 and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2020, our Chief Executive Officer and Chief Financial Officer concluded that, as a result of material weaknesses in our internal control over financial reporting as previously disclosed in our Annual Report on Form 10-K for December 31, 2019, our disclosure controls and procedures were not effective as of September 30, 2020.</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40" w:name="page41"/>
    <w:bookmarkEnd w:id="40"/>
    <w:p>
      <w:pPr>
        <w:ind w:right="420"/>
        <w:spacing w:after="0" w:line="282" w:lineRule="auto"/>
        <w:rPr>
          <w:sz w:val="20"/>
          <w:szCs w:val="20"/>
          <w:color w:val="auto"/>
        </w:rPr>
      </w:pPr>
      <w:r>
        <w:rPr>
          <w:rFonts w:ascii="Times New Roman" w:cs="Times New Roman" w:eastAsia="Times New Roman" w:hAnsi="Times New Roman"/>
          <w:sz w:val="18"/>
          <w:szCs w:val="18"/>
          <w:color w:val="auto"/>
        </w:rPr>
        <w:t>As previously reported in our Annual Report on Form 10-K for December 31, 2019, we have identified the material weaknesses set forth below in our internal control over financial reporting:</w:t>
      </w:r>
    </w:p>
    <w:p>
      <w:pPr>
        <w:spacing w:after="0" w:line="67" w:lineRule="exact"/>
        <w:rPr>
          <w:sz w:val="20"/>
          <w:szCs w:val="20"/>
          <w:color w:val="auto"/>
        </w:rPr>
      </w:pPr>
    </w:p>
    <w:p>
      <w:pPr>
        <w:ind w:left="740" w:right="500" w:hanging="368"/>
        <w:spacing w:after="0" w:line="282"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effective monitoring controls over user access within the information technology (“IT”) systems and program change-management over certain IT systems that support our financial reporting processes;</w:t>
      </w:r>
    </w:p>
    <w:p>
      <w:pPr>
        <w:sectPr>
          <w:pgSz w:w="11900" w:h="16838" w:orient="portrait"/>
          <w:cols w:equalWidth="0" w:num="1">
            <w:col w:w="11240"/>
          </w:cols>
          <w:pgMar w:left="320" w:top="553" w:right="339" w:bottom="1440" w:gutter="0" w:footer="0" w:header="0"/>
        </w:sectPr>
      </w:pP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lacked proper review controls over account reconciliations and journal entries. Further due to the limited size of the department there is a lack of segregation of duties with regard to posting journal entries;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and finance</w:t>
      </w:r>
    </w:p>
    <w:p>
      <w:pPr>
        <w:spacing w:after="0" w:line="333" w:lineRule="exact"/>
        <w:rPr>
          <w:sz w:val="20"/>
          <w:szCs w:val="20"/>
          <w:color w:val="auto"/>
        </w:rPr>
      </w:pPr>
    </w:p>
    <w:p>
      <w:pPr>
        <w:sectPr>
          <w:pgSz w:w="11900" w:h="16838" w:orient="portrait"/>
          <w:cols w:equalWidth="0" w:num="3">
            <w:col w:w="440" w:space="300"/>
            <w:col w:w="8600" w:space="120"/>
            <w:col w:w="1780"/>
          </w:cols>
          <w:pgMar w:left="320" w:top="553" w:right="339" w:bottom="1440" w:gutter="0" w:footer="0" w:header="0"/>
          <w:type w:val="continuous"/>
        </w:sectPr>
      </w:pPr>
    </w:p>
    <w:p>
      <w:pPr>
        <w:ind w:left="740" w:right="220" w:hanging="368"/>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have effective controls to ensure there was comprehensive analysis, documentation, and review over the recognition of stock-based compensation expense; and</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have effective review controls over consideration of the relevant accounting and disclosure guidance.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to Remediate the Material Weaknesses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2019, we implemented the following controls in order to remediate the previously disclosed material weaknesses:</w:t>
      </w:r>
    </w:p>
    <w:p>
      <w:pPr>
        <w:spacing w:after="0" w:line="117" w:lineRule="exact"/>
        <w:rPr>
          <w:sz w:val="20"/>
          <w:szCs w:val="20"/>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and documented closing, GAAP and SEC checklist maintenance and review;</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accounting position memos and supporting documentation;</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system controls and additional mitigating controls around journal entry preparation and posting;</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additional security access and password controls within our accounting system;</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formal program change management controls within and around our accounting systems;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review and control processes for month-end closing reconciliations.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year-ending December 31, 2020, we intend to continue improving on and testing these controls to ensure they are operating effectively. However, we cannot be certain that the measures we have taken or may take in the future will ensure that we establish and maintain adequate controls over our financial processes and reporting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noted above, to remediate the previously disclosed material weaknesses in our internal control over financial reporting, we formalized and added closing checklists, formalized and documented accounting positions, improved our systems and added formal controls around journal entries and month-end closing reconciliations. Further, we hired a third-party firm in the second quarter of 2020 to assist us in risk and gap analysis, improved documentation and testing of our internal controls. There were no other changes in our internal control over financial reporting during the three months ended September 30, 2020, that have materially affected, or are reasonably likely to materially affect, our internal control over financial reporting.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You should carefully consider the factors discussed in Part I, Item 1A. “Risk Factors” in our Annual Report on Form 10-K for the year ended December 31, 2019, filed with the SEC on March 30, 2020, which could materially affect our business, financial condition, cash flows or future results. The risks described in our Annual Report on Form 10-K for the year ended December 31, 2019 are not the only risks facing our company. Additional risks and uncertainties not currently known to us or that we currently deem to be immaterial also may materially adversely affect our business, financial condition or future results. </w:t>
      </w:r>
      <w:r>
        <w:rPr>
          <w:rFonts w:ascii="Times New Roman" w:cs="Times New Roman" w:eastAsia="Times New Roman" w:hAnsi="Times New Roman"/>
          <w:sz w:val="18"/>
          <w:szCs w:val="18"/>
          <w:color w:val="212529"/>
        </w:rPr>
        <w:t>Except as presented below, there have been no material changes from the risk factors associated with our business previously disclosed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Form 10-K.</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have seen an increase in our net revenue since March 2020 and through the date of this Quarterly Report on Form 10-Q, the future impact that the COVID-19 pandemic may have on our personnel, business and global operations, and on our suppliers, logistics providers, marketplaces and other business partners is uncertain and cannot be reasonably estimated at this time. Given the nature of the COVID-19 pandemic, it is possible that any and every aspect of our value chain could be disrupted, and such impact could have a material adverse impact on our business, financial condition, operating results and prospects. For example, we may be unable to launch new products, replenish inventory for existing products, ship into or receive inventory in our third-party warehouses or ship or sell products to customers, in each case on a timely basis or at all. We also may be unable to forecast demand for our products during the pendency of this pandemic and we may experience a substantial decrease in the demand for our products, most of which are considered not essential. In addition, the majority of our personnel are currently working remotely which creates challenges in the way we operate our business, including with respect to the manner in which we ensure the quality of our products and meet our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Due to the uncertainty as to the severity and duration of the pandemic, the impact on our future revenues, profitability, liquidity, financial condition, business and results of operations is uncertain at this time.</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we have been preserving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As of the date of this Quarterly Report on Form 10-Q, Sinosure has reinstated this insurance to levels that we believe are sufficient to fund our operations. In the future, we may not be able to maintain this insurance on a timely basis or at all, which would have a material impact on our working capital and our ability to fund our operations. In addition, our operations rely on third-parties to manufacture our products, to provide logistics and warehousing services and to facilitate sales of our products, and, accordingly, we rely on the business continuity plans of these third parties to operate during the pandemic and have limited ability to influence their plans. In light of the uncertainty as to the severity and duration of the pandemic, we may be unable to remain in compliance with the terms of our existing loan agreements and may be unable to secure a waiver which could have an adverse impact on our business, prospects and financial condition and we may seek additional financing options. We expect that any financing, if successful, will be expensive and/or dilutive.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short operating history in an evolving industry.</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success will depend in large part upon our ability to, among other things:</w:t>
      </w:r>
    </w:p>
    <w:p>
      <w:pPr>
        <w:spacing w:after="0" w:line="117" w:lineRule="exact"/>
        <w:rPr>
          <w:sz w:val="20"/>
          <w:szCs w:val="20"/>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inventory effectively;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retain and expand our consumer product offerings and geographic reach;</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in our business from information technology downtime, cybersecurity breaches or labor stoppages;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of our technology infrastructure and the quality of our consumer products;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features to enhance AIMEE’s functionality;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existing manufacturing vendors and attract new manufacturing vendors.</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launched numerous products over the last several quarters and have experienced a lower than expected success rate of products reaching the sustain phase. In addition, in certain instances, even when a product has reached the sustain phase, our forecasts, at times, have resulted in inventory overages. We recently launched our Holonix Health brand, which was developed to address the personal protective equipment and wellness product category in light of the COVID-19 pandemic. Our marketing strategy relies to a significant extent on our ability to sell such products on the Amazon marketplace and we can provide no assurances that we will be allowed to sell any such products on the Amazon marketplace or that we will be successful in selling our products in other sales channels.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our managed SaaS business is still nascent and we may be unable to successfully maintain or grow our managed SaaS business. Our managed SaaS business is primarily comprised of three brands under the control of single party primarily relating to supplements. We can provide no assurance that we will be successful in growing or retaining this business which would result in the loss of managed SaaS and associated reseller revenues. If we fail to address the risks and difficulties that we face, including those associated with the challenges listed above as well as those described elsewhere in this “Risk Factors” section, our business, financial condition and our operating results will be adversely affected.</w:t>
      </w:r>
    </w:p>
    <w:p>
      <w:pPr>
        <w:spacing w:after="0" w:line="28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any interruptions in shipping could adversely affect our operating results.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currently rely on three major vendors for our shipping. If we are not able to negotiate acceptable pricing and other terms with these entities or they experience performance problems or other difficulties, it could negatively impact our operating results and our customers’ experience. For example, our current shipping carrier unilaterally increased certain of our rates beginning in November of 2020. If we are unable to reduce these increased costs or if we are unable to successfully pass these costs on to consumers, certain of our products, including our over-sized products, may experience reduced sales and/or profitability. We are also subject to volatility in ocean freight rates that are driven, in part, by seasonality, capacity availability and other factors, including fuel-related regulations affecting the shipping industry. In addition, our ability to receive inbound inventory efficiently and ship merchandise to clients may be negatively affected by inclement weather, fire, flood, power loss, earthquakes, labor disputes, acts of war or terrorism, pandemics and similar factors. We are also subject to risks of damage or loss during delivery by our shipping vendors. If our products are not delivered in a timely fashion or are damaged or lost during the delivery process, our clients could become dissatisfied and cease using our products or services, which would adversely affect our business and operating results. Further, we rely on the business continuity plans of these third parties to operate during pandemics, like the COVID-19 pandemic, and we have limited ability to influence their plans, prevent delays, and/or cost increases due to reduced availability and capacity and increased required safety measures.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build and maintain strong product listings on e-commerce platforms. We may not be able to maintain and enhance our product listings if we receive unfavorable customer complaints, negative publicity or otherwise fail to</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live up to consumers’ expectations, which could materially adversely affect our business, results of operations and growth prospects.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Maintaining and enhancing our product listings is critical in expanding and growing our business. However, a significant portion of our perceived performance to the customer depends on third parties outside of our control, including suppliers and logistics providers such as FedEx, UPS, the U.S. Postal Service and other third-party delivery agents as well as online retailers such as Amazon and Walmart. Because our agreements with our online retail partners are generally terminable at will, we may be unable to maintain these relationships, and our results of operations could fluctuate significantly from period to period. Because we rely on third parties to deliver our products, we are subject to shipping delays or disruptions caused by inclement weather, natural disasters, labor activism, health epidemics or bioterrorism. We may also experience shipping delays or disruptions due to other carrier-related issues relating to their own internal operational capabilities, as we and other consumer product companies experienced during the fourth quarter of 2019 when Amazon placed limitations on the ability to use certain Fed Ex services. In addition, because we rely on national, regional and local transportation companies for the delivery of some of our other products, we are also subject to risks of breakage or other damage during delivery by any of these third parties. If these third parties do not meet our or our customers’ expectations, our brands may suffer irreparable damage. Further, we rely on the business continuity plans of these third parties to operate during pandemics, like the COVID-19 pandemic, and we have limited ability to influence their plans, prevent delays, and/or cost increases due to reduced availability and capacity and increased required safety measures.</w:t>
      </w:r>
    </w:p>
    <w:p>
      <w:pPr>
        <w:spacing w:after="0" w:line="8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maintaining and enhancing these brands may require us to make substantial investments, and these investments may not be successful. If we fail to promote and maintain our brands, or if we incur excessive expenses in this effort, our business, operating results and financial condition may be materially adversely affected. We anticipate that, as our market becomes increasingly competitive, maintaining and enhancing our brands may become increasingly difficult and expensive. Maintaining and enhancing our brands will depend largely on our ability to anticipate market trends and customer demand and to provide high quality products to our customers and a reliable, trustworthy and profitable sales channel to our suppliers, which we may not be able to do successfully.</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Customer complaints or negative publicity about our sites, products, delivery times, customer data handling and security practices, customer support or marketing strategies, even if not accurate, especially on blogs, social media websites and our sites, could rapidly and severely diminish consumer view of our product listings and result in harm to our brands. From time to time, incumbent competitors that we disrupt on the Amazon marketplace allege or may allege that we have engaged in unfair business practices, and though we believe such claims are without merit, time, resources or other actions we may take to defend against such claims may have an impact on our financial results and financial condition. Customers may also make safety-related claims regarding products sold through our online retail partners, such as Amazon, which may result in an online retail partner removing the product from its marketplace. We have from time to time experienced such removals and such removals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12529"/>
        </w:rPr>
        <w:t>On September 10, 2019, we completed the acquisition of the assets of a personal wellness company (the “Aussie Health Assets”), and on August 26, 2020, we completed the acquisition of assets of a consumer product business (the “Truweo Assets”). We may in the future seek to acquire or invest in other businesses, features or technologies that we believe could complement or expand our market,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In addition, to the extent that we enter into any term sheets or otherwise announce any intention to acquire any additional businesses, features or technologies, any such acquisition would generally be subject to completion of due diligence and required approvals, and would require additional financing, and there can be no assurance that any such acquisition will occur or be completed in a timely manner, or at all.</w:t>
      </w:r>
    </w:p>
    <w:p>
      <w:pPr>
        <w:spacing w:after="0" w:line="8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212529"/>
        </w:rPr>
        <w:t>If we acquire additional businesses, we may not be able to integrate the acquired personnel, operations, existing contracts and technologies successfully or effectively manage the combined business following the acquisition. We also may not achieve the anticipated benefits from the Aussie Health Assets, the Truweo Assets or any other acquired business due to a number of factors, including:</w:t>
      </w:r>
    </w:p>
    <w:p>
      <w:pPr>
        <w:spacing w:after="0" w:line="68" w:lineRule="exact"/>
        <w:rPr>
          <w:sz w:val="20"/>
          <w:szCs w:val="20"/>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inventory effectively;</w:t>
      </w:r>
    </w:p>
    <w:p>
      <w:pPr>
        <w:spacing w:after="0" w:line="117" w:lineRule="exact"/>
        <w:rPr>
          <w:rFonts w:ascii="Times New Roman" w:cs="Times New Roman" w:eastAsia="Times New Roman" w:hAnsi="Times New Roman"/>
          <w:sz w:val="18"/>
          <w:szCs w:val="18"/>
          <w:color w:val="auto"/>
        </w:rPr>
      </w:pPr>
    </w:p>
    <w:p>
      <w:pPr>
        <w:ind w:left="880" w:right="160" w:hanging="373"/>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all of the problems, liabilities or other shortcomings or challenges of an acquired company or technology, including issues related to intellectual property, regulatory compliance practices, product quality and safety, revenue recognition or other accounting practices, or employee or client issues;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ind w:left="880" w:right="660" w:hanging="373"/>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difficulty incorporating acquired technology and rights into our proprietary software and of maintaining quality and security standards consistent with </w:t>
      </w:r>
      <w:r>
        <w:rPr>
          <w:rFonts w:ascii="Times New Roman" w:cs="Times New Roman" w:eastAsia="Times New Roman" w:hAnsi="Times New Roman"/>
          <w:sz w:val="18"/>
          <w:szCs w:val="18"/>
          <w:color w:val="000000"/>
        </w:rPr>
        <w:t>our</w:t>
      </w:r>
      <w:r>
        <w:rPr>
          <w:rFonts w:ascii="Times New Roman" w:cs="Times New Roman" w:eastAsia="Times New Roman" w:hAnsi="Times New Roman"/>
          <w:sz w:val="18"/>
          <w:szCs w:val="18"/>
          <w:color w:val="212529"/>
        </w:rPr>
        <w:t xml:space="preserve"> brands;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 xml:space="preserve">inability to </w:t>
      </w:r>
      <w:r>
        <w:rPr>
          <w:rFonts w:ascii="Times New Roman" w:cs="Times New Roman" w:eastAsia="Times New Roman" w:hAnsi="Times New Roman"/>
          <w:sz w:val="18"/>
          <w:szCs w:val="18"/>
          <w:color w:val="000000"/>
        </w:rPr>
        <w:t>generate</w:t>
      </w:r>
      <w:r>
        <w:rPr>
          <w:rFonts w:ascii="Times New Roman" w:cs="Times New Roman" w:eastAsia="Times New Roman" w:hAnsi="Times New Roman"/>
          <w:sz w:val="18"/>
          <w:szCs w:val="18"/>
          <w:color w:val="212529"/>
        </w:rPr>
        <w:t xml:space="preserve"> sufficient revenue to offset acquisition or investment costs;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 or equity dilution associated with funding the acquisition;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markets or new product categories in which we have limited or no experience;</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customers of the acquired business into our customers;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other business concerns;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as a result of the acquisition;</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clients, vendors and suppliers from either our current business or an acquired company’s business;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 offs or impairment charges relating to acquired businesses;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matters covering the products of the acquired business;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12529"/>
        </w:rPr>
        <w:t>With respect to any acquisitions of businesses that primarily sell their products on Amazon or other marketplaces, we may determine to make changes to the target’s business practices to ensure regulatory and marketplace compliance. Such changes could have an adverse impact on the target’s future financial performance. In addition, the marketplaces on which a target has historically operated may suspend one or more product listings temporarily or permanently due to compliance issues that occurred prior to our acquisition of the target and such actions could have a material adverse impact on the acquired business’s financial performance.</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12529"/>
        </w:rPr>
        <w:t>In addition, a significant portion of the purchase price of companies we acquire may be allocated to acquired goodwill and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12529"/>
        </w:rPr>
        <w:t>Acquisitions could also result in dilutive issuances of equity securities or the incurrence of debt, which could adversely affect our operating results. If an acquired business fails to meet our expectations, our business, operating results and financial condition may suffer.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*We may not be able to sustain our revenue growth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recent revenue growth should not be considered indicative of our future performance. Specifically, our net revenue increased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12529"/>
        </w:rPr>
        <w:t>by 56.2% in 2019 compared to 2018, 101.0% in 2018 compared to 2017. As we grow our business, our revenue growth rates may slow in future periods due to a number of reasons, which may include our inability to successfully launch new products that reach our sustain phase and to keep those products in the sustain phase or to grow our managed SaaS business, as well as the maturation of our business.</w:t>
      </w:r>
    </w:p>
    <w:p>
      <w:pPr>
        <w:spacing w:after="0" w:line="21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believe that during 2019 investors placed significant focus on the ability of certain private and newly public companies to demonstrate sustained profitability instead of continuing higher levels of revenue growth at the expense of profitability. We may decide to delay certain investments in order to more quickly achieve profitability, and while such decisions may accelerate profitability on a sustained basis, we can provide no assurance that we will continue to be able to maintain or sustain the same levels of historic revenue growth.</w:t>
      </w:r>
    </w:p>
    <w:p>
      <w:pPr>
        <w:spacing w:after="0" w:line="22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in the first half of 2020, we have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5" w:name="page46"/>
    <w:bookmarkEnd w:id="45"/>
    <w:p>
      <w:pPr>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revenues are from sales of products on Amazon’s U.S. Marketplace and any change, limitation or restriction, even if temporary, on our ability to operate on Amazon’s platform could have a material adverse impact to our business, results of operations, financial condition and prospects.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sell substantially all of our products on Amazon’s U.S. marketplace and are subject to Amazon’s terms of service and various other Amazon seller policies and services that apply to third parties selling products on Amazon’s marketplace. Amazon has the right to terminate or suspend its agreement with us at any time and for any reason. Amazon may take other actions against us such as suspending or terminating a seller account or product listing and withholding payments owed to us indefinitely. For example, during the second quarter of 2020, Amazon suspended certain of our dehumidifier listings. While we endeavor to materially comply with the terms of services of the marketplaces on which we operate, and to provide our consumers with a great experience, we can provide no assurances that these marketplaces will have the same determination with respect to our compliance. In addition, we may not be able to promptly resolve any compliance issue, which could have a material impact on our financial condition, results of operations and prospects.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Amazon or any other marketplace on which we choose to sell can make changes to their respective platforms that could require us to change the manner in which we operate, limit our ability to successfully launch new products or increase our costs to operate and such changes could have an adverse effect on our business, results of operations, financial condition and prospects. Examples of changes that could impact us relate to platform fee charges (i.e., selling commissions), exclusivity, inventory warehouse availability, excluded products and limitations on sales and marketing. Any change, limitation or restriction on our ability to sell on Amazon’s platform, even if temporary, could have a material impact on our business, results of operations, financial condition and prospects.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rely on services provided by Amazon’s fulfillment platform, including Prime Certification, which provides for expedited shipping to the consumer, an important aspect in the buying decision for consumers. For products that we fulfill ourselves, we have qualified to offer our products for sale with Prime Certification delivery. Any inability to market our products for sale with expedited delivery provided under Prime Certification could have a material impact on our business, results of operations, financial condition and prospects. For example, in the third and fourth quarter of 2019, we temporarily experienced the loss of our Prime Certification delivery, and in addition, certain of our products were deemed not be eligible for Prime delivery based on Amazon’s determination of expected shipping dates. Failure to remain compliant with the best fulfillment practices on Amazon’s platform could have a material impact on our business, results of operations, financial condition and prospects.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in response to the COVID-19 pandemic, Amazon has recently implemented changes to its fulfillment services platform such that certain products deemed non-essential have extended delivery times and Amazon is currently not accepting goods to any of its warehouses that are deemed non-essential. The impact of this change could have a material effect on our revenues, profitability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accurately forecast revenues, profitability and appropriately plan our expenses.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base our current and future expense levels primarily on our operating forecasts and estimates of sales. Sales and operating results are difficult to forecast because they generally depend on a number of factors including our ability to launch new products on a timely basis and to accurately predict the success of those launches, which are uncertain. Additionally, our business is affected by general economic, business and other conditions around the world, in particular in the U.S. and China. We may be unable to adjust our spending in a timely manner to compensate for any unexpected shortfall in sales and operating results. If actual results differ from our estimates, our operating results and financial condition could be adversely impacted.</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during the second quarter of 2020, we began selling personal protective equipment (“PPE”) to state and local governments in the U.S. The market for PPE is volatile and unpredictable, and we have limited experience sourcing and selling PPE. While we expect to continue to sell PPE, we can provide no assurances that we will be successful in selling products to such state and local governments or to private businesses, that the products we deliver will be of sufficient quality or that we will receive timely payment. In addition, any failure in successfully delivering PPE to state and local governments may harm our business relationships with these state and local governments, our PPE manufacturers and ultimately our reputation.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importing and warehousing.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source all of the products we offer from third-party vendors and, as a result, we may be subject to price fluctuations or supply disruptions. Our operating results would be negatively impacted by increases in the prices of our products, and we have no guarantees that prices will not rise. In addition, as we expand into new categories and product types, we expect that we may not have strong purchasing power in these new areas, which could lead to higher costs than we have historically seen in our current categories. We may not be able to pass increased costs on to customers, which could adversely affect our operating results. Moreover, in the event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6" w:name="page47"/>
    <w:bookmarkEnd w:id="46"/>
    <w:p>
      <w:pPr>
        <w:ind w:right="20"/>
        <w:spacing w:after="0" w:line="253" w:lineRule="auto"/>
        <w:rPr>
          <w:sz w:val="20"/>
          <w:szCs w:val="20"/>
          <w:color w:val="auto"/>
        </w:rPr>
      </w:pPr>
      <w:r>
        <w:rPr>
          <w:rFonts w:ascii="Times New Roman" w:cs="Times New Roman" w:eastAsia="Times New Roman" w:hAnsi="Times New Roman"/>
          <w:sz w:val="18"/>
          <w:szCs w:val="18"/>
          <w:color w:val="auto"/>
        </w:rPr>
        <w:t>of a significant disruption in the supply of raw materials used in the manufacture of our products, the vendors that we work with might not be able to locate alternative suppliers of materials of comparable quality at an acceptable price. For example, natural disasters, or pandemics, have in the past increased raw material costs, impacting pricing with certain of our vendors, and caused shipping delays for certain of our products. We rely on the business continuity plans of these third parties to operate during natural disasters or pandemics, like the COVID-19 pandemic, and we have limited ability to influence their plans. The sourcing, manufacturing, importing or warehousing of our products could be significantly disrupted if a third party does not have a business continuity plan or such business continuity plan does not adequately support our products or operations. Further capacity fluctuations driven by various factors such as seasonality, tariffs, hedging or other factors can cause importing delays, which can lead to volatility in ocean freight rates and availability, causing us to incur additional expense and adversely affecting our operating results. In addition, our third-party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unexpected events may adversely affect our operations, particularly our supply chain and shipping efforts.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Natural disasters, such as earthquakes,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fulfillment centers or the operations of one or more of our third-party providers or vendors. In particular, these types of events could impact our supply chain, including our ability to ship merchandise to clients from or to the impacted region, and could impact our ability or the ability of third parties to operate our sites and ship merchandise. For example, we receive and warehouse a portion of our inventory in California. If any such disaster were to impact this facility, our operations would be disrupted. In addition, these types of events could negatively impact consumer spending in the impacted regions. To the extent any of these events occur, our business and operating results could be adversely affected.</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many state, local and foreign governments have put in place quarantines, executive orders, shelter-in-place orders and similar government orders and restrictions in order to control the spread of the disease. We have implemented work-from-home policies and the majority of our personnel are currently working remotely. Such orders and policies may negatively impact productivity and creates challenges in the way we operate our business, including, but not limited to, how we test our products and our ability to meet our reporting obligations, the magnitude of which will depend, in part, on the length and severity of the restrictions and other limitations on our ability to conduct our business in the ordinary course. Our ability to execute our operations could be further impacted if any of our key personnel contracts COVID-19. Additionally, if sufficient numbers of our staff are infected with COVID-19 and are unable to perform their roles, we may not be able to operate efficiently for the duration of any shelter-in-place order or while we have insufficient numbers of staff, either of which could negatively impact our business, operating results and financial condition.</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5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ind w:right="40"/>
        <w:spacing w:after="0" w:line="255" w:lineRule="auto"/>
        <w:rPr>
          <w:sz w:val="20"/>
          <w:szCs w:val="20"/>
          <w:color w:val="auto"/>
        </w:rPr>
      </w:pPr>
      <w:r>
        <w:rPr>
          <w:rFonts w:ascii="Times New Roman" w:cs="Times New Roman" w:eastAsia="Times New Roman" w:hAnsi="Times New Roman"/>
          <w:sz w:val="18"/>
          <w:szCs w:val="18"/>
          <w:color w:val="auto"/>
        </w:rPr>
        <w:t>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inadvertent breaches by our employees or by third parties. These risks may increase over time as the complexity and number of technical systems and applications we use also increases. In addition, as a result of the COVID-19 pandemic, we may face increased cybersecurity risks due to our or third-party service providers’ reliance on internet technology and the number of our and our third-party service providers’ employees who are working remotely, which may create additional opportunities for cybercriminals to exploit vulnerabilities.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Breaches of our security measures or those of our third-party service providers or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however, such attacks could in the future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experience periodic system interruptions from time to time. In addition, continued growth in our transaction volume, as well as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increases, if any, in the use of our sites or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1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or we may need to devote significant resources in the future to address problems caused by breaches, including notifying affected subscribers and responding to any resulting litigation, which in turn, diverts resources from the growth and expansion of our business. To date, we are not aware of any material compromises or breaches of our networks or systems.</w:t>
      </w:r>
    </w:p>
    <w:p>
      <w:pPr>
        <w:spacing w:after="0" w:line="29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ind w:right="60"/>
        <w:spacing w:after="0" w:line="258" w:lineRule="auto"/>
        <w:rPr>
          <w:sz w:val="20"/>
          <w:szCs w:val="20"/>
          <w:color w:val="auto"/>
        </w:rPr>
      </w:pPr>
      <w:r>
        <w:rPr>
          <w:rFonts w:ascii="Times New Roman" w:cs="Times New Roman" w:eastAsia="Times New Roman" w:hAnsi="Times New Roman"/>
          <w:sz w:val="18"/>
          <w:szCs w:val="18"/>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May 2019, we received notice from the California Energy Commission (the “CEC”) that certain of our products had not been listed in the CEC’s Modernized Appliance Efficiency Database System (the “MAEDbS”) and therefore we were not in compliance with a CEC regulation. In order for an appliance to be listed in the MAEDbS, it must be tested at a lab approved by the CEC and the test data must be submitted to the CEC’s Appliance Efficiency Program. Although we believe that a number of the products identified in the CEC’s notice are, and have been, listed in the MAEDbS and comply with applicable CEC regulations, we may be subject to a financial penalty imposed by the CEC with respect to certain of our products that are not currently listed and may not otherwise currently meet applicable CEC energy regulations. We cannot be certain that our insurance coverage will fully cover any financial liability actually incurred. In addition, if we are required to list these additional products in the MAEDbS, we may not be permitted to sell them in the State of California until they are listed. We are in the process of negotiating the payment of a penalty with the CEC.</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copies of the energy-efficiency report and certification that were issued for the dehumidifier model at the time of production. We believe that our products are compliant, and we, in conjunction with our manufacturing partner, have disputed the Test Notice received from the DOE. As of the date hereof, we cannot reasonably estimate what, if any, penalties may be levied.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has placed a hold on the sale of certain of our dehumidifier inventory while it reviews the matter with us. We cannot be certain of the outcome with the EPA, and we may incur costs and penalties that cannot presently be calculated in the event that we are unable to resolve this matter with the EPA. Such costs and penalties may be material with respect to our financial condition.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June 30, 2020, we have issued the following securities that were not registered under the Securities Act of 1933, as amended (the “Securities Act”):</w:t>
      </w:r>
    </w:p>
    <w:p>
      <w:pPr>
        <w:spacing w:after="0" w:line="225" w:lineRule="exact"/>
        <w:rPr>
          <w:sz w:val="20"/>
          <w:szCs w:val="20"/>
          <w:color w:val="auto"/>
        </w:rPr>
      </w:pPr>
    </w:p>
    <w:p>
      <w:pPr>
        <w:jc w:val="both"/>
        <w:ind w:right="140" w:firstLine="8"/>
        <w:spacing w:after="0" w:line="254" w:lineRule="auto"/>
        <w:tabs>
          <w:tab w:leader="none" w:pos="255" w:val="left"/>
        </w:tabs>
        <w:numPr>
          <w:ilvl w:val="0"/>
          <w:numId w:val="2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On August 10, 2020, we entered into a consulting agreement with an advisory firm, pursuant to which the advisory firm agreed to provide us with certain management consulting, business and advisory services. As partial consideration for the services, we agreed to issue the advisory firm 90,000 unregistered shares of restricted common stock, which shares were issued on August 10, 2020. The issuance of the foregoing securities was not registered under the Securities Act in reliance upon the exemption from registration provided by Section 4(a)(2) of the Securities Act and Rule 506 of Regulation D promulgated by the SEC, and in reliance on similar exemptions under applicable state laws.</w:t>
      </w:r>
    </w:p>
    <w:p>
      <w:pPr>
        <w:spacing w:after="0" w:line="3" w:lineRule="exact"/>
        <w:rPr>
          <w:rFonts w:ascii="Times New Roman" w:cs="Times New Roman" w:eastAsia="Times New Roman" w:hAnsi="Times New Roman"/>
          <w:sz w:val="18"/>
          <w:szCs w:val="18"/>
          <w:color w:val="222222"/>
        </w:rPr>
      </w:pPr>
    </w:p>
    <w:p>
      <w:pPr>
        <w:ind w:right="60"/>
        <w:spacing w:after="0" w:line="260" w:lineRule="auto"/>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Appropriate legends were affixed to the securities issued in the transaction. The advisory firm had adequate access, through employment, business or other relationships, to information about the Company.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222222"/>
        </w:rPr>
        <w:t>In connection with the foregoing issuance, the advisory firm represented to us that it was an accredited investor and was acquiring the shares for investment purposes only and not with a view to, or for sale in connection with, any distribution thereof and that it could bear the risks of the investments and could hold the securities for an indefinite period of time. The advisory firm also received written disclosures that the securities had not been registered under the Securities Act and that any resale must be made pursuant to a registration statement or an available exemption from the registration requirements of the Securities Act.</w:t>
      </w:r>
    </w:p>
    <w:p>
      <w:pPr>
        <w:spacing w:after="0" w:line="3"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222222"/>
        </w:rPr>
        <w:t>The securities are deemed restricted securities for purposes of the Securities Act. There were no underwriters employed in connection with the above transaction.</w:t>
      </w:r>
    </w:p>
    <w:p>
      <w:pPr>
        <w:spacing w:after="0" w:line="73" w:lineRule="exact"/>
        <w:rPr>
          <w:sz w:val="20"/>
          <w:szCs w:val="20"/>
          <w:color w:val="auto"/>
        </w:rPr>
      </w:pPr>
    </w:p>
    <w:p>
      <w:pPr>
        <w:ind w:right="20" w:firstLine="8"/>
        <w:spacing w:after="0" w:line="256"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2020, we entered into a letter agreement with an advisory firm (the “Advisory Agreement”), pursuant to which the advisory firm agreed to provide us with certain consulting services. As partial consideration for the services, we agreed to issue the advisory firm a warrant to purchase 25,000 shares of common stock, with an exercise price equal to $9.09 per share. The exercisability of the warrant shall vest in three equal monthly installments, whereby one-third of the shares subject to the warrant shall vest on September 18, 2020, one-third of the shares subject to the warrant shall vest on October 18, 2020 and one-third of the shares subject to the warrant shall vest on November 18, 2020, in each case subject to the advisory firm’s continued service pursuant to the Advisory Agreement through and including each such vesting date.</w:t>
      </w:r>
    </w:p>
    <w:p>
      <w:pPr>
        <w:spacing w:after="0" w:line="79"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8"/>
          <w:szCs w:val="18"/>
          <w:color w:val="auto"/>
        </w:rPr>
        <w:t>The issuance of the warrant in the above transaction was not registered under the Securities Act in reliance upon the exemption from registration provided by Section 4(a)(2) of the Securities Act as the transaction did not involve a public offering.</w:t>
      </w:r>
    </w:p>
    <w:p>
      <w:pPr>
        <w:spacing w:after="0" w:line="239" w:lineRule="exact"/>
        <w:rPr>
          <w:sz w:val="20"/>
          <w:szCs w:val="20"/>
          <w:color w:val="auto"/>
        </w:rPr>
      </w:pPr>
    </w:p>
    <w:p>
      <w:pPr>
        <w:ind w:right="7660" w:firstLine="8"/>
        <w:spacing w:after="0" w:line="286" w:lineRule="auto"/>
        <w:tabs>
          <w:tab w:leader="none" w:pos="26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Registered Securities </w:t>
      </w:r>
      <w:r>
        <w:rPr>
          <w:rFonts w:ascii="Times New Roman" w:cs="Times New Roman" w:eastAsia="Times New Roman" w:hAnsi="Times New Roman"/>
          <w:sz w:val="18"/>
          <w:szCs w:val="18"/>
          <w:color w:val="auto"/>
        </w:rPr>
        <w:t>None.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1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2"/>
                <w:szCs w:val="22"/>
                <w:color w:val="auto"/>
              </w:rPr>
            </w:pPr>
          </w:p>
        </w:tc>
        <w:tc>
          <w:tcPr>
            <w:tcW w:w="45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Amended and Restated Certificate of Incorporation of Mohawk</w:t>
              </w:r>
            </w:hyperlink>
          </w:p>
        </w:tc>
        <w:tc>
          <w:tcPr>
            <w:tcW w:w="4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Group Holdings, Inc.</w:t>
              </w:r>
            </w:hyperlink>
          </w:p>
        </w:tc>
        <w:tc>
          <w:tcPr>
            <w:tcW w:w="34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5020" w:type="dxa"/>
            <w:vAlign w:val="bottom"/>
            <w:gridSpan w:val="23"/>
          </w:tcPr>
          <w:p>
            <w:pPr>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Amended and Restated Bylaws of Mohawk Group Holdings, Inc.</w:t>
              </w:r>
            </w:hyperlink>
          </w:p>
        </w:tc>
        <w:tc>
          <w:tcPr>
            <w:tcW w:w="0" w:type="dxa"/>
            <w:vAlign w:val="bottom"/>
          </w:tcPr>
          <w:p>
            <w:pPr>
              <w:spacing w:after="0"/>
              <w:rPr>
                <w:sz w:val="1"/>
                <w:szCs w:val="1"/>
                <w:color w:val="auto"/>
              </w:rPr>
            </w:pPr>
          </w:p>
        </w:tc>
      </w:tr>
      <w:tr>
        <w:trPr>
          <w:trHeight w:val="310"/>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5020" w:type="dxa"/>
            <w:vAlign w:val="bottom"/>
            <w:gridSpan w:val="23"/>
          </w:tcPr>
          <w:p>
            <w:pPr>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Form of Common Stock Certificate.</w:t>
              </w:r>
            </w:hyperlink>
          </w:p>
        </w:tc>
        <w:tc>
          <w:tcPr>
            <w:tcW w:w="0" w:type="dxa"/>
            <w:vAlign w:val="bottom"/>
          </w:tcPr>
          <w:p>
            <w:pPr>
              <w:spacing w:after="0"/>
              <w:rPr>
                <w:sz w:val="1"/>
                <w:szCs w:val="1"/>
                <w:color w:val="auto"/>
              </w:rPr>
            </w:pPr>
          </w:p>
        </w:tc>
      </w:tr>
      <w:tr>
        <w:trPr>
          <w:trHeight w:val="270"/>
        </w:trPr>
        <w:tc>
          <w:tcPr>
            <w:tcW w:w="11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3"/>
                <w:szCs w:val="23"/>
                <w:color w:val="auto"/>
              </w:rPr>
            </w:pPr>
          </w:p>
        </w:tc>
        <w:tc>
          <w:tcPr>
            <w:tcW w:w="4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Registration Rights Agreement, dated as of April 6, 2018,</w:t>
              </w:r>
            </w:hyperlink>
          </w:p>
        </w:tc>
        <w:tc>
          <w:tcPr>
            <w:tcW w:w="22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among Mohawk Group Holdings, Inc. and the purchasers party</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gridSpan w:val="2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thereto.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46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Warrant to Purchase Stock, issued to MidCap Financial Trust on</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gridSpan w:val="2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September 4, 2018.</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5020" w:type="dxa"/>
            <w:vAlign w:val="bottom"/>
            <w:gridSpan w:val="23"/>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Warrant, issued to Katalyst Securities LLC and its assigns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on September 4, 2018.</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4"/>
                <w:szCs w:val="24"/>
                <w:color w:val="auto"/>
              </w:rPr>
            </w:pPr>
          </w:p>
        </w:tc>
        <w:tc>
          <w:tcPr>
            <w:tcW w:w="5020" w:type="dxa"/>
            <w:vAlign w:val="bottom"/>
            <w:gridSpan w:val="23"/>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Warrant, issued to Horizon Technology Finance Corporation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on December 31, 2018.</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4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Amendment No. 1 to Registration Rights Agreement, dated as of</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March 2, 2019, among Mohawk Group Holdings, Inc. and the</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investors party thereto.</w:t>
              </w:r>
            </w:hyperlink>
          </w:p>
        </w:tc>
        <w:tc>
          <w:tcPr>
            <w:tcW w:w="33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50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Warrant to Purchase Shares of Common Stock, issued to Third Creek</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Advisors, LLC on August 18, 2020.</w:t>
              </w:r>
            </w:hyperlink>
          </w:p>
        </w:tc>
        <w:tc>
          <w:tcPr>
            <w:tcW w:w="2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4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Omnibus Limited Consent, Joinder and Amendment No. 8 to</w:t>
              </w:r>
            </w:hyperlink>
          </w:p>
        </w:tc>
        <w:tc>
          <w:tcPr>
            <w:tcW w:w="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gridSpan w:val="23"/>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Amended and Restated Credit and Security Agreement and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gridSpan w:val="23"/>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Amendment No. 4 to Pledge Agreement, dated as of August 26,</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2020, by and among Mohawk Group Holdings, Inc., Mohawk Group,</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Inc., certain subsidiaries of Mohawk Group, Inc. set forth on the</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gridSpan w:val="23"/>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signature pages thereto, Truweo, LLC, MidCap Funding IV Trust, as</w:t>
              </w:r>
            </w:hyperlink>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gridSpan w:val="23"/>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agent, and the Lenders party thereto</w:t>
              </w:r>
              <w:r>
                <w:rPr>
                  <w:rFonts w:ascii="Times New Roman" w:cs="Times New Roman" w:eastAsia="Times New Roman" w:hAnsi="Times New Roman"/>
                  <w:sz w:val="18"/>
                  <w:szCs w:val="18"/>
                  <w:u w:val="single" w:color="auto"/>
                  <w:color w:val="000000"/>
                </w:rPr>
                <w:t>.</w:t>
              </w:r>
            </w:hyperlink>
          </w:p>
        </w:tc>
        <w:tc>
          <w:tcPr>
            <w:tcW w:w="0" w:type="dxa"/>
            <w:vAlign w:val="bottom"/>
          </w:tcPr>
          <w:p>
            <w:pPr>
              <w:spacing w:after="0"/>
              <w:rPr>
                <w:sz w:val="1"/>
                <w:szCs w:val="1"/>
                <w:color w:val="auto"/>
              </w:rPr>
            </w:pPr>
          </w:p>
        </w:tc>
      </w:tr>
      <w:tr>
        <w:trPr>
          <w:trHeight w:val="270"/>
        </w:trPr>
        <w:tc>
          <w:tcPr>
            <w:tcW w:w="11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3"/>
                <w:szCs w:val="23"/>
                <w:color w:val="auto"/>
              </w:rPr>
            </w:pPr>
          </w:p>
        </w:tc>
        <w:tc>
          <w:tcPr>
            <w:tcW w:w="50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Omnibus Limited Consent, Joinder and Amendment No. 2 to Venture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Loan and Security Agreement, dated as of August 26, 2020, by and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among Mohawk Group Holdings, Inc., Mohawk Group, Inc., certain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subsidiaries of Mohawk Group, Inc. set forth on the signature pages</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thereto, Truweo, LLC, Horizon Technology Finance Corporation, as</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collateral agent, Horizon Credit II LLC, as assignee of Horizon</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gridSpan w:val="23"/>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Technology Finance Corporation, and Horizon Funding Trust 2019-</w:t>
              </w:r>
            </w:hyperlink>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760" w:type="dxa"/>
            <w:vAlign w:val="bottom"/>
            <w:gridSpan w:val="2"/>
          </w:tcPr>
          <w:p>
            <w:pPr>
              <w:ind w:left="22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u w:val="single" w:color="auto"/>
                  <w:color w:val="000000"/>
                </w:rPr>
                <w:t>.</w:t>
              </w:r>
            </w:hyperlink>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1"/>
                <w:szCs w:val="21"/>
                <w:color w:val="auto"/>
              </w:rPr>
              <w:t>*</w:t>
            </w:r>
          </w:p>
        </w:tc>
        <w:tc>
          <w:tcPr>
            <w:tcW w:w="220" w:type="dxa"/>
            <w:vAlign w:val="bottom"/>
          </w:tcPr>
          <w:p>
            <w:pPr>
              <w:spacing w:after="0"/>
              <w:rPr>
                <w:sz w:val="23"/>
                <w:szCs w:val="23"/>
                <w:color w:val="auto"/>
              </w:rPr>
            </w:pPr>
          </w:p>
        </w:tc>
        <w:tc>
          <w:tcPr>
            <w:tcW w:w="50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Certification of the Principal Executive Officer pursuant to Rule 13a</w:t>
              </w:r>
            </w:hyperlink>
            <w:r>
              <w:rPr>
                <w:rFonts w:ascii="Times New Roman" w:cs="Times New Roman" w:eastAsia="Times New Roman" w:hAnsi="Times New Roman"/>
                <w:sz w:val="18"/>
                <w:szCs w:val="18"/>
                <w:color w:val="0000EE"/>
                <w:w w:val="99"/>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gridSpan w:val="23"/>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14(a) or 15d-14(a) of the Securities Exchange Act of 1934.</w:t>
              </w:r>
            </w:hyperlink>
          </w:p>
        </w:tc>
        <w:tc>
          <w:tcPr>
            <w:tcW w:w="0" w:type="dxa"/>
            <w:vAlign w:val="bottom"/>
          </w:tcPr>
          <w:p>
            <w:pPr>
              <w:spacing w:after="0"/>
              <w:rPr>
                <w:sz w:val="1"/>
                <w:szCs w:val="1"/>
                <w:color w:val="auto"/>
              </w:rPr>
            </w:pPr>
          </w:p>
        </w:tc>
      </w:tr>
      <w:tr>
        <w:trPr>
          <w:trHeight w:val="270"/>
        </w:trPr>
        <w:tc>
          <w:tcPr>
            <w:tcW w:w="11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1"/>
                <w:szCs w:val="21"/>
                <w:color w:val="auto"/>
              </w:rPr>
              <w:t>*</w:t>
            </w:r>
          </w:p>
        </w:tc>
        <w:tc>
          <w:tcPr>
            <w:tcW w:w="220" w:type="dxa"/>
            <w:vAlign w:val="bottom"/>
          </w:tcPr>
          <w:p>
            <w:pPr>
              <w:spacing w:after="0"/>
              <w:rPr>
                <w:sz w:val="23"/>
                <w:szCs w:val="23"/>
                <w:color w:val="auto"/>
              </w:rPr>
            </w:pPr>
          </w:p>
        </w:tc>
        <w:tc>
          <w:tcPr>
            <w:tcW w:w="49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Certification of the Principal Financial Officer pursuant to Rule 13a-</w:t>
              </w:r>
            </w:hyperlink>
          </w:p>
        </w:tc>
        <w:tc>
          <w:tcPr>
            <w:tcW w:w="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gridSpan w:val="23"/>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14(a) or 15d-14(a) of the Securities Exchange Act of 1934.</w:t>
              </w:r>
            </w:hyperlink>
          </w:p>
        </w:tc>
        <w:tc>
          <w:tcPr>
            <w:tcW w:w="0" w:type="dxa"/>
            <w:vAlign w:val="bottom"/>
          </w:tcPr>
          <w:p>
            <w:pPr>
              <w:spacing w:after="0"/>
              <w:rPr>
                <w:sz w:val="1"/>
                <w:szCs w:val="1"/>
                <w:color w:val="auto"/>
              </w:rPr>
            </w:pPr>
          </w:p>
        </w:tc>
      </w:tr>
      <w:tr>
        <w:trPr>
          <w:trHeight w:val="270"/>
        </w:trPr>
        <w:tc>
          <w:tcPr>
            <w:tcW w:w="11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3"/>
                <w:szCs w:val="23"/>
                <w:color w:val="auto"/>
              </w:rPr>
            </w:pPr>
          </w:p>
        </w:tc>
        <w:tc>
          <w:tcPr>
            <w:tcW w:w="44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Certification of the Principal Executive Officer and Principal</w:t>
              </w:r>
            </w:hyperlink>
          </w:p>
        </w:tc>
        <w:tc>
          <w:tcPr>
            <w:tcW w:w="620" w:type="dxa"/>
            <w:vAlign w:val="bottom"/>
            <w:gridSpan w:val="15"/>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gridSpan w:val="23"/>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Financial Officer pursuant to 18 U.S.C. Section 1350, as adopted</w:t>
              </w:r>
            </w:hyperlink>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tcBorders>
              <w:top w:val="single" w:sz="8" w:color="0000EE"/>
            </w:tcBorders>
            <w:gridSpan w:val="15"/>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pursuant to Section 906 of the Sarbanes-Oxley Act of 2002.</w:t>
              </w:r>
            </w:hyperlink>
          </w:p>
        </w:tc>
        <w:tc>
          <w:tcPr>
            <w:tcW w:w="3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7"/>
              </w:rPr>
              <w:t>101.INS*</w:t>
            </w:r>
          </w:p>
        </w:tc>
        <w:tc>
          <w:tcPr>
            <w:tcW w:w="220" w:type="dxa"/>
            <w:vAlign w:val="bottom"/>
          </w:tcPr>
          <w:p>
            <w:pPr>
              <w:spacing w:after="0"/>
              <w:rPr>
                <w:sz w:val="24"/>
                <w:szCs w:val="24"/>
                <w:color w:val="auto"/>
              </w:rPr>
            </w:pPr>
          </w:p>
        </w:tc>
        <w:tc>
          <w:tcPr>
            <w:tcW w:w="50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526"/>
        </w:trPr>
        <w:tc>
          <w:tcPr>
            <w:tcW w:w="1120" w:type="dxa"/>
            <w:vAlign w:val="bottom"/>
          </w:tcPr>
          <w:p>
            <w:pPr>
              <w:spacing w:after="0"/>
              <w:rPr>
                <w:sz w:val="24"/>
                <w:szCs w:val="24"/>
                <w:color w:val="auto"/>
              </w:rPr>
            </w:pPr>
          </w:p>
        </w:tc>
        <w:tc>
          <w:tcPr>
            <w:tcW w:w="462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Borders>
              <w:top w:val="single" w:sz="8" w:color="auto"/>
            </w:tcBorders>
            <w:vMerge w:val="restart"/>
          </w:tcPr>
          <w:p>
            <w:pPr>
              <w:spacing w:after="0"/>
              <w:rPr>
                <w:sz w:val="10"/>
                <w:szCs w:val="10"/>
                <w:color w:val="auto"/>
              </w:rPr>
            </w:pPr>
          </w:p>
        </w:tc>
        <w:tc>
          <w:tcPr>
            <w:tcW w:w="1580" w:type="dxa"/>
            <w:vAlign w:val="bottom"/>
            <w:tcBorders>
              <w:top w:val="single" w:sz="8" w:color="auto"/>
            </w:tcBorders>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20" w:type="dxa"/>
            <w:vAlign w:val="bottom"/>
            <w:tcBorders>
              <w:top w:val="single" w:sz="8" w:color="auto"/>
            </w:tcBorders>
            <w:vMerge w:val="restart"/>
          </w:tcPr>
          <w:p>
            <w:pPr>
              <w:spacing w:after="0"/>
              <w:rPr>
                <w:sz w:val="10"/>
                <w:szCs w:val="10"/>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1"/>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0"/>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333-231381</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743"/>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333-231381</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527"/>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333-231381</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527"/>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333-231381</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526"/>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333-231381</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743"/>
        </w:trPr>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333-231381</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ectPr>
          <w:pgSz w:w="11900" w:h="16838" w:orient="portrait"/>
          <w:cols w:equalWidth="0" w:num="2">
            <w:col w:w="6360" w:space="280"/>
            <w:col w:w="460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115" w:lineRule="exact"/>
        <w:rPr>
          <w:sz w:val="20"/>
          <w:szCs w:val="20"/>
          <w:color w:val="auto"/>
        </w:rPr>
      </w:pPr>
    </w:p>
    <w:p>
      <w:pPr>
        <w:sectPr>
          <w:pgSz w:w="11900" w:h="16838" w:orient="portrait"/>
          <w:cols w:equalWidth="0" w:num="2">
            <w:col w:w="760" w:space="580"/>
            <w:col w:w="9680"/>
          </w:cols>
          <w:pgMar w:left="320" w:top="337" w:right="5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115" w:lineRule="exact"/>
        <w:rPr>
          <w:sz w:val="20"/>
          <w:szCs w:val="20"/>
          <w:color w:val="auto"/>
        </w:rPr>
      </w:pPr>
    </w:p>
    <w:p>
      <w:pPr>
        <w:sectPr>
          <w:pgSz w:w="11900" w:h="16838" w:orient="portrait"/>
          <w:cols w:equalWidth="0" w:num="2">
            <w:col w:w="780" w:space="560"/>
            <w:col w:w="9680"/>
          </w:cols>
          <w:pgMar w:left="320" w:top="337"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115" w:lineRule="exact"/>
        <w:rPr>
          <w:sz w:val="20"/>
          <w:szCs w:val="20"/>
          <w:color w:val="auto"/>
        </w:rPr>
      </w:pPr>
    </w:p>
    <w:p>
      <w:pPr>
        <w:sectPr>
          <w:pgSz w:w="11900" w:h="16838" w:orient="portrait"/>
          <w:cols w:equalWidth="0" w:num="2">
            <w:col w:w="760" w:space="580"/>
            <w:col w:w="9680"/>
          </w:cols>
          <w:pgMar w:left="320" w:top="337"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p>
      <w:pPr>
        <w:spacing w:after="0" w:line="115" w:lineRule="exact"/>
        <w:rPr>
          <w:sz w:val="20"/>
          <w:szCs w:val="20"/>
          <w:color w:val="auto"/>
        </w:rPr>
      </w:pPr>
    </w:p>
    <w:p>
      <w:pPr>
        <w:sectPr>
          <w:pgSz w:w="11900" w:h="16838" w:orient="portrait"/>
          <w:cols w:equalWidth="0" w:num="2">
            <w:col w:w="780" w:space="560"/>
            <w:col w:w="9680"/>
          </w:cols>
          <w:pgMar w:left="320" w:top="337"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740" w:space="600"/>
            <w:col w:w="9680"/>
          </w:cols>
          <w:pgMar w:left="320" w:top="337" w:right="559" w:bottom="1440" w:gutter="0" w:footer="0" w:header="0"/>
          <w:type w:val="continuous"/>
        </w:sectPr>
      </w:pPr>
    </w:p>
    <w:p>
      <w:pPr>
        <w:spacing w:after="0" w:line="6"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Filed herewith.</w:t>
      </w:r>
    </w:p>
    <w:p>
      <w:pPr>
        <w:spacing w:after="0" w:line="29" w:lineRule="exact"/>
        <w:rPr>
          <w:sz w:val="20"/>
          <w:szCs w:val="20"/>
          <w:color w:val="auto"/>
        </w:rPr>
      </w:pPr>
    </w:p>
    <w:p>
      <w:pPr>
        <w:ind w:left="500" w:hanging="492"/>
        <w:spacing w:after="0" w:line="258"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6980" w:type="dxa"/>
            <w:vAlign w:val="bottom"/>
            <w:gridSpan w:val="3"/>
          </w:tcPr>
          <w:p>
            <w:pPr>
              <w:ind w:left="2460"/>
              <w:spacing w:after="0"/>
              <w:rPr>
                <w:sz w:val="20"/>
                <w:szCs w:val="20"/>
                <w:color w:val="auto"/>
              </w:rPr>
            </w:pPr>
            <w:r>
              <w:rPr>
                <w:rFonts w:ascii="Times New Roman" w:cs="Times New Roman" w:eastAsia="Times New Roman" w:hAnsi="Times New Roman"/>
                <w:sz w:val="18"/>
                <w:szCs w:val="18"/>
                <w:b w:val="1"/>
                <w:bCs w:val="1"/>
                <w:color w:val="auto"/>
              </w:rPr>
              <w:t>MOHAWK GROUP HOLDINGS, INC.</w:t>
            </w: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2020</w:t>
            </w:r>
          </w:p>
        </w:tc>
        <w:tc>
          <w:tcPr>
            <w:tcW w:w="27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Yaniv Sarig</w:t>
            </w:r>
          </w:p>
        </w:tc>
      </w:tr>
      <w:tr>
        <w:trPr>
          <w:trHeight w:val="189"/>
        </w:trPr>
        <w:tc>
          <w:tcPr>
            <w:tcW w:w="4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Yaniv Sarig</w:t>
            </w:r>
          </w:p>
        </w:tc>
      </w:tr>
      <w:tr>
        <w:trPr>
          <w:trHeight w:val="216"/>
        </w:trPr>
        <w:tc>
          <w:tcPr>
            <w:tcW w:w="4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36"/>
        </w:trPr>
        <w:tc>
          <w:tcPr>
            <w:tcW w:w="42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2020</w:t>
            </w:r>
          </w:p>
        </w:tc>
        <w:tc>
          <w:tcPr>
            <w:tcW w:w="27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Fabrice Hamaide</w:t>
            </w:r>
          </w:p>
        </w:tc>
      </w:tr>
      <w:tr>
        <w:trPr>
          <w:trHeight w:val="189"/>
        </w:trPr>
        <w:tc>
          <w:tcPr>
            <w:tcW w:w="4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Fabrice Hamaide</w:t>
            </w:r>
          </w:p>
        </w:tc>
      </w:tr>
      <w:tr>
        <w:trPr>
          <w:trHeight w:val="236"/>
        </w:trPr>
        <w:tc>
          <w:tcPr>
            <w:tcW w:w="42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 and Director</w:t>
            </w:r>
          </w:p>
        </w:tc>
      </w:tr>
    </w:tbl>
    <w:p>
      <w:pPr>
        <w:ind w:left="71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333" w:right="339" w:bottom="1440" w:gutter="0" w:footer="0" w:header="0"/>
        </w:sectPr>
      </w:pPr>
    </w:p>
    <w:bookmarkStart w:id="53" w:name="page54"/>
    <w:bookmarkEnd w:id="53"/>
    <w:p>
      <w:pPr>
        <w:ind w:left="10320"/>
        <w:spacing w:after="0"/>
        <w:rPr>
          <w:sz w:val="20"/>
          <w:szCs w:val="20"/>
          <w:color w:val="auto"/>
        </w:rPr>
      </w:pPr>
      <w:r>
        <w:rPr>
          <w:rFonts w:ascii="Times New Roman" w:cs="Times New Roman" w:eastAsia="Times New Roman" w:hAnsi="Times New Roman"/>
          <w:sz w:val="19"/>
          <w:szCs w:val="19"/>
          <w:b w:val="1"/>
          <w:bCs w:val="1"/>
          <w:color w:val="auto"/>
        </w:rPr>
        <w:t>Exhibit 4.7</w:t>
      </w:r>
    </w:p>
    <w:p>
      <w:pPr>
        <w:spacing w:after="0" w:line="2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240"/>
          </w:cols>
          <w:pgMar w:left="320" w:top="114"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 NO. WCS-1-2020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OF ISSUANCE: August 18, 2020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EXPIRATION DATE: August 18, 2030</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NUMBER OF SHARES: 25,000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adjustment hereunder)</w:t>
      </w:r>
    </w:p>
    <w:p>
      <w:pPr>
        <w:spacing w:after="0" w:line="441" w:lineRule="exact"/>
        <w:rPr>
          <w:sz w:val="20"/>
          <w:szCs w:val="20"/>
          <w:color w:val="auto"/>
        </w:rPr>
      </w:pPr>
    </w:p>
    <w:p>
      <w:pPr>
        <w:sectPr>
          <w:pgSz w:w="11900" w:h="16838" w:orient="portrait"/>
          <w:cols w:equalWidth="0" w:num="2">
            <w:col w:w="7860" w:space="720"/>
            <w:col w:w="2660"/>
          </w:cols>
          <w:pgMar w:left="320" w:top="114" w:right="3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WARRANT TO PURCHASE SHARES OF COMMON STOCK OF</w:t>
      </w:r>
    </w:p>
    <w:p>
      <w:pPr>
        <w:sectPr>
          <w:pgSz w:w="11900" w:h="16838" w:orient="portrait"/>
          <w:cols w:equalWidth="0" w:num="1">
            <w:col w:w="11240"/>
          </w:cols>
          <w:pgMar w:left="320" w:top="114" w:right="3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MOHAWK GROUP HOLDINGS, INC.</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This Warrant (this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is issued to Third Creek Advisors, LLC, or its registered assigns (including any successors or permitted assigns, the “</w:t>
      </w:r>
      <w:r>
        <w:rPr>
          <w:rFonts w:ascii="Times New Roman" w:cs="Times New Roman" w:eastAsia="Times New Roman" w:hAnsi="Times New Roman"/>
          <w:sz w:val="20"/>
          <w:szCs w:val="20"/>
          <w:b w:val="1"/>
          <w:bCs w:val="1"/>
          <w:color w:val="auto"/>
        </w:rPr>
        <w:t>Warrantholder</w:t>
      </w:r>
      <w:r>
        <w:rPr>
          <w:rFonts w:ascii="Times New Roman" w:cs="Times New Roman" w:eastAsia="Times New Roman" w:hAnsi="Times New Roman"/>
          <w:sz w:val="20"/>
          <w:szCs w:val="20"/>
          <w:color w:val="auto"/>
        </w:rPr>
        <w:t>”), in connection with that certain letter agreement (the “</w:t>
      </w:r>
      <w:r>
        <w:rPr>
          <w:rFonts w:ascii="Times New Roman" w:cs="Times New Roman" w:eastAsia="Times New Roman" w:hAnsi="Times New Roman"/>
          <w:sz w:val="20"/>
          <w:szCs w:val="20"/>
          <w:b w:val="1"/>
          <w:bCs w:val="1"/>
          <w:color w:val="auto"/>
        </w:rPr>
        <w:t>Letter Agreement</w:t>
      </w:r>
      <w:r>
        <w:rPr>
          <w:rFonts w:ascii="Times New Roman" w:cs="Times New Roman" w:eastAsia="Times New Roman" w:hAnsi="Times New Roman"/>
          <w:sz w:val="20"/>
          <w:szCs w:val="20"/>
          <w:color w:val="auto"/>
        </w:rPr>
        <w:t xml:space="preserve">”) dated August 18, 2020, by and between </w:t>
      </w:r>
      <w:r>
        <w:rPr>
          <w:rFonts w:ascii="Times New Roman" w:cs="Times New Roman" w:eastAsia="Times New Roman" w:hAnsi="Times New Roman"/>
          <w:sz w:val="20"/>
          <w:szCs w:val="20"/>
          <w:b w:val="1"/>
          <w:bCs w:val="1"/>
          <w:color w:val="auto"/>
        </w:rPr>
        <w:t>MOHAWK GROUP, INC.</w:t>
      </w:r>
      <w:r>
        <w:rPr>
          <w:rFonts w:ascii="Times New Roman" w:cs="Times New Roman" w:eastAsia="Times New Roman" w:hAnsi="Times New Roman"/>
          <w:sz w:val="20"/>
          <w:szCs w:val="20"/>
          <w:color w:val="auto"/>
        </w:rPr>
        <w:t xml:space="preserve">, a Delaware corporation and wholly owned subsidiary of </w:t>
      </w:r>
      <w:r>
        <w:rPr>
          <w:rFonts w:ascii="Times New Roman" w:cs="Times New Roman" w:eastAsia="Times New Roman" w:hAnsi="Times New Roman"/>
          <w:sz w:val="20"/>
          <w:szCs w:val="20"/>
          <w:b w:val="1"/>
          <w:bCs w:val="1"/>
          <w:color w:val="auto"/>
        </w:rPr>
        <w:t>MOHAWK GROUP HOLDINGS,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Third Creek Advisors, LLC.</w:t>
      </w:r>
    </w:p>
    <w:p>
      <w:pPr>
        <w:spacing w:after="0" w:line="180" w:lineRule="exact"/>
        <w:rPr>
          <w:sz w:val="20"/>
          <w:szCs w:val="20"/>
          <w:color w:val="auto"/>
        </w:rPr>
      </w:pPr>
    </w:p>
    <w:p>
      <w:pPr>
        <w:ind w:left="1660" w:hanging="788"/>
        <w:spacing w:after="0"/>
        <w:tabs>
          <w:tab w:leader="none" w:pos="1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OF WARRANT.</w:t>
      </w:r>
    </w:p>
    <w:p>
      <w:pPr>
        <w:spacing w:after="0" w:line="215" w:lineRule="exact"/>
        <w:rPr>
          <w:rFonts w:ascii="Times New Roman" w:cs="Times New Roman" w:eastAsia="Times New Roman" w:hAnsi="Times New Roman"/>
          <w:sz w:val="20"/>
          <w:szCs w:val="20"/>
          <w:color w:val="auto"/>
        </w:rPr>
      </w:pPr>
    </w:p>
    <w:p>
      <w:pPr>
        <w:jc w:val="both"/>
        <w:ind w:firstLine="1735"/>
        <w:spacing w:after="0" w:line="243" w:lineRule="auto"/>
        <w:tabs>
          <w:tab w:leader="none" w:pos="259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and Exercise Price of Warrant Shares; Expiration Date</w:t>
      </w:r>
      <w:r>
        <w:rPr>
          <w:rFonts w:ascii="Times New Roman" w:cs="Times New Roman" w:eastAsia="Times New Roman" w:hAnsi="Times New Roman"/>
          <w:sz w:val="20"/>
          <w:szCs w:val="20"/>
          <w:color w:val="auto"/>
        </w:rPr>
        <w:t>. Subject to the terms and conditions set forth herein, the Warrantholder is entitled to purchase from the Company 25,000 shares (as adjusted from time to time pursuant to the provisions of this Warrant, the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of the Company’s Common Stock, $0.0001 par value per share (the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at a purchase price of $9.09 per share (as adjusted from time to time pursuant to the provisions of this Warrant, the “</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on or before 5:00 p.m. New York City time on August 18, 2030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(subject to earlier termination of this Warrant as set forth herein); provided, however, the exercisability of this Warrant shall vest in three equal monthly installments, whereby 1/3rd of the Warrant Shares subject to this Warrant shall vest on September 18, 2020, 1/3rd of the Warrant Shares subject to this Warrant shall vest on October 18, 2020 and 1/3rd of the Warrant Shares subject to this Warrant shall vest on November 18, 2020, in each case subject to the Warrantholder’s continued service pursuant to the Letter Agreement through and including each such vesting date.</w:t>
      </w:r>
    </w:p>
    <w:p>
      <w:pPr>
        <w:spacing w:after="0" w:line="185"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xml:space="preserve">. While this Warrant remains outstanding and exercisable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1(a)</w:t>
      </w:r>
      <w:r>
        <w:rPr>
          <w:rFonts w:ascii="Times New Roman" w:cs="Times New Roman" w:eastAsia="Times New Roman" w:hAnsi="Times New Roman"/>
          <w:sz w:val="20"/>
          <w:szCs w:val="20"/>
          <w:color w:val="auto"/>
        </w:rPr>
        <w:t xml:space="preserve"> above, the Warrantholder may exercise this Warrant in accordance with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herein, by wire transfer to the Company or cashier’s check drawn on a United States bank account made payable to the order of “Mohawk Group Holdings, Inc.”</w:t>
      </w:r>
    </w:p>
    <w:p>
      <w:pPr>
        <w:spacing w:after="0" w:line="174"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0"/>
          <w:szCs w:val="20"/>
          <w:color w:val="auto"/>
        </w:rPr>
        <w:t>Notwithstanding anything herein to the contrary, the Warrantholder shall not be required to physically surrender this Warrant to the Company until the Warrantholder has purchased all of the Warrant Shares available hereunder and this Warrant has been exercised in full, in which case, the Warrantholder shall surrender this Warrant to the Company for cancellation within three (3) Trading Days of the date the final Notice of Exercise (as defined below) is delivered to the Company. Partial exercises of this Warrant resulting in purchases of a portion of the total number of Warrant Shares subject to this Warrant shall have the effect of lowering the outstanding number of Warrant Shares purchasable hereunder in an amount equal to the applicable number of Warrant Shares purchased for all purposes hereof. The Company shall maintain records showing the number of Warrant Shares purchased and the date of such purchases.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4" w:name="page55"/>
    <w:bookmarkEnd w:id="54"/>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shall mean (i) if the Common Stock is listed for trading on a national securities exchange, a day on which such exchange is open for business; or (ii) if the Common Stock is quoted on OTC Markets, a day on which trades may be effected through such system; or (iii) if neither (i) nor (ii) above is applicable, a day other than a Saturday, Sunday or other day on which banks in the State of New York are required or authorized to be closed.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OTC Markets</w:t>
      </w:r>
      <w:r>
        <w:rPr>
          <w:rFonts w:ascii="Times New Roman" w:cs="Times New Roman" w:eastAsia="Times New Roman" w:hAnsi="Times New Roman"/>
          <w:sz w:val="20"/>
          <w:szCs w:val="20"/>
          <w:color w:val="auto"/>
        </w:rPr>
        <w:t>” shall mean either OTC QX or OTC QB of the OTC Markets Group, Inc.</w:t>
      </w:r>
    </w:p>
    <w:p>
      <w:pPr>
        <w:spacing w:after="0" w:line="220" w:lineRule="exact"/>
        <w:rPr>
          <w:sz w:val="20"/>
          <w:szCs w:val="20"/>
          <w:color w:val="auto"/>
        </w:rPr>
      </w:pPr>
    </w:p>
    <w:p>
      <w:pPr>
        <w:ind w:left="1660" w:hanging="788"/>
        <w:spacing w:after="0"/>
        <w:tabs>
          <w:tab w:leader="none" w:pos="16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ADJUSTMENTS.</w:t>
      </w:r>
    </w:p>
    <w:p>
      <w:pPr>
        <w:spacing w:after="0" w:line="215" w:lineRule="exact"/>
        <w:rPr>
          <w:rFonts w:ascii="Times New Roman" w:cs="Times New Roman" w:eastAsia="Times New Roman" w:hAnsi="Times New Roman"/>
          <w:sz w:val="20"/>
          <w:szCs w:val="20"/>
          <w:color w:val="auto"/>
        </w:rPr>
      </w:pPr>
    </w:p>
    <w:p>
      <w:pPr>
        <w:ind w:right="20" w:firstLine="1735"/>
        <w:spacing w:after="0" w:line="269" w:lineRule="auto"/>
        <w:tabs>
          <w:tab w:leader="none" w:pos="259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of Number of Warrant Shares and Exercise Price</w:t>
      </w:r>
      <w:r>
        <w:rPr>
          <w:rFonts w:ascii="Times New Roman" w:cs="Times New Roman" w:eastAsia="Times New Roman" w:hAnsi="Times New Roman"/>
          <w:sz w:val="20"/>
          <w:szCs w:val="20"/>
          <w:color w:val="auto"/>
        </w:rPr>
        <w:t>. The number and kind of Warrant Shares purchasable upon exercise of this Warrant and the Exercise Price therefor shall be subject to adjustment from time to time as follows:</w:t>
      </w:r>
    </w:p>
    <w:p>
      <w:pPr>
        <w:spacing w:after="0" w:line="159" w:lineRule="exact"/>
        <w:rPr>
          <w:rFonts w:ascii="Times New Roman" w:cs="Times New Roman" w:eastAsia="Times New Roman" w:hAnsi="Times New Roman"/>
          <w:sz w:val="20"/>
          <w:szCs w:val="20"/>
          <w:color w:val="auto"/>
        </w:rPr>
      </w:pPr>
    </w:p>
    <w:p>
      <w:pPr>
        <w:jc w:val="both"/>
        <w:ind w:firstLine="2600"/>
        <w:spacing w:after="0" w:line="243" w:lineRule="auto"/>
        <w:tabs>
          <w:tab w:leader="none" w:pos="3471"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Subdivisions, Combinations and Other Issuances</w:t>
      </w:r>
      <w:r>
        <w:rPr>
          <w:rFonts w:ascii="Times New Roman" w:cs="Times New Roman" w:eastAsia="Times New Roman" w:hAnsi="Times New Roman"/>
          <w:sz w:val="20"/>
          <w:szCs w:val="20"/>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upon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Times New Roman" w:cs="Times New Roman" w:eastAsia="Times New Roman" w:hAnsi="Times New Roman"/>
          <w:sz w:val="20"/>
          <w:szCs w:val="20"/>
          <w:u w:val="single" w:color="auto"/>
          <w:color w:val="auto"/>
        </w:rPr>
        <w:t>Section 2(a)(1)</w:t>
      </w:r>
      <w:r>
        <w:rPr>
          <w:rFonts w:ascii="Times New Roman" w:cs="Times New Roman" w:eastAsia="Times New Roman" w:hAnsi="Times New Roman"/>
          <w:sz w:val="20"/>
          <w:szCs w:val="20"/>
          <w:color w:val="auto"/>
        </w:rPr>
        <w:t xml:space="preserve"> shall become effective at the close of business on the date the subdivision or combination becomes effective, or as of the record date of such dividend, or in the event that no record date is fixed, upon the payment of such dividend by the Company.</w:t>
      </w:r>
    </w:p>
    <w:p>
      <w:pPr>
        <w:spacing w:after="0" w:line="185" w:lineRule="exact"/>
        <w:rPr>
          <w:rFonts w:ascii="Times New Roman" w:cs="Times New Roman" w:eastAsia="Times New Roman" w:hAnsi="Times New Roman"/>
          <w:sz w:val="20"/>
          <w:szCs w:val="20"/>
          <w:color w:val="auto"/>
        </w:rPr>
      </w:pPr>
    </w:p>
    <w:p>
      <w:pPr>
        <w:jc w:val="both"/>
        <w:ind w:firstLine="2600"/>
        <w:spacing w:after="0" w:line="241" w:lineRule="auto"/>
        <w:tabs>
          <w:tab w:leader="none" w:pos="3471"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Reclassification, Reorganizations and Consolidation</w:t>
      </w:r>
      <w:r>
        <w:rPr>
          <w:rFonts w:ascii="Times New Roman" w:cs="Times New Roman" w:eastAsia="Times New Roman" w:hAnsi="Times New Roman"/>
          <w:sz w:val="20"/>
          <w:szCs w:val="20"/>
          <w:color w:val="auto"/>
        </w:rPr>
        <w:t xml:space="preserve">. In case of any reclassification, capital reorganization or change in the capital stock of the Company (other than as a result of a subdivision, combination or stock dividend provided for in </w:t>
      </w:r>
      <w:r>
        <w:rPr>
          <w:rFonts w:ascii="Times New Roman" w:cs="Times New Roman" w:eastAsia="Times New Roman" w:hAnsi="Times New Roman"/>
          <w:sz w:val="20"/>
          <w:szCs w:val="20"/>
          <w:u w:val="single" w:color="auto"/>
          <w:color w:val="auto"/>
        </w:rPr>
        <w:t>Section 2(a)(1)</w:t>
      </w:r>
      <w:r>
        <w:rPr>
          <w:rFonts w:ascii="Times New Roman" w:cs="Times New Roman" w:eastAsia="Times New Roman" w:hAnsi="Times New Roman"/>
          <w:sz w:val="20"/>
          <w:szCs w:val="20"/>
          <w:color w:val="auto"/>
        </w:rPr>
        <w:t xml:space="preserve"> above) that occurs after the Date of Issuance, then, as a condition of such reclassification, reorganization or change, lawful provision shall be made, so that the Warrantholder shall thereafter have the right at any time prior to the expiration of this Warrant to purchase, at a total price equal to the Exercise Price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by the Warrantholder upon exercise of the unexercised portion of this Warrant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as applicable, provided the aggregate Exercise Price shall remain the same as in effect immediately prior to such reclassification, reorganization or change in capital stock of the Company (and, for the avoidance of doubt, this Warrant shall be exclusively exercisable for such shares of stock and/or other securities or property from and after the consummation of such reclassification or other change in the capital stock of the Company).</w:t>
      </w:r>
    </w:p>
    <w:p>
      <w:pPr>
        <w:spacing w:after="0" w:line="195"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Warrantholder</w:t>
      </w:r>
      <w:r>
        <w:rPr>
          <w:rFonts w:ascii="Times New Roman" w:cs="Times New Roman" w:eastAsia="Times New Roman" w:hAnsi="Times New Roman"/>
          <w:sz w:val="20"/>
          <w:szCs w:val="20"/>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20"/>
          <w:szCs w:val="20"/>
          <w:color w:val="auto"/>
        </w:rPr>
        <w:t>dissolution, liquidation or winding up of the affairs of the Company, then the Company shall deliver to the Warrantholder a notice of such transaction at least ten (10) days prior to the applicable record or effective date of such transaction; provided, however, that the failure to deliver such notice or any defect therein shall not affect the validity of the corporate action required to be described in such notice.</w:t>
      </w:r>
    </w:p>
    <w:p>
      <w:pPr>
        <w:spacing w:after="0" w:line="174" w:lineRule="exact"/>
        <w:rPr>
          <w:sz w:val="20"/>
          <w:szCs w:val="20"/>
          <w:color w:val="auto"/>
        </w:rPr>
      </w:pPr>
    </w:p>
    <w:p>
      <w:pPr>
        <w:jc w:val="both"/>
        <w:ind w:firstLine="1735"/>
        <w:spacing w:after="0" w:line="274" w:lineRule="auto"/>
        <w:tabs>
          <w:tab w:leader="none" w:pos="2595"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Calculations</w:t>
      </w:r>
      <w:r>
        <w:rPr>
          <w:rFonts w:ascii="Times New Roman" w:cs="Times New Roman" w:eastAsia="Times New Roman" w:hAnsi="Times New Roman"/>
          <w:sz w:val="19"/>
          <w:szCs w:val="19"/>
          <w:color w:val="auto"/>
        </w:rPr>
        <w:t xml:space="preserve">. All calculations under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shall be rounded down to the nearest cent or the nearest whole share, as the case may be. For purposes of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the number of shares of Common Stock deemed to be issued and outstanding as of a given date shall be the sum of the number of shares of Common Stock (excluding treasury shares, if any) issued and outstanding.</w:t>
      </w:r>
    </w:p>
    <w:p>
      <w:pPr>
        <w:spacing w:after="0" w:line="156" w:lineRule="exact"/>
        <w:rPr>
          <w:rFonts w:ascii="Times New Roman" w:cs="Times New Roman" w:eastAsia="Times New Roman" w:hAnsi="Times New Roman"/>
          <w:sz w:val="19"/>
          <w:szCs w:val="19"/>
          <w:color w:val="auto"/>
        </w:rPr>
      </w:pPr>
    </w:p>
    <w:p>
      <w:pPr>
        <w:ind w:left="2620" w:hanging="885"/>
        <w:spacing w:after="0"/>
        <w:tabs>
          <w:tab w:leader="none" w:pos="26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Warrant upon a Change of Control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2600"/>
        <w:spacing w:after="0" w:line="258" w:lineRule="auto"/>
        <w:tabs>
          <w:tab w:leader="none" w:pos="3471" w:val="left"/>
        </w:tabs>
        <w:numPr>
          <w:ilvl w:val="2"/>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while this Warrant is outstanding, the Company consummates a Change of Control, then a holder shall have the right thereafter to receive, upon exercise of this Warrant (and the payment of the Exercise Price),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Times New Roman" w:cs="Times New Roman" w:eastAsia="Times New Roman" w:hAnsi="Times New Roman"/>
          <w:sz w:val="19"/>
          <w:szCs w:val="19"/>
          <w:b w:val="1"/>
          <w:bCs w:val="1"/>
          <w:color w:val="auto"/>
        </w:rPr>
        <w:t>Alternate Consideration</w:t>
      </w:r>
      <w:r>
        <w:rPr>
          <w:rFonts w:ascii="Times New Roman" w:cs="Times New Roman" w:eastAsia="Times New Roman" w:hAnsi="Times New Roman"/>
          <w:sz w:val="19"/>
          <w:szCs w:val="19"/>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shall assume the obligation to deliver to the holder, such Alternate Consideration as, in accordance with the foregoing provisions, the holder may be entitled to purchase subject to the other terms and conditions of this Warrant.</w:t>
      </w:r>
    </w:p>
    <w:p>
      <w:pPr>
        <w:spacing w:after="0" w:line="169" w:lineRule="exact"/>
        <w:rPr>
          <w:rFonts w:ascii="Times New Roman" w:cs="Times New Roman" w:eastAsia="Times New Roman" w:hAnsi="Times New Roman"/>
          <w:sz w:val="19"/>
          <w:szCs w:val="19"/>
          <w:color w:val="auto"/>
        </w:rPr>
      </w:pPr>
    </w:p>
    <w:p>
      <w:pPr>
        <w:jc w:val="both"/>
        <w:ind w:firstLine="2600"/>
        <w:spacing w:after="0" w:line="244" w:lineRule="auto"/>
        <w:tabs>
          <w:tab w:leader="none" w:pos="3471" w:val="left"/>
        </w:tabs>
        <w:numPr>
          <w:ilvl w:val="2"/>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Warrant, a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 (iv) a “person” or “group” (as these terms are used for purposes of Section 13(d) and 14(d)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is or shall become the “beneficial owner” (as defined in Rule 13d-3 under the Exchange Act), directly or indirectly at least a majority of the voting power of the capital stock of the Company.</w:t>
      </w:r>
    </w:p>
    <w:p>
      <w:pPr>
        <w:spacing w:after="0" w:line="185" w:lineRule="exact"/>
        <w:rPr>
          <w:rFonts w:ascii="Times New Roman" w:cs="Times New Roman" w:eastAsia="Times New Roman" w:hAnsi="Times New Roman"/>
          <w:sz w:val="20"/>
          <w:szCs w:val="20"/>
          <w:color w:val="auto"/>
        </w:rPr>
      </w:pPr>
    </w:p>
    <w:p>
      <w:pPr>
        <w:jc w:val="both"/>
        <w:ind w:firstLine="872"/>
        <w:spacing w:after="0" w:line="241" w:lineRule="auto"/>
        <w:tabs>
          <w:tab w:leader="none" w:pos="1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FRACTIONAL SHARES. No fractional Warrant Shares will be issued upon exercise of this Warrant. In lieu of any fractional shares which would otherwise be issuable, the Company shall pay cash equal to the product of such fraction multiplied by the Fair Market Value of one Warrant Share. For purposes this Warrant, the “</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of one share of Common Stock shall mean (x) the last reported sale price and, if there are no sales, the last reported bid price, of the Common Stock on the business day prior to the date of exercise on the Trading Market (as defined below)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Times New Roman" w:cs="Times New Roman" w:eastAsia="Times New Roman" w:hAnsi="Times New Roman"/>
          <w:sz w:val="20"/>
          <w:szCs w:val="20"/>
          <w:b w:val="1"/>
          <w:bCs w:val="1"/>
          <w:color w:val="auto"/>
        </w:rPr>
        <w:t>Bloomberg</w:t>
      </w:r>
      <w:r>
        <w:rPr>
          <w:rFonts w:ascii="Times New Roman" w:cs="Times New Roman" w:eastAsia="Times New Roman" w:hAnsi="Times New Roman"/>
          <w:sz w:val="20"/>
          <w:szCs w:val="20"/>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the fair market value cannot be calculated as of such date on either of the foregoing bases, the price determined in good faith by the Company’s Board of Directors. “</w:t>
      </w:r>
      <w:r>
        <w:rPr>
          <w:rFonts w:ascii="Times New Roman" w:cs="Times New Roman" w:eastAsia="Times New Roman" w:hAnsi="Times New Roman"/>
          <w:sz w:val="20"/>
          <w:szCs w:val="20"/>
          <w:b w:val="1"/>
          <w:bCs w:val="1"/>
          <w:color w:val="auto"/>
        </w:rPr>
        <w:t>Trading Market</w:t>
      </w:r>
      <w:r>
        <w:rPr>
          <w:rFonts w:ascii="Times New Roman" w:cs="Times New Roman" w:eastAsia="Times New Roman" w:hAnsi="Times New Roman"/>
          <w:sz w:val="20"/>
          <w:szCs w:val="20"/>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6" w:name="page57"/>
    <w:bookmarkEnd w:id="56"/>
    <w:p>
      <w:pPr>
        <w:jc w:val="both"/>
        <w:ind w:firstLine="872"/>
        <w:spacing w:after="0" w:line="249" w:lineRule="auto"/>
        <w:tabs>
          <w:tab w:leader="none" w:pos="166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STOCKHOLDER RIGHTS. Until the exercise of this Warrant or any portion of this Warrant in accordance with the terms hereof, the Warrantholder shall not have, nor have any right to exercise, any rights as a stockholder of the Company (including without limitation the right to notification of stockholder meetings or the right to receive any notice or other communication concerning the business and affairs of the Company).</w:t>
      </w:r>
    </w:p>
    <w:p>
      <w:pPr>
        <w:spacing w:after="0" w:line="179"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MECHANICS OF EXERCISE.</w:t>
      </w:r>
    </w:p>
    <w:p>
      <w:pPr>
        <w:spacing w:after="0" w:line="215"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95" w:val="left"/>
        </w:tabs>
        <w:numPr>
          <w:ilvl w:val="2"/>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Delivery of Warrant Shares Upon Exercise</w:t>
      </w:r>
      <w:r>
        <w:rPr>
          <w:rFonts w:ascii="Times New Roman" w:cs="Times New Roman" w:eastAsia="Times New Roman" w:hAnsi="Times New Roman"/>
          <w:sz w:val="19"/>
          <w:szCs w:val="19"/>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completed and executed copy of the Notice of Exercise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Notice of Exercise</w:t>
      </w:r>
      <w:r>
        <w:rPr>
          <w:rFonts w:ascii="Times New Roman" w:cs="Times New Roman" w:eastAsia="Times New Roman" w:hAnsi="Times New Roman"/>
          <w:sz w:val="19"/>
          <w:szCs w:val="19"/>
          <w:color w:val="auto"/>
        </w:rPr>
        <w:t>”) by e-mail attachment and paying the Exercise Price then in effect with respect to the number of Warrant Shares as to which this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subject to such holder’s payment to the Company of the Exercise Price and payment of all taxes required to be paid by the holder, if any, prior to the issuance of such shares. Warrant Shares purchased hereunder shall be transmitted by the Company’s transfer agent to the holder by crediting the account of the holder’s prime broker with The Depository Trust Company through its Deposit or Withdrawal at Custodian system (“</w:t>
      </w:r>
      <w:r>
        <w:rPr>
          <w:rFonts w:ascii="Times New Roman" w:cs="Times New Roman" w:eastAsia="Times New Roman" w:hAnsi="Times New Roman"/>
          <w:sz w:val="19"/>
          <w:szCs w:val="19"/>
          <w:b w:val="1"/>
          <w:bCs w:val="1"/>
          <w:color w:val="auto"/>
        </w:rPr>
        <w:t>DWAC</w:t>
      </w:r>
      <w:r>
        <w:rPr>
          <w:rFonts w:ascii="Times New Roman" w:cs="Times New Roman" w:eastAsia="Times New Roman" w:hAnsi="Times New Roman"/>
          <w:sz w:val="19"/>
          <w:szCs w:val="19"/>
          <w:color w:val="auto"/>
        </w:rPr>
        <w:t>”) if the Company is then a participant in such system and either</w:t>
      </w:r>
    </w:p>
    <w:p>
      <w:pPr>
        <w:spacing w:after="0" w:line="3" w:lineRule="exact"/>
        <w:rPr>
          <w:rFonts w:ascii="Times New Roman" w:cs="Times New Roman" w:eastAsia="Times New Roman" w:hAnsi="Times New Roman"/>
          <w:sz w:val="19"/>
          <w:szCs w:val="19"/>
          <w:color w:val="auto"/>
        </w:rPr>
      </w:pPr>
    </w:p>
    <w:p>
      <w:pPr>
        <w:jc w:val="both"/>
        <w:ind w:firstLine="8"/>
        <w:spacing w:after="0"/>
        <w:tabs>
          <w:tab w:leader="none" w:pos="33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two (2) trading days from the delivery to the Company of the Notice of Exercise (such date, the “</w:t>
      </w:r>
      <w:r>
        <w:rPr>
          <w:rFonts w:ascii="Times New Roman" w:cs="Times New Roman" w:eastAsia="Times New Roman" w:hAnsi="Times New Roman"/>
          <w:sz w:val="20"/>
          <w:szCs w:val="20"/>
          <w:b w:val="1"/>
          <w:bCs w:val="1"/>
          <w:color w:val="auto"/>
        </w:rPr>
        <w:t>Warrant Share Delivery Date</w:t>
      </w:r>
      <w:r>
        <w:rPr>
          <w:rFonts w:ascii="Times New Roman" w:cs="Times New Roman" w:eastAsia="Times New Roman" w:hAnsi="Times New Roman"/>
          <w:sz w:val="20"/>
          <w:szCs w:val="20"/>
          <w:color w:val="auto"/>
        </w:rPr>
        <w:t>”) and payment of the aggregate Exercise Price. The Warrant Shares shall be deemed to have been issued, and the holder or any other person so designated to be named therein shall be deemed to have become a holder of record of such shares for all purposes, as of the date this Warrant has been exercised in accordance with the terms hereof, with payment to the Company of the Exercise Price and all taxes required to be paid by the holder, if any, prior to the issuance of such shares, having been paid.</w:t>
      </w:r>
    </w:p>
    <w:p>
      <w:pPr>
        <w:spacing w:after="0" w:line="190" w:lineRule="exact"/>
        <w:rPr>
          <w:rFonts w:ascii="Times New Roman" w:cs="Times New Roman" w:eastAsia="Times New Roman" w:hAnsi="Times New Roman"/>
          <w:sz w:val="20"/>
          <w:szCs w:val="20"/>
          <w:color w:val="auto"/>
        </w:rPr>
      </w:pPr>
    </w:p>
    <w:p>
      <w:pPr>
        <w:jc w:val="both"/>
        <w:ind w:firstLine="1735"/>
        <w:spacing w:after="0" w:line="254" w:lineRule="auto"/>
        <w:tabs>
          <w:tab w:leader="none" w:pos="2606"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Rescission Rights</w:t>
      </w:r>
      <w:r>
        <w:rPr>
          <w:rFonts w:ascii="Times New Roman" w:cs="Times New Roman" w:eastAsia="Times New Roman" w:hAnsi="Times New Roman"/>
          <w:sz w:val="20"/>
          <w:szCs w:val="20"/>
          <w:color w:val="auto"/>
        </w:rPr>
        <w:t xml:space="preserve">. If the Company fails to cause the transfer agent to transmit to the Warrantholder the Warrant Shares pursuant to </w:t>
      </w:r>
      <w:r>
        <w:rPr>
          <w:rFonts w:ascii="Times New Roman" w:cs="Times New Roman" w:eastAsia="Times New Roman" w:hAnsi="Times New Roman"/>
          <w:sz w:val="20"/>
          <w:szCs w:val="20"/>
          <w:u w:val="single" w:color="auto"/>
          <w:color w:val="auto"/>
        </w:rPr>
        <w:t>Section 5(a)</w:t>
      </w:r>
      <w:r>
        <w:rPr>
          <w:rFonts w:ascii="Times New Roman" w:cs="Times New Roman" w:eastAsia="Times New Roman" w:hAnsi="Times New Roman"/>
          <w:sz w:val="20"/>
          <w:szCs w:val="20"/>
          <w:color w:val="auto"/>
        </w:rPr>
        <w:t xml:space="preserve"> by the Warrant Share Delivery Date, then the Warrantholder will have the right to rescind such exercise.</w:t>
      </w:r>
    </w:p>
    <w:p>
      <w:pPr>
        <w:spacing w:after="0" w:line="174" w:lineRule="exact"/>
        <w:rPr>
          <w:rFonts w:ascii="Times New Roman" w:cs="Times New Roman" w:eastAsia="Times New Roman" w:hAnsi="Times New Roman"/>
          <w:sz w:val="20"/>
          <w:szCs w:val="20"/>
          <w:color w:val="auto"/>
        </w:rPr>
      </w:pPr>
    </w:p>
    <w:p>
      <w:pPr>
        <w:jc w:val="both"/>
        <w:ind w:firstLine="872"/>
        <w:spacing w:after="0" w:line="249" w:lineRule="auto"/>
        <w:tabs>
          <w:tab w:leader="none" w:pos="16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 OF ADJUSTMENT. Whenever the Exercise Price or number or type of securities issuable upon exercise of this Warrant is adjusted, as herein provided, the Company shall, upon written request of the Warrantholder, promptly deliver to the Warrantholder a certificate of an officer of the Company setting forth the nature of such adjustment and showing in detail the facts upon which such adjustment is based.</w:t>
      </w:r>
    </w:p>
    <w:p>
      <w:pPr>
        <w:spacing w:after="0" w:line="179"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SECURITIES LAWS.</w:t>
      </w:r>
    </w:p>
    <w:p>
      <w:pPr>
        <w:spacing w:after="0" w:line="215"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95"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Warrantholder understands that this Warrant and the Warrant Shares are characterized as “restricted securities” under applicable United States federal and state securities laws given they are being acquired from the Company in a transaction not involving a public offering and that under such laws and applicable regulations this Warrant and the Warrant Shares may be resold without registration under the Securities Act of 1933, as amended, including the rules and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7" w:name="page58"/>
    <w:bookmarkEnd w:id="57"/>
    <w:p>
      <w:pPr>
        <w:jc w:val="both"/>
        <w:spacing w:after="0" w:line="250" w:lineRule="auto"/>
        <w:rPr>
          <w:sz w:val="20"/>
          <w:szCs w:val="20"/>
          <w:color w:val="auto"/>
        </w:rPr>
      </w:pPr>
      <w:r>
        <w:rPr>
          <w:rFonts w:ascii="Times New Roman" w:cs="Times New Roman" w:eastAsia="Times New Roman" w:hAnsi="Times New Roman"/>
          <w:sz w:val="20"/>
          <w:szCs w:val="20"/>
          <w:color w:val="auto"/>
        </w:rPr>
        <w:t>promulgated thereunder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only in certain limited circumstances. The Warrantholder hereby represents that it is familiar with Rule 144 under the Securities Act, as presently in effect, and understands the resale limitations imposed thereby and by the Securities Act. The Warrantholder represents, covenants and agrees that as of the date hereof, it is, and on each date on which it exercises this Warrant it will be, an “accredited investor” as defined in Rule 501(a) under the Securities Act.</w:t>
      </w:r>
    </w:p>
    <w:p>
      <w:pPr>
        <w:spacing w:after="0" w:line="180" w:lineRule="exact"/>
        <w:rPr>
          <w:sz w:val="20"/>
          <w:szCs w:val="20"/>
          <w:color w:val="auto"/>
        </w:rPr>
      </w:pPr>
    </w:p>
    <w:p>
      <w:pPr>
        <w:jc w:val="both"/>
        <w:ind w:firstLine="1735"/>
        <w:spacing w:after="0" w:line="246" w:lineRule="auto"/>
        <w:tabs>
          <w:tab w:leader="none" w:pos="260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84" w:lineRule="exact"/>
        <w:rPr>
          <w:rFonts w:ascii="Times New Roman" w:cs="Times New Roman" w:eastAsia="Times New Roman" w:hAnsi="Times New Roman"/>
          <w:sz w:val="20"/>
          <w:szCs w:val="20"/>
          <w:color w:val="auto"/>
        </w:rPr>
      </w:pPr>
    </w:p>
    <w:p>
      <w:pPr>
        <w:jc w:val="both"/>
        <w:ind w:firstLine="1735"/>
        <w:spacing w:after="0" w:line="254" w:lineRule="auto"/>
        <w:tabs>
          <w:tab w:leader="none" w:pos="259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Warrantholder acknowledges that the Company may place one or more restrictive legends on the Warrant Shares issuable upon exercise of this Warrant in order to comply with applicable securities laws, in substantially the following form and substance:</w:t>
      </w:r>
    </w:p>
    <w:p>
      <w:pPr>
        <w:spacing w:after="0" w:line="174" w:lineRule="exact"/>
        <w:rPr>
          <w:sz w:val="20"/>
          <w:szCs w:val="20"/>
          <w:color w:val="auto"/>
        </w:rPr>
      </w:pPr>
    </w:p>
    <w:p>
      <w:pPr>
        <w:jc w:val="both"/>
        <w:ind w:left="1740" w:right="1740"/>
        <w:spacing w:after="0" w:line="264" w:lineRule="auto"/>
        <w:rPr>
          <w:sz w:val="20"/>
          <w:szCs w:val="20"/>
          <w:color w:val="auto"/>
        </w:rPr>
      </w:pPr>
      <w:r>
        <w:rPr>
          <w:rFonts w:ascii="Times New Roman" w:cs="Times New Roman" w:eastAsia="Times New Roman" w:hAnsi="Times New Roman"/>
          <w:sz w:val="19"/>
          <w:szCs w:val="19"/>
          <w:color w:val="auto"/>
        </w:rPr>
        <w:t>“THE SECURITIES EVIDENCED BY THIS CERTIFICATE HAVE NOT BEEN REGISTERED UNDER THE U.S. SECURITIES ACT OF 1933, AS AMENDED (THE “SECURITIES ACT”),</w:t>
      </w:r>
    </w:p>
    <w:p>
      <w:pPr>
        <w:jc w:val="both"/>
        <w:ind w:left="1740" w:right="1720"/>
        <w:spacing w:after="0"/>
        <w:rPr>
          <w:sz w:val="20"/>
          <w:szCs w:val="20"/>
          <w:color w:val="auto"/>
        </w:rPr>
      </w:pPr>
      <w:r>
        <w:rPr>
          <w:rFonts w:ascii="Times New Roman" w:cs="Times New Roman" w:eastAsia="Times New Roman" w:hAnsi="Times New Roman"/>
          <w:sz w:val="20"/>
          <w:szCs w:val="20"/>
          <w:color w:val="auto"/>
        </w:rPr>
        <w:t>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87" w:lineRule="exact"/>
        <w:rPr>
          <w:sz w:val="20"/>
          <w:szCs w:val="20"/>
          <w:color w:val="auto"/>
        </w:rPr>
      </w:pPr>
    </w:p>
    <w:p>
      <w:pPr>
        <w:jc w:val="both"/>
        <w:ind w:firstLine="872"/>
        <w:spacing w:after="0" w:line="249" w:lineRule="auto"/>
        <w:tabs>
          <w:tab w:leader="none" w:pos="1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79" w:lineRule="exact"/>
        <w:rPr>
          <w:rFonts w:ascii="Times New Roman" w:cs="Times New Roman" w:eastAsia="Times New Roman" w:hAnsi="Times New Roman"/>
          <w:sz w:val="20"/>
          <w:szCs w:val="20"/>
          <w:color w:val="auto"/>
        </w:rPr>
      </w:pPr>
    </w:p>
    <w:p>
      <w:pPr>
        <w:jc w:val="both"/>
        <w:ind w:firstLine="872"/>
        <w:spacing w:after="0" w:line="266" w:lineRule="auto"/>
        <w:tabs>
          <w:tab w:leader="none" w:pos="16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8" w:name="page59"/>
    <w:bookmarkEnd w:id="58"/>
    <w:p>
      <w:pPr>
        <w:jc w:val="both"/>
        <w:ind w:firstLine="872"/>
        <w:spacing w:after="0" w:line="254" w:lineRule="auto"/>
        <w:tabs>
          <w:tab w:leader="none" w:pos="175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74"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EXCHANGES.</w:t>
      </w:r>
    </w:p>
    <w:p>
      <w:pPr>
        <w:spacing w:after="0" w:line="215" w:lineRule="exact"/>
        <w:rPr>
          <w:rFonts w:ascii="Times New Roman" w:cs="Times New Roman" w:eastAsia="Times New Roman" w:hAnsi="Times New Roman"/>
          <w:sz w:val="20"/>
          <w:szCs w:val="20"/>
          <w:color w:val="auto"/>
        </w:rPr>
      </w:pPr>
    </w:p>
    <w:p>
      <w:pPr>
        <w:jc w:val="both"/>
        <w:ind w:firstLine="1735"/>
        <w:spacing w:after="0"/>
        <w:tabs>
          <w:tab w:leader="none" w:pos="2595"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applicable federal and state securities laws and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hereof, this Warrant may be transferred, in whole or in part, by the Warrantholder (I) at any time upon or following the initial effectiveness of a registration statement under the Securities Act filed with the Securities and Exchange Commission that registers the Warrant Shares for resale (the “</w:t>
      </w:r>
      <w:r>
        <w:rPr>
          <w:rFonts w:ascii="Times New Roman" w:cs="Times New Roman" w:eastAsia="Times New Roman" w:hAnsi="Times New Roman"/>
          <w:sz w:val="20"/>
          <w:szCs w:val="20"/>
          <w:b w:val="1"/>
          <w:bCs w:val="1"/>
          <w:color w:val="auto"/>
        </w:rPr>
        <w:t>Registration Date</w:t>
      </w:r>
      <w:r>
        <w:rPr>
          <w:rFonts w:ascii="Times New Roman" w:cs="Times New Roman" w:eastAsia="Times New Roman" w:hAnsi="Times New Roman"/>
          <w:sz w:val="20"/>
          <w:szCs w:val="20"/>
          <w:color w:val="auto"/>
        </w:rPr>
        <w:t>”), and (II) prior to the Registration Date, solely pursuant to a Permitted Transfer. For purposes of this Warrant, a “</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xml:space="preserve">” means: (i) if the Warrantholder is a natural person, any transfers made by the Warrantholder (A) to any member of the immediate family (as defined below) of the Warrantholder or to a trust the beneficiaries of which are exclusively the Warrantholder or members of the Warrantholder’s immediate family, or (B) by bona fide gift, will or intestacy; (ii) if the Warrantholder is a corporation, partnership, limited liability company or other business entity, any transfers to a charitable organization, or to any stockholder, partner, manager, director, officer, employee or member of, or owner of a similar equity interest in, the Warrantholder or its Affiliates, as the case may be; (iii) if the Warrantholder is a corporation, partnership, limited liability company or other business entity, any transfer made by the Warrantholder: (A) in connection with the sale or other bona fide transfer in a single transaction of all or substantially all of the Warrantholder’s capital stock, partnership interests, membership interests or other similar equity interests, as the case may be, or all or substantially all of the Warrantholder’s assets, in any such case not undertaken for the purpose of avoiding the restrictions imposed by this Warrant; (B) to another corporation, partnership, limited liability company or other business entity so long as the transferee is an Affiliate (as defined below) of the Warrantholder; or (C) to any investment fund or other entity that controls or manages the Warrantholder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Warrantholder) if such transfer is not for value; (iv) if the Warrantholder is a trust, to a trustor or beneficiary of the trust if such transfer is not for value; or (v) without limiting the foregoing exceptions, a one-time transfer by the Warrantholder to an Affiliate of the Warrantholder;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in the case of a transfer pursuant to this clause (v), the transferee shall not be permitted to further transfer this Warrant, in whole or in part, other than pursuant to an exception set forth in clause (i) through (iv) of this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color w:val="auto"/>
        </w:rPr>
        <w:t xml:space="preserve"> unless the Company provides its prior written consent to such transfer. For purposes hereof,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with respect to any person, any other person that, directly or indirectly, through one or more intermediaries, controls, is controlled by or is under common control with such person as such terms are used in and construed under Rule 144 under the Securities Act. For a transfer of this Warrant as an entirety by the Warrantholder, upon surrender of this Warrant to the Company, together with the Notice of Assignment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9" w:name="page60"/>
    <w:bookmarkEnd w:id="59"/>
    <w:p>
      <w:pPr>
        <w:jc w:val="both"/>
        <w:ind w:firstLine="1735"/>
        <w:spacing w:after="0" w:line="245" w:lineRule="auto"/>
        <w:tabs>
          <w:tab w:leader="none" w:pos="260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Times New Roman" w:cs="Times New Roman" w:eastAsia="Times New Roman" w:hAnsi="Times New Roman"/>
          <w:sz w:val="20"/>
          <w:szCs w:val="20"/>
          <w:b w:val="1"/>
          <w:bCs w:val="1"/>
          <w:color w:val="auto"/>
        </w:rPr>
        <w:t>Warrants</w:t>
      </w:r>
      <w:r>
        <w:rPr>
          <w:rFonts w:ascii="Times New Roman" w:cs="Times New Roman" w:eastAsia="Times New Roman" w:hAnsi="Times New Roman"/>
          <w:sz w:val="20"/>
          <w:szCs w:val="20"/>
          <w:color w:val="auto"/>
        </w:rPr>
        <w:t>” as used herein includes any warrants into which this Warrant may be divided or exchanged.</w:t>
      </w:r>
    </w:p>
    <w:p>
      <w:pPr>
        <w:spacing w:after="0" w:line="184" w:lineRule="exact"/>
        <w:rPr>
          <w:rFonts w:ascii="Times New Roman" w:cs="Times New Roman" w:eastAsia="Times New Roman" w:hAnsi="Times New Roman"/>
          <w:sz w:val="20"/>
          <w:szCs w:val="20"/>
          <w:color w:val="auto"/>
        </w:rPr>
      </w:pPr>
    </w:p>
    <w:p>
      <w:pPr>
        <w:jc w:val="both"/>
        <w:ind w:firstLine="872"/>
        <w:spacing w:after="0" w:line="242" w:lineRule="auto"/>
        <w:tabs>
          <w:tab w:leader="none" w:pos="175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VALID ISSUANCE; AUTHORIZED SHARES. The Company hereby represents, covenants and agrees that: (i) this Warrant is duly authorized and validly issued; (ii) upon exercise of this Warrant in accordance with its terms, and the payment in full of the Exercise Price the Company’s officers shall have full authority to issue the Warrant Shares issuable upon the exercise of the purchase rights under this Warrant; (iii) all Warrant Shares issuable upon exercise of the purchase rights represented by this Warrant and payment for such Warrant Shares in accordance herewith shall be, upon issuance, and the Company shall take all such reasonable actions as may be necessary or appropriate in order that such Warrant Shares are, validly issued, fully paid and non-assessable, free and clear of all liens and charges created by the Company in respect of the issuance thereof (other than taxes in respect of any transfer occurring contemporaneously with such issue); (iv) the Company shall take all such reasonable action as may be necessary to ensure that such Warrant Shares may be issued as provided herein without violation of any applicable law or regulation, or of any requirements of the Trading Market upon which the Common Stock may be quoted or listed; and (v) during the period this Warrant is outstanding, the Company shall reserve from its authorized and unissued Common Stock a sufficient number of shares to provide for the issuance of the Warrant Shares upon the exercise of any purchase rights under this Warrant;.</w:t>
      </w:r>
    </w:p>
    <w:p>
      <w:pPr>
        <w:spacing w:after="0" w:line="187" w:lineRule="exact"/>
        <w:rPr>
          <w:rFonts w:ascii="Times New Roman" w:cs="Times New Roman" w:eastAsia="Times New Roman" w:hAnsi="Times New Roman"/>
          <w:sz w:val="20"/>
          <w:szCs w:val="20"/>
          <w:color w:val="auto"/>
        </w:rPr>
      </w:pPr>
    </w:p>
    <w:p>
      <w:pPr>
        <w:jc w:val="both"/>
        <w:ind w:firstLine="872"/>
        <w:spacing w:after="0" w:line="245" w:lineRule="auto"/>
        <w:tabs>
          <w:tab w:leader="none" w:pos="175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STOCK RIGHTS. No holder of this Warrant, as such, shall be entitled to vote or be deemed the holder of any other securities of the Company that may at any time be issuable on the exercise hereof, nor shall anything contained herein be construed to confer upon the holder of this Warrant, as such, the rights of a stockholder of the Company or the right to vote for the election of directors or upon any matter submitted to stockholders at any meeting thereof, or give or withhold consent to any corporate action or to receive notice of meetings or other actions affecting stockholders (except as provided herein), or to receive dividends or subscription rights or otherwise (except as provided herein).</w:t>
      </w:r>
    </w:p>
    <w:p>
      <w:pPr>
        <w:spacing w:after="0" w:line="184"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MISCELLANEOUS.</w:t>
      </w:r>
    </w:p>
    <w:p>
      <w:pPr>
        <w:spacing w:after="0" w:line="215" w:lineRule="exact"/>
        <w:rPr>
          <w:rFonts w:ascii="Times New Roman" w:cs="Times New Roman" w:eastAsia="Times New Roman" w:hAnsi="Times New Roman"/>
          <w:sz w:val="20"/>
          <w:szCs w:val="20"/>
          <w:color w:val="auto"/>
        </w:rPr>
      </w:pPr>
    </w:p>
    <w:p>
      <w:pPr>
        <w:jc w:val="both"/>
        <w:ind w:firstLine="1735"/>
        <w:spacing w:after="0" w:line="249" w:lineRule="auto"/>
        <w:tabs>
          <w:tab w:leader="none" w:pos="2595"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Warrant shall be governed by and construed in accordance with the laws of the United States of America and the State of New York without regard to New York conflicts of law principles. Any judicial proceeding brought under this Warrant or any dispute arising out of this Warrant or any matter related hereto shall be brought in the courts of the State of New York, New York County, or in the United States District Court for the Southern District of New York.</w:t>
      </w:r>
    </w:p>
    <w:p>
      <w:pPr>
        <w:spacing w:after="0" w:line="179" w:lineRule="exact"/>
        <w:rPr>
          <w:rFonts w:ascii="Times New Roman" w:cs="Times New Roman" w:eastAsia="Times New Roman" w:hAnsi="Times New Roman"/>
          <w:sz w:val="20"/>
          <w:szCs w:val="20"/>
          <w:color w:val="auto"/>
        </w:rPr>
      </w:pPr>
    </w:p>
    <w:p>
      <w:pPr>
        <w:jc w:val="both"/>
        <w:ind w:firstLine="1735"/>
        <w:spacing w:after="0" w:line="249" w:lineRule="auto"/>
        <w:tabs>
          <w:tab w:leader="none" w:pos="260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consents and other communications hereunder shall be in writing, shall be sent by electronic mail, or mailed by first-class registered or certified airmail, or nationally recognized overnight express courier, postage prepaid, and shall be deemed given when so sent in the case of electronic mail transmission, or when so received in the case of mail or courier, and addressed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0" w:name="page61"/>
    <w:bookmarkEnd w:id="60"/>
    <w:p>
      <w:pPr>
        <w:ind w:left="3340" w:hanging="874"/>
        <w:spacing w:after="0"/>
        <w:tabs>
          <w:tab w:leader="none" w:pos="33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w:t>
      </w:r>
    </w:p>
    <w:p>
      <w:pPr>
        <w:spacing w:after="0" w:line="2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Mohawk Group Holdings, Inc.</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37 East 18th Street, 7th Floor</w:t>
      </w:r>
    </w:p>
    <w:p>
      <w:pPr>
        <w:ind w:left="3460"/>
        <w:spacing w:after="0"/>
        <w:rPr>
          <w:sz w:val="20"/>
          <w:szCs w:val="20"/>
          <w:color w:val="auto"/>
        </w:rPr>
      </w:pPr>
      <w:r>
        <w:rPr>
          <w:rFonts w:ascii="Times New Roman" w:cs="Times New Roman" w:eastAsia="Times New Roman" w:hAnsi="Times New Roman"/>
          <w:sz w:val="20"/>
          <w:szCs w:val="20"/>
          <w:color w:val="auto"/>
        </w:rPr>
        <w:t>New York, NY 10003</w:t>
      </w:r>
    </w:p>
    <w:p>
      <w:pPr>
        <w:ind w:left="3460"/>
        <w:spacing w:after="0"/>
        <w:rPr>
          <w:sz w:val="20"/>
          <w:szCs w:val="20"/>
          <w:color w:val="auto"/>
        </w:rPr>
      </w:pPr>
      <w:r>
        <w:rPr>
          <w:rFonts w:ascii="Times New Roman" w:cs="Times New Roman" w:eastAsia="Times New Roman" w:hAnsi="Times New Roman"/>
          <w:sz w:val="20"/>
          <w:szCs w:val="20"/>
          <w:color w:val="auto"/>
        </w:rPr>
        <w:t>Attention: Yaniv Sarig, President &amp; CEO</w:t>
      </w:r>
    </w:p>
    <w:p>
      <w:pPr>
        <w:ind w:left="346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Paul Hastings LLP</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1117 S. California Ave.</w:t>
      </w:r>
    </w:p>
    <w:p>
      <w:pPr>
        <w:ind w:left="3460"/>
        <w:spacing w:after="0"/>
        <w:rPr>
          <w:sz w:val="20"/>
          <w:szCs w:val="20"/>
          <w:color w:val="auto"/>
        </w:rPr>
      </w:pPr>
      <w:r>
        <w:rPr>
          <w:rFonts w:ascii="Times New Roman" w:cs="Times New Roman" w:eastAsia="Times New Roman" w:hAnsi="Times New Roman"/>
          <w:sz w:val="20"/>
          <w:szCs w:val="20"/>
          <w:color w:val="auto"/>
        </w:rPr>
        <w:t>Palo Alto, CA 94304</w:t>
      </w:r>
    </w:p>
    <w:p>
      <w:pPr>
        <w:ind w:left="3460"/>
        <w:spacing w:after="0"/>
        <w:rPr>
          <w:sz w:val="20"/>
          <w:szCs w:val="20"/>
          <w:color w:val="auto"/>
        </w:rPr>
      </w:pPr>
      <w:r>
        <w:rPr>
          <w:rFonts w:ascii="Times New Roman" w:cs="Times New Roman" w:eastAsia="Times New Roman" w:hAnsi="Times New Roman"/>
          <w:sz w:val="20"/>
          <w:szCs w:val="20"/>
          <w:color w:val="auto"/>
        </w:rPr>
        <w:t>Attention: Jeff Hartlin</w:t>
      </w:r>
    </w:p>
    <w:p>
      <w:pPr>
        <w:ind w:left="346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ind w:left="880" w:right="20" w:firstLine="1586"/>
        <w:spacing w:after="0" w:line="269" w:lineRule="auto"/>
        <w:tabs>
          <w:tab w:leader="none" w:pos="335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Warrantholder, at such address or addresses (including copies to counsel if one is designated on the signature page hereto) as may have been furnished by the Warrantholder to the Company in writing.</w:t>
      </w:r>
    </w:p>
    <w:p>
      <w:pPr>
        <w:spacing w:after="0" w:line="159" w:lineRule="exact"/>
        <w:rPr>
          <w:rFonts w:ascii="Times New Roman" w:cs="Times New Roman" w:eastAsia="Times New Roman" w:hAnsi="Times New Roman"/>
          <w:sz w:val="20"/>
          <w:szCs w:val="20"/>
          <w:color w:val="auto"/>
        </w:rPr>
      </w:pPr>
    </w:p>
    <w:p>
      <w:pPr>
        <w:ind w:left="2600" w:hanging="865"/>
        <w:spacing w:after="0"/>
        <w:tabs>
          <w:tab w:leader="none" w:pos="26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invalidity or unenforceability of any provision hereof shall in no way affect the validity or enforceability</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any other provisions.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1" w:name="page62"/>
    <w:bookmarkEnd w:id="61"/>
    <w:p>
      <w:pPr>
        <w:ind w:left="880"/>
        <w:spacing w:after="0"/>
        <w:rPr>
          <w:sz w:val="20"/>
          <w:szCs w:val="20"/>
          <w:color w:val="auto"/>
        </w:rPr>
      </w:pPr>
      <w:r>
        <w:rPr>
          <w:rFonts w:ascii="Times New Roman" w:cs="Times New Roman" w:eastAsia="Times New Roman" w:hAnsi="Times New Roman"/>
          <w:sz w:val="20"/>
          <w:szCs w:val="20"/>
          <w:color w:val="auto"/>
        </w:rPr>
        <w:t>IN WITNESS WHEREOF this Common Stock Purchase Warrant is issued effective as of the date first set forth above.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MOHAWK GROUP HOLDINGS, INC.</w:t>
      </w:r>
    </w:p>
    <w:p>
      <w:pPr>
        <w:spacing w:after="0" w:line="200" w:lineRule="exact"/>
        <w:rPr>
          <w:sz w:val="20"/>
          <w:szCs w:val="20"/>
          <w:color w:val="auto"/>
        </w:rPr>
      </w:pPr>
    </w:p>
    <w:p>
      <w:pPr>
        <w:spacing w:after="0" w:line="263" w:lineRule="exact"/>
        <w:rPr>
          <w:sz w:val="20"/>
          <w:szCs w:val="20"/>
          <w:color w:val="auto"/>
        </w:rPr>
      </w:pPr>
    </w:p>
    <w:tbl>
      <w:tblPr>
        <w:tblLayout w:type="fixed"/>
        <w:tblInd w:w="5620" w:type="dxa"/>
        <w:tblCellMar>
          <w:top w:w="0" w:type="dxa"/>
          <w:left w:w="0" w:type="dxa"/>
          <w:bottom w:w="0" w:type="dxa"/>
          <w:right w:w="0" w:type="dxa"/>
        </w:tblCellMar>
      </w:tblPr>
      <w:tr>
        <w:trPr>
          <w:trHeight w:val="252"/>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Yaniv Sarig</w:t>
            </w:r>
          </w:p>
        </w:tc>
      </w:tr>
      <w:tr>
        <w:trPr>
          <w:trHeight w:val="200"/>
        </w:trPr>
        <w:tc>
          <w:tcPr>
            <w:tcW w:w="7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8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Yaniv Sarig</w:t>
            </w:r>
          </w:p>
        </w:tc>
      </w:t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NOTICE OF EXERCISE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be signed only upon exercise of Warrant)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Mohawk Group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The undersigned, the Warrantholder of the attached Warrant, hereby irrevocably elects to exercise the purchase right represented by such Warrant for, and to purchase thereunder, _____________________ (____________) shares of Common Stock of Mohawk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Holdings, Inc. and ____________ herewith makes payment of __________________________________ ($ _____) thereof.</w:t>
      </w:r>
    </w:p>
    <w:p>
      <w:pPr>
        <w:spacing w:after="0" w:line="194"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The undersigned requests that the certificates or book entry position evidencing the shares to be acquired pursuant to such exercise be issued in the name of, and delivered to ________________________________________, whose address is</w:t>
      </w:r>
    </w:p>
    <w:p>
      <w:pPr>
        <w:spacing w:after="0" w:line="1" w:lineRule="exact"/>
        <w:rPr>
          <w:sz w:val="20"/>
          <w:szCs w:val="20"/>
          <w:color w:val="auto"/>
        </w:rPr>
      </w:pPr>
    </w:p>
    <w:p>
      <w:pPr>
        <w:spacing w:after="0"/>
        <w:tabs>
          <w:tab w:leader="none" w:pos="8520" w:val="left"/>
          <w:tab w:leader="none" w:pos="9000" w:val="left"/>
          <w:tab w:leader="none" w:pos="9680" w:val="left"/>
          <w:tab w:leader="none" w:pos="10300" w:val="left"/>
          <w:tab w:leader="none" w:pos="11080" w:val="left"/>
        </w:tabs>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tab/>
        <w:t>and</w:t>
        <w:tab/>
        <w:t>whose</w:t>
        <w:tab/>
        <w:t>email</w:t>
        <w:tab/>
        <w:t>address</w:t>
        <w:tab/>
        <w:t>is</w:t>
      </w:r>
    </w:p>
    <w:p>
      <w:pPr>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19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13970</wp:posOffset>
            </wp:positionV>
            <wp:extent cx="2108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(Signature must conform in all respects</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to name of the Warrantholder as</w:t>
      </w:r>
    </w:p>
    <w:p>
      <w:pPr>
        <w:ind w:left="5980"/>
        <w:spacing w:after="0"/>
        <w:rPr>
          <w:sz w:val="20"/>
          <w:szCs w:val="20"/>
          <w:color w:val="auto"/>
        </w:rPr>
      </w:pPr>
      <w:r>
        <w:rPr>
          <w:rFonts w:ascii="Times New Roman" w:cs="Times New Roman" w:eastAsia="Times New Roman" w:hAnsi="Times New Roman"/>
          <w:sz w:val="20"/>
          <w:szCs w:val="20"/>
          <w:color w:val="auto"/>
        </w:rPr>
        <w:t>specified on the face of the Warrant)</w:t>
      </w:r>
    </w:p>
    <w:p>
      <w:pPr>
        <w:spacing w:after="0" w:line="200" w:lineRule="exact"/>
        <w:rPr>
          <w:sz w:val="20"/>
          <w:szCs w:val="20"/>
          <w:color w:val="auto"/>
        </w:rPr>
      </w:pPr>
    </w:p>
    <w:p>
      <w:pPr>
        <w:spacing w:after="0" w:line="2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322580</wp:posOffset>
            </wp:positionV>
            <wp:extent cx="26657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168275</wp:posOffset>
            </wp:positionV>
            <wp:extent cx="2665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13970</wp:posOffset>
            </wp:positionV>
            <wp:extent cx="21342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-139700</wp:posOffset>
            </wp:positionV>
            <wp:extent cx="26657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NOTICE OF ASSIGNMENT FORM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VALUE RECEIVED, [_____________________] (the “</w:t>
      </w:r>
      <w:r>
        <w:rPr>
          <w:rFonts w:ascii="Times New Roman" w:cs="Times New Roman" w:eastAsia="Times New Roman" w:hAnsi="Times New Roman"/>
          <w:sz w:val="20"/>
          <w:szCs w:val="20"/>
          <w:b w:val="1"/>
          <w:bCs w:val="1"/>
          <w:color w:val="auto"/>
        </w:rPr>
        <w:t>Assignor</w:t>
      </w:r>
      <w:r>
        <w:rPr>
          <w:rFonts w:ascii="Times New Roman" w:cs="Times New Roman" w:eastAsia="Times New Roman" w:hAnsi="Times New Roman"/>
          <w:sz w:val="20"/>
          <w:szCs w:val="20"/>
          <w:color w:val="auto"/>
        </w:rPr>
        <w:t>”) hereby sells, assigns and transfers all of the rights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undersigned Assignor under the attached Warrant with respect to the number of shares of ______________________ of Mohawk Group</w:t>
      </w:r>
    </w:p>
    <w:p>
      <w:pPr>
        <w:jc w:val="both"/>
        <w:spacing w:after="0" w:line="242" w:lineRule="auto"/>
        <w:rPr>
          <w:sz w:val="20"/>
          <w:szCs w:val="20"/>
          <w:color w:val="auto"/>
        </w:rPr>
      </w:pPr>
      <w:r>
        <w:rPr>
          <w:rFonts w:ascii="Times New Roman" w:cs="Times New Roman" w:eastAsia="Times New Roman" w:hAnsi="Times New Roman"/>
          <w:sz w:val="20"/>
          <w:szCs w:val="20"/>
          <w:color w:val="auto"/>
        </w:rPr>
        <w:t>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covered thereby and set forth below, to the following “</w:t>
      </w:r>
      <w:r>
        <w:rPr>
          <w:rFonts w:ascii="Times New Roman" w:cs="Times New Roman" w:eastAsia="Times New Roman" w:hAnsi="Times New Roman"/>
          <w:sz w:val="20"/>
          <w:szCs w:val="20"/>
          <w:b w:val="1"/>
          <w:bCs w:val="1"/>
          <w:color w:val="auto"/>
        </w:rPr>
        <w:t>Assignee</w:t>
      </w:r>
      <w:r>
        <w:rPr>
          <w:rFonts w:ascii="Times New Roman" w:cs="Times New Roman" w:eastAsia="Times New Roman" w:hAnsi="Times New Roman"/>
          <w:sz w:val="20"/>
          <w:szCs w:val="20"/>
          <w:color w:val="auto"/>
        </w:rPr>
        <w:t xml:space="preserve">” and, in connection with such transfer, represents and warrants to the Company that the transfer is in compliance with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Warrant and all applicable federal and state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ADDRESS, EMAIL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1059815</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13970</wp:posOffset>
            </wp:positionV>
            <wp:extent cx="15773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28803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Assignor Signature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566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ASSIGNEE ACKNOWLEDGMENT</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thereof.</w:t>
      </w:r>
    </w:p>
    <w:p>
      <w:pPr>
        <w:spacing w:after="0" w:line="2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13970</wp:posOffset>
            </wp:positionV>
            <wp:extent cx="2743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13970</wp:posOffset>
            </wp:positionV>
            <wp:extent cx="31718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4445</wp:posOffset>
            </wp:positionV>
            <wp:extent cx="31718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3566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3566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3566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104502898.4</w:t>
      </w:r>
    </w:p>
    <w:p>
      <w:pPr>
        <w:sectPr>
          <w:pgSz w:w="11900" w:h="16838" w:orient="portrait"/>
          <w:cols w:equalWidth="0" w:num="1">
            <w:col w:w="11240"/>
          </w:cols>
          <w:pgMar w:left="320" w:top="342" w:right="339" w:bottom="1440" w:gutter="0" w:footer="0" w:header="0"/>
        </w:sectPr>
      </w:pPr>
    </w:p>
    <w:bookmarkStart w:id="64" w:name="page65"/>
    <w:bookmarkEnd w:id="64"/>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26" w:lineRule="exact"/>
        <w:rPr>
          <w:sz w:val="20"/>
          <w:szCs w:val="20"/>
          <w:color w:val="auto"/>
        </w:rPr>
      </w:pPr>
    </w:p>
    <w:p>
      <w:pPr>
        <w:jc w:val="center"/>
        <w:ind w:left="340" w:right="34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OMNIBUS LIMITED CONSENT, JOINDER AND AMENDMENT NO. 8 TO AMENDED AND RESTATED CREDIT AND SECURITY AGREEMENT AND AMENDMENT NO. 4 TO PLEDGE AGREEMENT</w:t>
      </w:r>
    </w:p>
    <w:p>
      <w:pPr>
        <w:spacing w:after="0" w:line="156"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This OMNIBUS LIMITED CONSENT, JOINDER AND AMENDMENT NO. 8 TO AMENDED AND RESTATED CREDIT AND SECURITY AGREEMENT AND AMENDMENT NO. 4 TO PLEDGE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as of this 26th day of August, 2020, by and among MOHAWK GROUP HOLDINGS, INC., a Delaware corporation ("</w:t>
      </w:r>
      <w:r>
        <w:rPr>
          <w:rFonts w:ascii="Times New Roman" w:cs="Times New Roman" w:eastAsia="Times New Roman" w:hAnsi="Times New Roman"/>
          <w:sz w:val="20"/>
          <w:szCs w:val="20"/>
          <w:b w:val="1"/>
          <w:bCs w:val="1"/>
          <w:color w:val="auto"/>
        </w:rPr>
        <w:t>Mohawk Holdco</w:t>
      </w:r>
      <w:r>
        <w:rPr>
          <w:rFonts w:ascii="Times New Roman" w:cs="Times New Roman" w:eastAsia="Times New Roman" w:hAnsi="Times New Roman"/>
          <w:sz w:val="20"/>
          <w:szCs w:val="20"/>
          <w:color w:val="auto"/>
        </w:rPr>
        <w:t>"), MOHAWK GROUP, INC., a Delaware corporation (“</w:t>
      </w:r>
      <w:r>
        <w:rPr>
          <w:rFonts w:ascii="Times New Roman" w:cs="Times New Roman" w:eastAsia="Times New Roman" w:hAnsi="Times New Roman"/>
          <w:sz w:val="20"/>
          <w:szCs w:val="20"/>
          <w:b w:val="1"/>
          <w:bCs w:val="1"/>
          <w:color w:val="auto"/>
        </w:rPr>
        <w:t>Mohawk</w:t>
      </w:r>
      <w:r>
        <w:rPr>
          <w:rFonts w:ascii="Times New Roman" w:cs="Times New Roman" w:eastAsia="Times New Roman" w:hAnsi="Times New Roman"/>
          <w:sz w:val="20"/>
          <w:szCs w:val="20"/>
          <w:color w:val="auto"/>
        </w:rPr>
        <w:t>”), each of Mohawk’s direct and indirect subsidiaries set forth on the signature pages hereto (each being referred to herein individually as an “</w:t>
      </w:r>
      <w:r>
        <w:rPr>
          <w:rFonts w:ascii="Times New Roman" w:cs="Times New Roman" w:eastAsia="Times New Roman" w:hAnsi="Times New Roman"/>
          <w:sz w:val="20"/>
          <w:szCs w:val="20"/>
          <w:b w:val="1"/>
          <w:bCs w:val="1"/>
          <w:color w:val="auto"/>
        </w:rPr>
        <w:t>Original Borrower</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Original Borrowers</w:t>
      </w:r>
      <w:r>
        <w:rPr>
          <w:rFonts w:ascii="Times New Roman" w:cs="Times New Roman" w:eastAsia="Times New Roman" w:hAnsi="Times New Roman"/>
          <w:sz w:val="20"/>
          <w:szCs w:val="20"/>
          <w:color w:val="auto"/>
        </w:rPr>
        <w:t>”), TRUWEO, LLC, a Delaware limited liability company (“</w:t>
      </w:r>
      <w:r>
        <w:rPr>
          <w:rFonts w:ascii="Times New Roman" w:cs="Times New Roman" w:eastAsia="Times New Roman" w:hAnsi="Times New Roman"/>
          <w:sz w:val="20"/>
          <w:szCs w:val="20"/>
          <w:b w:val="1"/>
          <w:bCs w:val="1"/>
          <w:color w:val="auto"/>
        </w:rPr>
        <w:t>New Borrower</w:t>
      </w:r>
      <w:r>
        <w:rPr>
          <w:rFonts w:ascii="Times New Roman" w:cs="Times New Roman" w:eastAsia="Times New Roman" w:hAnsi="Times New Roman"/>
          <w:sz w:val="20"/>
          <w:szCs w:val="20"/>
          <w:color w:val="auto"/>
        </w:rPr>
        <w:t>”, and New Borrower, together with the Original Borrowers,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MIDCAP FUNDING IV TRUST, a Delaware statutory trust, as agent (in such capacity and together with its permitted successors and assigns,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and the Lenders party hereto constituting the Required Lenders.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872"/>
        <w:spacing w:after="0" w:line="245" w:lineRule="auto"/>
        <w:tabs>
          <w:tab w:leader="none" w:pos="17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Lenders and Original Borrowers are parties to that certain Amended and Restated Credit and Security Agreement, dated as of November 23, 2018 (as amended, modified, supplemented and restated from time to time prior to the date hereof, the “</w:t>
      </w:r>
      <w:r>
        <w:rPr>
          <w:rFonts w:ascii="Times New Roman" w:cs="Times New Roman" w:eastAsia="Times New Roman" w:hAnsi="Times New Roman"/>
          <w:sz w:val="20"/>
          <w:szCs w:val="20"/>
          <w:b w:val="1"/>
          <w:bCs w:val="1"/>
          <w:color w:val="auto"/>
        </w:rPr>
        <w:t>Original Credit Agreement</w:t>
      </w:r>
      <w:r>
        <w:rPr>
          <w:rFonts w:ascii="Times New Roman" w:cs="Times New Roman" w:eastAsia="Times New Roman" w:hAnsi="Times New Roman"/>
          <w:sz w:val="20"/>
          <w:szCs w:val="20"/>
          <w:color w:val="auto"/>
        </w:rPr>
        <w:t>” and as the same is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the Original Borrowers and certain of their Affiliates in the amounts and manner set forth in the Credit Agreement.</w:t>
      </w:r>
    </w:p>
    <w:p>
      <w:pPr>
        <w:spacing w:after="0" w:line="184" w:lineRule="exact"/>
        <w:rPr>
          <w:rFonts w:ascii="Times New Roman" w:cs="Times New Roman" w:eastAsia="Times New Roman" w:hAnsi="Times New Roman"/>
          <w:sz w:val="20"/>
          <w:szCs w:val="20"/>
          <w:color w:val="auto"/>
        </w:rPr>
      </w:pPr>
    </w:p>
    <w:p>
      <w:pPr>
        <w:jc w:val="both"/>
        <w:ind w:firstLine="872"/>
        <w:spacing w:after="0" w:line="266" w:lineRule="auto"/>
        <w:tabs>
          <w:tab w:leader="none" w:pos="169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Mohawk Holdco, Mohawk and Agent have entered into that certain Pledge Agreement, dated as of October 16, 2017 (as amended, restated, amended and restated, supplemented or otherwise modified prior to the date hereof, the “</w:t>
      </w:r>
      <w:r>
        <w:rPr>
          <w:rFonts w:ascii="Times New Roman" w:cs="Times New Roman" w:eastAsia="Times New Roman" w:hAnsi="Times New Roman"/>
          <w:sz w:val="19"/>
          <w:szCs w:val="19"/>
          <w:b w:val="1"/>
          <w:bCs w:val="1"/>
          <w:color w:val="auto"/>
        </w:rPr>
        <w:t>Original Pledge Agreement</w:t>
      </w:r>
      <w:r>
        <w:rPr>
          <w:rFonts w:ascii="Times New Roman" w:cs="Times New Roman" w:eastAsia="Times New Roman" w:hAnsi="Times New Roman"/>
          <w:sz w:val="19"/>
          <w:szCs w:val="19"/>
          <w:color w:val="auto"/>
        </w:rPr>
        <w:t>”; the Original Pledge Agreement, as amended hereby, the “</w:t>
      </w:r>
      <w:r>
        <w:rPr>
          <w:rFonts w:ascii="Times New Roman" w:cs="Times New Roman" w:eastAsia="Times New Roman" w:hAnsi="Times New Roman"/>
          <w:sz w:val="19"/>
          <w:szCs w:val="19"/>
          <w:b w:val="1"/>
          <w:bCs w:val="1"/>
          <w:color w:val="auto"/>
        </w:rPr>
        <w:t>Pledge Agreement</w:t>
      </w:r>
      <w:r>
        <w:rPr>
          <w:rFonts w:ascii="Times New Roman" w:cs="Times New Roman" w:eastAsia="Times New Roman" w:hAnsi="Times New Roman"/>
          <w:sz w:val="19"/>
          <w:szCs w:val="19"/>
          <w:color w:val="auto"/>
        </w:rPr>
        <w:t>”), pursuant to which the Pledgors (as defined therein) have granted to Agent a security interest in certain equity interests set forth therein to secure the Obligations under the Credit Agreement.</w:t>
      </w:r>
    </w:p>
    <w:p>
      <w:pPr>
        <w:spacing w:after="0" w:line="165" w:lineRule="exact"/>
        <w:rPr>
          <w:rFonts w:ascii="Times New Roman" w:cs="Times New Roman" w:eastAsia="Times New Roman" w:hAnsi="Times New Roman"/>
          <w:sz w:val="19"/>
          <w:szCs w:val="19"/>
          <w:color w:val="auto"/>
        </w:rPr>
      </w:pPr>
    </w:p>
    <w:p>
      <w:pPr>
        <w:ind w:left="1700" w:hanging="828"/>
        <w:spacing w:after="0"/>
        <w:tabs>
          <w:tab w:leader="none" w:pos="1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Borrowers have formed New Borrower as a new Subsidiary of Mohawk.</w:t>
      </w:r>
    </w:p>
    <w:p>
      <w:pPr>
        <w:spacing w:after="0" w:line="215" w:lineRule="exact"/>
        <w:rPr>
          <w:rFonts w:ascii="Times New Roman" w:cs="Times New Roman" w:eastAsia="Times New Roman" w:hAnsi="Times New Roman"/>
          <w:sz w:val="20"/>
          <w:szCs w:val="20"/>
          <w:color w:val="auto"/>
        </w:rPr>
      </w:pPr>
    </w:p>
    <w:p>
      <w:pPr>
        <w:jc w:val="both"/>
        <w:ind w:firstLine="872"/>
        <w:spacing w:after="0" w:line="254" w:lineRule="auto"/>
        <w:tabs>
          <w:tab w:leader="none" w:pos="17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Borrowers have requested that Agent and the Lenders amend the Credit Agreement and the Pledge Agreement to join New Borrower as a party to the Credit Agreement as a Borrower, as a party to the Pledge Agreement as an Issuer, and the other applicable Financing Documents, in each case, on and subject to the terms hereof.</w:t>
      </w:r>
    </w:p>
    <w:p>
      <w:pPr>
        <w:spacing w:after="0" w:line="174" w:lineRule="exact"/>
        <w:rPr>
          <w:rFonts w:ascii="Times New Roman" w:cs="Times New Roman" w:eastAsia="Times New Roman" w:hAnsi="Times New Roman"/>
          <w:sz w:val="20"/>
          <w:szCs w:val="20"/>
          <w:color w:val="auto"/>
        </w:rPr>
      </w:pPr>
    </w:p>
    <w:p>
      <w:pPr>
        <w:jc w:val="both"/>
        <w:ind w:firstLine="872"/>
        <w:spacing w:after="0" w:line="249" w:lineRule="auto"/>
        <w:tabs>
          <w:tab w:leader="none" w:pos="168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New Borrower plans to enter into that certain Asset Purchase Agreement, dated as of August 23, 2020 and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Truweo Acquisition Agreement</w:t>
      </w:r>
      <w:r>
        <w:rPr>
          <w:rFonts w:ascii="Times New Roman" w:cs="Times New Roman" w:eastAsia="Times New Roman" w:hAnsi="Times New Roman"/>
          <w:sz w:val="20"/>
          <w:szCs w:val="20"/>
          <w:color w:val="auto"/>
        </w:rPr>
        <w:t>”), by and among New Borrower, Truweo, a Sole Proprietorship registered at 113 Auburn Rd. Birrong, Sydney NSW Australia 2143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 Muhammad Sikandar, as Shareholder pursuant to which New Borrower will acquire certain assets from Seller (the “</w:t>
      </w:r>
      <w:r>
        <w:rPr>
          <w:rFonts w:ascii="Times New Roman" w:cs="Times New Roman" w:eastAsia="Times New Roman" w:hAnsi="Times New Roman"/>
          <w:sz w:val="20"/>
          <w:szCs w:val="20"/>
          <w:b w:val="1"/>
          <w:bCs w:val="1"/>
          <w:color w:val="auto"/>
        </w:rPr>
        <w:t>Truweo Acquisition</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872"/>
        <w:spacing w:after="0" w:line="254" w:lineRule="auto"/>
        <w:tabs>
          <w:tab w:leader="none" w:pos="165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5.7 of the Original Credit Agreement, the Borrowers are not permitted to acquire or enter into any agreement to acquire any assets other than in the Ordinary Course of Business or as permitted under clause (h) of the definition of Permitted Investments.</w:t>
      </w:r>
    </w:p>
    <w:p>
      <w:pPr>
        <w:spacing w:after="0" w:line="174" w:lineRule="exact"/>
        <w:rPr>
          <w:rFonts w:ascii="Times New Roman" w:cs="Times New Roman" w:eastAsia="Times New Roman" w:hAnsi="Times New Roman"/>
          <w:sz w:val="20"/>
          <w:szCs w:val="20"/>
          <w:color w:val="auto"/>
        </w:rPr>
      </w:pPr>
    </w:p>
    <w:p>
      <w:pPr>
        <w:ind w:right="20" w:firstLine="872"/>
        <w:spacing w:after="0" w:line="269" w:lineRule="auto"/>
        <w:tabs>
          <w:tab w:leader="none" w:pos="17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have requested, and Agent and Lenders constituting at least the Required Lenders have agreed, on and subject to the terms and conditions set forth in this Agreement, to,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color w:val="auto"/>
        </w:rPr>
        <w:t>other things, (i) consent to the Borrowers entering into the Truweo Acquisition Agreement and the consummation of the Truweo Acquisition,</w:t>
      </w:r>
    </w:p>
    <w:p>
      <w:pPr>
        <w:spacing w:after="0" w:line="33" w:lineRule="exact"/>
        <w:rPr>
          <w:sz w:val="20"/>
          <w:szCs w:val="20"/>
          <w:color w:val="auto"/>
        </w:rPr>
      </w:pPr>
    </w:p>
    <w:p>
      <w:pPr>
        <w:jc w:val="both"/>
        <w:ind w:firstLine="8"/>
        <w:spacing w:after="0" w:line="241" w:lineRule="auto"/>
        <w:tabs>
          <w:tab w:leader="none" w:pos="29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consent to the issuance by New Borrower of a Non-Negotiable Promissory Note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Seller in an aggregate initial principal amount of $2,454,631.00 (the “</w:t>
      </w:r>
      <w:r>
        <w:rPr>
          <w:rFonts w:ascii="Times New Roman" w:cs="Times New Roman" w:eastAsia="Times New Roman" w:hAnsi="Times New Roman"/>
          <w:sz w:val="20"/>
          <w:szCs w:val="20"/>
          <w:b w:val="1"/>
          <w:bCs w:val="1"/>
          <w:color w:val="auto"/>
        </w:rPr>
        <w:t>Truweo Seller Note</w:t>
      </w:r>
      <w:r>
        <w:rPr>
          <w:rFonts w:ascii="Times New Roman" w:cs="Times New Roman" w:eastAsia="Times New Roman" w:hAnsi="Times New Roman"/>
          <w:sz w:val="20"/>
          <w:szCs w:val="20"/>
          <w:color w:val="auto"/>
        </w:rPr>
        <w:t>”), which Truweo Seller Note shall be subordinated to the Obligations pursuant to a Subordination Agreement entered into on the date hereof, (iii) join New Borrower to the Credit Agreement, the Pledge Agreement and the other applicable Financing Documents and (iv) amend certain terms of the Original Credit Agreement, all in accordance with the terms and subject to the conditions set forth herein.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the Lenders and Borrowers hereby agree as follows:</w:t>
      </w:r>
    </w:p>
    <w:p>
      <w:pPr>
        <w:spacing w:after="0" w:line="170" w:lineRule="exact"/>
        <w:rPr>
          <w:sz w:val="20"/>
          <w:szCs w:val="20"/>
          <w:color w:val="auto"/>
        </w:rPr>
      </w:pPr>
    </w:p>
    <w:p>
      <w:pPr>
        <w:jc w:val="both"/>
        <w:ind w:firstLine="872"/>
        <w:spacing w:after="0" w:line="242" w:lineRule="auto"/>
        <w:tabs>
          <w:tab w:leader="none" w:pos="166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 This Agreement shall constitute a Financing Document and the Recitals and each reference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unless otherwise 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 Each of the parties hereto agrees the obvious </w:t>
      </w:r>
      <w:r>
        <w:rPr>
          <w:rFonts w:ascii="Times New Roman" w:cs="Times New Roman" w:eastAsia="Times New Roman" w:hAnsi="Times New Roman"/>
          <w:sz w:val="20"/>
          <w:szCs w:val="20"/>
          <w:color w:val="010000"/>
        </w:rPr>
        <w:t>misnumbering</w:t>
      </w:r>
      <w:r>
        <w:rPr>
          <w:rFonts w:ascii="Times New Roman" w:cs="Times New Roman" w:eastAsia="Times New Roman" w:hAnsi="Times New Roman"/>
          <w:sz w:val="20"/>
          <w:szCs w:val="20"/>
          <w:color w:val="auto"/>
        </w:rPr>
        <w:t xml:space="preserve"> error and hereby agrees that (a) the Amendment No. 4 to Amended and Restated Credit and Security Agreement, dated as of December 30, 2019 shall be considered the Amendment No. 5 to Amended and Restated Credit and Security Agreement, dated as of December 30, 2019, (b) the Amendment No. 5 to Amended and Restated Credit and Security Agreement, dated as of May 15, 2020 shall be considered the Amendment No. 6 to Amended and Restated Credit and Security Agreement, dated as of May 15, 2020, and (c) the Amendment No. 6 to Amended and Restated Credit and Security Agreement, dated as of May 27, 2020 shall be considered the Amendment No. 7 to Amended and Restated Credit and Security Agreement, dated as of May 27, 2020.</w:t>
      </w:r>
    </w:p>
    <w:p>
      <w:pPr>
        <w:spacing w:after="0" w:line="189" w:lineRule="exact"/>
        <w:rPr>
          <w:rFonts w:ascii="Times New Roman" w:cs="Times New Roman" w:eastAsia="Times New Roman" w:hAnsi="Times New Roman"/>
          <w:sz w:val="20"/>
          <w:szCs w:val="20"/>
          <w:color w:val="010000"/>
        </w:rPr>
      </w:pPr>
    </w:p>
    <w:p>
      <w:pPr>
        <w:jc w:val="both"/>
        <w:ind w:firstLine="872"/>
        <w:spacing w:after="0" w:line="242" w:lineRule="auto"/>
        <w:tabs>
          <w:tab w:leader="none" w:pos="166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Limited Consent</w:t>
      </w:r>
      <w:r>
        <w:rPr>
          <w:rFonts w:ascii="Times New Roman" w:cs="Times New Roman" w:eastAsia="Times New Roman" w:hAnsi="Times New Roman"/>
          <w:sz w:val="20"/>
          <w:szCs w:val="20"/>
          <w:color w:val="auto"/>
        </w:rPr>
        <w:t>. At the request of and as an accommodation to the Borrowers, subject to the satisfaction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conditions, including, without limitation, the conditions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in accordance with the terms set forth in this Agreement, Agent and each Required Lender hereby consents to (a) the New Borrower entering into the Truweo Acquisition Agreement and the consummation of the Truweo Acquisition in accordance with the terms of the Truweo Acquisition Agreement and (b) the incurrence of Subordinated Debt under the Truweo Seller Note in accordance with the terms thereof and the terms of the Truweo Subordination Agreement. The consents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is effective solely for the purposes set forth herein and shall be limited precisely as written and shall not be deemed to (1) be a consent to any amendment, waiver or modification of any other term or condition of the Credit Agreement or of any other Financing Document; (2) prejudice any right that Agent or the Lenders have or may have in the future under or in connection with the Credit Agreement or any other Financing Document; (3) constitute a consent to or waiver of any past, present or future Default or Event of Default or other violation of any provisions of the Credit Agreement or any other Financing Documents, (4) create any obligation to forbear from taking any enforcement action, or to make any further extensions of credit or (5) establish a custom or course of dealing among any of the Credit Parties, on the one hand, or Agent or any Lender, on the other hand.</w:t>
      </w:r>
    </w:p>
    <w:p>
      <w:pPr>
        <w:spacing w:after="0" w:line="187" w:lineRule="exact"/>
        <w:rPr>
          <w:rFonts w:ascii="Times New Roman" w:cs="Times New Roman" w:eastAsia="Times New Roman" w:hAnsi="Times New Roman"/>
          <w:sz w:val="20"/>
          <w:szCs w:val="20"/>
          <w:color w:val="010000"/>
        </w:rPr>
      </w:pPr>
    </w:p>
    <w:p>
      <w:pPr>
        <w:ind w:left="1660" w:hanging="788"/>
        <w:spacing w:after="0"/>
        <w:tabs>
          <w:tab w:leader="none" w:pos="1660"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Joinder</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595" w:val="left"/>
        </w:tabs>
        <w:numPr>
          <w:ilvl w:val="1"/>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the satisfaction of the conditions precedent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New Borrower hereby assumes the Obligations under the Credit Agreement and joins in, adopts and becomes (i) a Borrower under the Credit Agreement and any Notes, (ii) an Issuer (as defined in the Pledge Agreement) under the Pledge Agreement, and (iii) party to the other Financing Documents applicable to it as a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20"/>
          <w:szCs w:val="20"/>
          <w:color w:val="auto"/>
        </w:rPr>
        <w:t>Each party hereto agrees that all references to “Borrower” or “Borrowers” contained in the Financing Documents are hereby deemed for all purposes to also refer to and include New Borrower as a Borrower, and New Borrower hereby agrees to comply with all of the terms and conditions of the Financing Documents as if New Borrower was an original signatory thereto.</w:t>
      </w:r>
    </w:p>
    <w:p>
      <w:pPr>
        <w:spacing w:after="0" w:line="174" w:lineRule="exact"/>
        <w:rPr>
          <w:sz w:val="20"/>
          <w:szCs w:val="20"/>
          <w:color w:val="auto"/>
        </w:rPr>
      </w:pPr>
    </w:p>
    <w:p>
      <w:pPr>
        <w:jc w:val="both"/>
        <w:ind w:firstLine="1735"/>
        <w:spacing w:after="0" w:line="245" w:lineRule="auto"/>
        <w:tabs>
          <w:tab w:leader="none" w:pos="2606" w:val="left"/>
        </w:tabs>
        <w:numPr>
          <w:ilvl w:val="1"/>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the foregoing, unless Agent shall otherwise agree in writing in its reasonable discretion, no Accounts or Inventory of New Borrower shall be included as Eligible Accounts or Eligible Inventory until a field examination (and, if required by Agent, an Inventory appraisal) with respect thereto has been completed to the reasonable satisfaction of Agent, including the establishment of reserves required in Agent’s reasonable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field examinations and appraisals in connection with the joinder of New Borrower shall not count against the limited number of field examinations or appraisals for which expense reimbursement may be sought under the Credit Agreement.</w:t>
      </w:r>
    </w:p>
    <w:p>
      <w:pPr>
        <w:spacing w:after="0" w:line="180" w:lineRule="exact"/>
        <w:rPr>
          <w:rFonts w:ascii="Times New Roman" w:cs="Times New Roman" w:eastAsia="Times New Roman" w:hAnsi="Times New Roman"/>
          <w:sz w:val="20"/>
          <w:szCs w:val="20"/>
          <w:color w:val="010000"/>
        </w:rPr>
      </w:pPr>
    </w:p>
    <w:p>
      <w:pPr>
        <w:ind w:firstLine="872"/>
        <w:spacing w:after="0" w:line="300" w:lineRule="auto"/>
        <w:tabs>
          <w:tab w:leader="none" w:pos="1660" w:val="left"/>
        </w:tabs>
        <w:numPr>
          <w:ilvl w:val="0"/>
          <w:numId w:val="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b w:val="1"/>
          <w:bCs w:val="1"/>
          <w:u w:val="single" w:color="auto"/>
          <w:color w:val="auto"/>
        </w:rPr>
        <w:t>Amendments to Original Credit Agreement</w:t>
      </w:r>
      <w:r>
        <w:rPr>
          <w:rFonts w:ascii="Times New Roman" w:cs="Times New Roman" w:eastAsia="Times New Roman" w:hAnsi="Times New Roman"/>
          <w:sz w:val="19"/>
          <w:szCs w:val="19"/>
          <w:color w:val="auto"/>
        </w:rPr>
        <w:t>. Subject to the terms and conditions of this Agreement,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limitation, the conditions to effectiveness set forth in Section 9 below, the Original Credit Agreement is hereby amended as follows:</w:t>
      </w:r>
    </w:p>
    <w:p>
      <w:pPr>
        <w:spacing w:after="0" w:line="132" w:lineRule="exact"/>
        <w:rPr>
          <w:rFonts w:ascii="Times New Roman" w:cs="Times New Roman" w:eastAsia="Times New Roman" w:hAnsi="Times New Roman"/>
          <w:sz w:val="19"/>
          <w:szCs w:val="19"/>
          <w:color w:val="010000"/>
        </w:rPr>
      </w:pPr>
    </w:p>
    <w:p>
      <w:pPr>
        <w:ind w:left="2600" w:hanging="865"/>
        <w:spacing w:after="0"/>
        <w:tabs>
          <w:tab w:leader="none" w:pos="2600" w:val="left"/>
        </w:tabs>
        <w:numPr>
          <w:ilvl w:val="1"/>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following definitions are hereby added to Section 1.1 of the Original Credit Agreement in their</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respective alphabetic order:</w:t>
      </w:r>
    </w:p>
    <w:p>
      <w:pPr>
        <w:spacing w:after="0" w:line="190" w:lineRule="exact"/>
        <w:rPr>
          <w:sz w:val="20"/>
          <w:szCs w:val="20"/>
          <w:color w:val="auto"/>
        </w:rPr>
      </w:pPr>
    </w:p>
    <w:p>
      <w:pPr>
        <w:jc w:val="both"/>
        <w:ind w:left="1740" w:right="8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Eighth Amendment</w:t>
      </w:r>
      <w:r>
        <w:rPr>
          <w:rFonts w:ascii="Times New Roman" w:cs="Times New Roman" w:eastAsia="Times New Roman" w:hAnsi="Times New Roman"/>
          <w:sz w:val="20"/>
          <w:szCs w:val="20"/>
          <w:color w:val="auto"/>
        </w:rPr>
        <w:t>” means that certain Omnibus Limited Consent, Joinder and Amendment No. 8 to Amended and Restated Credit and Security Agreement and Amendment No. 4 to Pledge Agreement, dated as of August 26, 2020, among Borrowers, Agent and Lenders party thereto.</w:t>
      </w:r>
    </w:p>
    <w:p>
      <w:pPr>
        <w:spacing w:after="0" w:line="169" w:lineRule="exact"/>
        <w:rPr>
          <w:sz w:val="20"/>
          <w:szCs w:val="20"/>
          <w:color w:val="auto"/>
        </w:rPr>
      </w:pPr>
    </w:p>
    <w:p>
      <w:pPr>
        <w:jc w:val="both"/>
        <w:ind w:left="1740" w:right="8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Eighth Amendment Effective Date</w:t>
      </w:r>
      <w:r>
        <w:rPr>
          <w:rFonts w:ascii="Times New Roman" w:cs="Times New Roman" w:eastAsia="Times New Roman" w:hAnsi="Times New Roman"/>
          <w:sz w:val="20"/>
          <w:szCs w:val="20"/>
          <w:color w:val="auto"/>
        </w:rPr>
        <w:t>” means the first date on which all of the conditions set forth in Section 9 of the Eighth Amendment are satisfied.</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Truweo Acquisition Agreement</w:t>
      </w:r>
      <w:r>
        <w:rPr>
          <w:rFonts w:ascii="Times New Roman" w:cs="Times New Roman" w:eastAsia="Times New Roman" w:hAnsi="Times New Roman"/>
          <w:sz w:val="20"/>
          <w:szCs w:val="20"/>
          <w:color w:val="auto"/>
        </w:rPr>
        <w:t>” has the meaning set forth in the Eighth Amendment.</w:t>
      </w:r>
    </w:p>
    <w:p>
      <w:pPr>
        <w:spacing w:after="0" w:line="2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Truweo Seller Note</w:t>
      </w:r>
      <w:r>
        <w:rPr>
          <w:rFonts w:ascii="Times New Roman" w:cs="Times New Roman" w:eastAsia="Times New Roman" w:hAnsi="Times New Roman"/>
          <w:sz w:val="20"/>
          <w:szCs w:val="20"/>
          <w:color w:val="auto"/>
        </w:rPr>
        <w:t>” has the meaning set forth in the Eighth Amendment.</w:t>
      </w:r>
    </w:p>
    <w:p>
      <w:pPr>
        <w:spacing w:after="0" w:line="216" w:lineRule="exact"/>
        <w:rPr>
          <w:sz w:val="20"/>
          <w:szCs w:val="20"/>
          <w:color w:val="auto"/>
        </w:rPr>
      </w:pPr>
    </w:p>
    <w:p>
      <w:pPr>
        <w:jc w:val="both"/>
        <w:ind w:left="1740" w:right="8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Truweo Subordination Agreement</w:t>
      </w:r>
      <w:r>
        <w:rPr>
          <w:rFonts w:ascii="Times New Roman" w:cs="Times New Roman" w:eastAsia="Times New Roman" w:hAnsi="Times New Roman"/>
          <w:sz w:val="20"/>
          <w:szCs w:val="20"/>
          <w:color w:val="auto"/>
        </w:rPr>
        <w:t>” means that certain Subordination Agreement, dated as of the Eighth Amendment Effective Date, among the parties signatory thereto, as subordinated creditors, Agent and Borrowers, as such document may be amended, restated, supplemented or otherwise modified from time to time after the date hereof.</w:t>
      </w:r>
    </w:p>
    <w:p>
      <w:pPr>
        <w:spacing w:after="0" w:line="176" w:lineRule="exact"/>
        <w:rPr>
          <w:sz w:val="20"/>
          <w:szCs w:val="20"/>
          <w:color w:val="auto"/>
        </w:rPr>
      </w:pPr>
    </w:p>
    <w:p>
      <w:pPr>
        <w:ind w:firstLine="1735"/>
        <w:spacing w:after="0" w:line="273" w:lineRule="auto"/>
        <w:tabs>
          <w:tab w:leader="none" w:pos="2606"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Subordinated Debt Documents</w:t>
      </w:r>
      <w:r>
        <w:rPr>
          <w:rFonts w:ascii="Times New Roman" w:cs="Times New Roman" w:eastAsia="Times New Roman" w:hAnsi="Times New Roman"/>
          <w:sz w:val="20"/>
          <w:szCs w:val="20"/>
          <w:color w:val="auto"/>
        </w:rPr>
        <w:t>” appearing in Section 1.1 of the Original Credit Agreement is hereby amended and restated in its entirety as follows:</w:t>
      </w:r>
    </w:p>
    <w:p>
      <w:pPr>
        <w:spacing w:after="0" w:line="152" w:lineRule="exact"/>
        <w:rPr>
          <w:sz w:val="20"/>
          <w:szCs w:val="20"/>
          <w:color w:val="auto"/>
        </w:rPr>
      </w:pPr>
    </w:p>
    <w:p>
      <w:pPr>
        <w:jc w:val="both"/>
        <w:ind w:left="174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Debt Documents</w:t>
      </w:r>
      <w:r>
        <w:rPr>
          <w:rFonts w:ascii="Times New Roman" w:cs="Times New Roman" w:eastAsia="Times New Roman" w:hAnsi="Times New Roman"/>
          <w:sz w:val="20"/>
          <w:szCs w:val="20"/>
          <w:color w:val="auto"/>
        </w:rPr>
        <w:t>" means (a) the Aussie Health Seller Note, (b) the Truweo Seller Note and (c) each other document or agreement evidencing and/or securing Debt governed by a Subordination Agreement or otherwise by its terms subordinated to the Obligations, all of which documents must be in form and substance acceptable to Agent in its sole discretion. As of the Closing Date, there are no Subordinated Debt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ind w:firstLine="1735"/>
        <w:spacing w:after="0" w:line="273" w:lineRule="auto"/>
        <w:tabs>
          <w:tab w:leader="none" w:pos="2595"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b w:val="1"/>
          <w:bCs w:val="1"/>
          <w:color w:val="auto"/>
        </w:rPr>
        <w:t>Subordination Agreement</w:t>
      </w:r>
      <w:r>
        <w:rPr>
          <w:rFonts w:ascii="Times New Roman" w:cs="Times New Roman" w:eastAsia="Times New Roman" w:hAnsi="Times New Roman"/>
          <w:sz w:val="20"/>
          <w:szCs w:val="20"/>
          <w:color w:val="auto"/>
        </w:rPr>
        <w:t>” appearing in Section 1.1 of the Original Credit Agreement is hereby amended and restated in its entirety as follows:</w:t>
      </w:r>
    </w:p>
    <w:p>
      <w:pPr>
        <w:spacing w:after="0" w:line="152" w:lineRule="exact"/>
        <w:rPr>
          <w:sz w:val="20"/>
          <w:szCs w:val="20"/>
          <w:color w:val="auto"/>
        </w:rPr>
      </w:pPr>
    </w:p>
    <w:p>
      <w:pPr>
        <w:jc w:val="both"/>
        <w:ind w:left="174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Subordination Agreement</w:t>
      </w:r>
      <w:r>
        <w:rPr>
          <w:rFonts w:ascii="Times New Roman" w:cs="Times New Roman" w:eastAsia="Times New Roman" w:hAnsi="Times New Roman"/>
          <w:sz w:val="20"/>
          <w:szCs w:val="20"/>
          <w:color w:val="auto"/>
        </w:rPr>
        <w:t>" means (a) the Aussie Health Subordination Agreement, (b) the Truweo Subordination Agreement and (c) any other agreement between Agent and another creditor of Borrowers, as the same may be amended, supplemented, restated or otherwise modified from time to time in accordance with the terms thereof, pursuant to which the Debt owing from any Borrower(s) and/or the Liens securing such Debt granted by any Borrower(s)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183" w:lineRule="exact"/>
        <w:rPr>
          <w:sz w:val="20"/>
          <w:szCs w:val="20"/>
          <w:color w:val="auto"/>
        </w:rPr>
      </w:pPr>
    </w:p>
    <w:p>
      <w:pPr>
        <w:jc w:val="both"/>
        <w:ind w:firstLine="1735"/>
        <w:spacing w:after="0" w:line="254" w:lineRule="auto"/>
        <w:tabs>
          <w:tab w:leader="none" w:pos="2606" w:val="left"/>
        </w:tabs>
        <w:numPr>
          <w:ilvl w:val="1"/>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are supplements to the Schedules to the Original Credit Agreement and setting forth the relevant information with respect to New Borrower which are added to the information set forth on Schedules to the Original Credit Agreement to which they apply and shall be deemed attached thereto and become a part thereof.</w:t>
      </w:r>
    </w:p>
    <w:p>
      <w:pPr>
        <w:spacing w:after="0" w:line="170" w:lineRule="exact"/>
        <w:rPr>
          <w:rFonts w:ascii="Times New Roman" w:cs="Times New Roman" w:eastAsia="Times New Roman" w:hAnsi="Times New Roman"/>
          <w:sz w:val="20"/>
          <w:szCs w:val="20"/>
          <w:color w:val="010000"/>
        </w:rPr>
      </w:pPr>
    </w:p>
    <w:p>
      <w:pPr>
        <w:jc w:val="both"/>
        <w:ind w:firstLine="872"/>
        <w:spacing w:after="0" w:line="250" w:lineRule="auto"/>
        <w:tabs>
          <w:tab w:leader="none" w:pos="1660"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Amendment to Pledge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Borrower, including New Borrower, hereby agrees that the schedules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are true and correct as of the date hereof and reflect the joinder of New Borrower as an Issuer under the Pledge Agreement and shall be deemed to be added to the schedules of the same number in the Pledge Agreement and shall be deemed attached thereto and become a part thereof.</w:t>
      </w:r>
    </w:p>
    <w:p>
      <w:pPr>
        <w:spacing w:after="0" w:line="175" w:lineRule="exact"/>
        <w:rPr>
          <w:rFonts w:ascii="Times New Roman" w:cs="Times New Roman" w:eastAsia="Times New Roman" w:hAnsi="Times New Roman"/>
          <w:sz w:val="20"/>
          <w:szCs w:val="20"/>
          <w:color w:val="010000"/>
        </w:rPr>
      </w:pPr>
    </w:p>
    <w:p>
      <w:pPr>
        <w:jc w:val="both"/>
        <w:ind w:firstLine="872"/>
        <w:spacing w:after="0" w:line="246" w:lineRule="auto"/>
        <w:tabs>
          <w:tab w:leader="none" w:pos="1660"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Grant of Security Interest</w:t>
      </w:r>
      <w:r>
        <w:rPr>
          <w:rFonts w:ascii="Times New Roman" w:cs="Times New Roman" w:eastAsia="Times New Roman" w:hAnsi="Times New Roman"/>
          <w:sz w:val="20"/>
          <w:szCs w:val="20"/>
          <w:color w:val="auto"/>
        </w:rPr>
        <w:t>. Consistent with the intent of the parties and in consideration of the accommodations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herein, as further security for the prompt payment in full of all Obligations, and without limiting any other grant of a Lien and security interest in a Security Document, New Borrower hereby collaterally assigns and grants to Agent, for the benefit of itself and Lenders, and subject only to Permitted Liens, a continuing first priority Lien on and security interest in, upon, and to all of New Borrower’s right, title and interest in and to all of New Borrower’s assets, including without limitation, all of New Borrower’s right, title, and interest in and to the following, whether now owned or hereafter created, acquired or arising:</w:t>
      </w:r>
    </w:p>
    <w:p>
      <w:pPr>
        <w:spacing w:after="0" w:line="182" w:lineRule="exact"/>
        <w:rPr>
          <w:rFonts w:ascii="Times New Roman" w:cs="Times New Roman" w:eastAsia="Times New Roman" w:hAnsi="Times New Roman"/>
          <w:sz w:val="20"/>
          <w:szCs w:val="20"/>
          <w:color w:val="010000"/>
        </w:rPr>
      </w:pPr>
    </w:p>
    <w:p>
      <w:pPr>
        <w:jc w:val="both"/>
        <w:ind w:firstLine="1735"/>
        <w:spacing w:after="0" w:line="245" w:lineRule="auto"/>
        <w:tabs>
          <w:tab w:leader="none" w:pos="2595" w:val="left"/>
        </w:tabs>
        <w:numPr>
          <w:ilvl w:val="1"/>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goods, Accounts (including health-care insurance receivables), Equipment, Inventory, contract rights or rights to payment of money, leases, license agreements, franchise agreements, General Intangibles, commercial tort claims (including each such claim listed on Schedule 9.2(d)),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84" w:lineRule="exact"/>
        <w:rPr>
          <w:rFonts w:ascii="Times New Roman" w:cs="Times New Roman" w:eastAsia="Times New Roman" w:hAnsi="Times New Roman"/>
          <w:sz w:val="20"/>
          <w:szCs w:val="20"/>
          <w:color w:val="010000"/>
        </w:rPr>
      </w:pPr>
    </w:p>
    <w:p>
      <w:pPr>
        <w:ind w:left="2620" w:hanging="885"/>
        <w:spacing w:after="0"/>
        <w:tabs>
          <w:tab w:leader="none" w:pos="2620" w:val="left"/>
        </w:tabs>
        <w:numPr>
          <w:ilvl w:val="1"/>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of New Borrower's books and records relating to any of the foregoing; and</w:t>
      </w:r>
    </w:p>
    <w:p>
      <w:pPr>
        <w:spacing w:after="0" w:line="215" w:lineRule="exact"/>
        <w:rPr>
          <w:rFonts w:ascii="Times New Roman" w:cs="Times New Roman" w:eastAsia="Times New Roman" w:hAnsi="Times New Roman"/>
          <w:sz w:val="20"/>
          <w:szCs w:val="20"/>
          <w:color w:val="010000"/>
        </w:rPr>
      </w:pPr>
    </w:p>
    <w:p>
      <w:pPr>
        <w:ind w:firstLine="1735"/>
        <w:spacing w:after="0" w:line="269" w:lineRule="auto"/>
        <w:tabs>
          <w:tab w:leader="none" w:pos="2595" w:val="left"/>
        </w:tabs>
        <w:numPr>
          <w:ilvl w:val="1"/>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and all claims, rights and interests in any of the above and all substitutions for, additions, attachments, accessories, accessions and improvements to and replacements, products, proceeds and insurance proceeds of any or all of the foregoing.</w:t>
      </w:r>
    </w:p>
    <w:p>
      <w:pPr>
        <w:spacing w:after="0" w:line="159" w:lineRule="exact"/>
        <w:rPr>
          <w:sz w:val="20"/>
          <w:szCs w:val="20"/>
          <w:color w:val="auto"/>
        </w:rPr>
      </w:pPr>
    </w:p>
    <w:p>
      <w:pPr>
        <w:jc w:val="both"/>
        <w:ind w:right="20" w:firstLine="864"/>
        <w:spacing w:after="0" w:line="254" w:lineRule="auto"/>
        <w:rPr>
          <w:sz w:val="20"/>
          <w:szCs w:val="20"/>
          <w:color w:val="auto"/>
        </w:rPr>
      </w:pPr>
      <w:r>
        <w:rPr>
          <w:rFonts w:ascii="Times New Roman" w:cs="Times New Roman" w:eastAsia="Times New Roman" w:hAnsi="Times New Roman"/>
          <w:sz w:val="20"/>
          <w:szCs w:val="20"/>
          <w:color w:val="auto"/>
        </w:rPr>
        <w:t>New Borrower hereby authorizes Agent to file UCC-1 financing statements against New Borrower covering the Collateral owned by New Borrower in such jurisdictions as Agent shall deem necessary, prudent or desirable to perfect and protect the liens and security interests granted to Agent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8" w:name="page69"/>
    <w:bookmarkEnd w:id="68"/>
    <w:p>
      <w:pPr>
        <w:jc w:val="both"/>
        <w:ind w:left="-872" w:firstLine="872"/>
        <w:spacing w:after="0" w:line="242" w:lineRule="auto"/>
        <w:tabs>
          <w:tab w:leader="none" w:pos="788"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Representations and Warranties; Reaffirmation of Security Interest</w:t>
      </w:r>
      <w:r>
        <w:rPr>
          <w:rFonts w:ascii="Times New Roman" w:cs="Times New Roman" w:eastAsia="Times New Roman" w:hAnsi="Times New Roman"/>
          <w:sz w:val="20"/>
          <w:szCs w:val="20"/>
          <w:color w:val="auto"/>
        </w:rPr>
        <w:t>. Each Borrower hereby (a) confirms that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and (b) covenants to perform its respective obligations under the Credit Agreement. Each Borrower confirms and agrees that all security interests and Liens granted to Agent continue in full force and effect, and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its terms, except as the enforceability thereof may be limited by bankruptcy, insolvency or other similar laws relating to the enforcement of creditors’ rights generally and by general equitable principles.</w:t>
      </w:r>
    </w:p>
    <w:p>
      <w:pPr>
        <w:spacing w:after="0" w:line="189" w:lineRule="exact"/>
        <w:rPr>
          <w:rFonts w:ascii="Times New Roman" w:cs="Times New Roman" w:eastAsia="Times New Roman" w:hAnsi="Times New Roman"/>
          <w:sz w:val="20"/>
          <w:szCs w:val="20"/>
          <w:color w:val="010000"/>
        </w:rPr>
      </w:pPr>
    </w:p>
    <w:p>
      <w:pPr>
        <w:jc w:val="both"/>
        <w:ind w:left="-872" w:firstLine="872"/>
        <w:spacing w:after="0" w:line="247" w:lineRule="auto"/>
        <w:tabs>
          <w:tab w:leader="none" w:pos="788"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Costs and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Borrowers shall be responsible for the payment of all reasonable and documented out-of-pocket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fees of Agent’s counsel incurred in connection with the preparation of this Agreement and any related documents. If Agent or any Lender uses in-house counsel for any of these purposes, Borrowers further agree that the Obligations include reasonable charges for such work commensurate with the fees that would otherwise be charged by outside legal counsel selected by Agent or such Lender for the work performed.</w:t>
      </w:r>
    </w:p>
    <w:p>
      <w:pPr>
        <w:spacing w:after="0" w:line="180" w:lineRule="exact"/>
        <w:rPr>
          <w:rFonts w:ascii="Times New Roman" w:cs="Times New Roman" w:eastAsia="Times New Roman" w:hAnsi="Times New Roman"/>
          <w:sz w:val="20"/>
          <w:szCs w:val="20"/>
          <w:color w:val="010000"/>
        </w:rPr>
      </w:pPr>
    </w:p>
    <w:p>
      <w:pPr>
        <w:jc w:val="both"/>
        <w:ind w:left="-872" w:firstLine="872"/>
        <w:spacing w:after="0" w:line="256" w:lineRule="auto"/>
        <w:tabs>
          <w:tab w:leader="none" w:pos="788"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as of the date on which Agent has received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document and instrument set forth in this section, each in form and substance satisfactory to Agent, including the satisfaction of the following conditions precedent, each to the satisfaction of Agent in its sole discretion:</w:t>
      </w:r>
    </w:p>
    <w:p>
      <w:pPr>
        <w:spacing w:after="0" w:line="172" w:lineRule="exact"/>
        <w:rPr>
          <w:rFonts w:ascii="Times New Roman" w:cs="Times New Roman" w:eastAsia="Times New Roman" w:hAnsi="Times New Roman"/>
          <w:sz w:val="20"/>
          <w:szCs w:val="20"/>
          <w:color w:val="010000"/>
        </w:rPr>
      </w:pPr>
    </w:p>
    <w:p>
      <w:pPr>
        <w:ind w:left="8" w:firstLine="789"/>
        <w:spacing w:after="0" w:line="269" w:lineRule="auto"/>
        <w:tabs>
          <w:tab w:leader="none" w:pos="167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have delivered to Agent this Agreement, duly executed by an authorized officer (or authorized signatory) of each Borrower;</w:t>
      </w:r>
    </w:p>
    <w:p>
      <w:pPr>
        <w:spacing w:after="0" w:line="159" w:lineRule="exact"/>
        <w:rPr>
          <w:rFonts w:ascii="Times New Roman" w:cs="Times New Roman" w:eastAsia="Times New Roman" w:hAnsi="Times New Roman"/>
          <w:sz w:val="20"/>
          <w:szCs w:val="20"/>
          <w:color w:val="auto"/>
        </w:rPr>
      </w:pPr>
    </w:p>
    <w:p>
      <w:pPr>
        <w:ind w:left="8" w:firstLine="789"/>
        <w:spacing w:after="0" w:line="269" w:lineRule="auto"/>
        <w:tabs>
          <w:tab w:leader="none" w:pos="16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the Truweo Subordination Agreement, duly executed by as subordinated creditors party thereto, Agent and Borrowers;</w:t>
      </w:r>
    </w:p>
    <w:p>
      <w:pPr>
        <w:spacing w:after="0" w:line="159" w:lineRule="exact"/>
        <w:rPr>
          <w:rFonts w:ascii="Times New Roman" w:cs="Times New Roman" w:eastAsia="Times New Roman" w:hAnsi="Times New Roman"/>
          <w:sz w:val="20"/>
          <w:szCs w:val="20"/>
          <w:color w:val="auto"/>
        </w:rPr>
      </w:pPr>
    </w:p>
    <w:p>
      <w:pPr>
        <w:jc w:val="both"/>
        <w:ind w:left="8" w:firstLine="789"/>
        <w:spacing w:after="0" w:line="249" w:lineRule="auto"/>
        <w:tabs>
          <w:tab w:leader="none" w:pos="167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fully executed copy of the Truweo Acquisition Agreement and all other material agreements, documents or instruments pursuant to which the Truweo Acquisition is to be consummated, any schedules to such agreements, documents or instruments and all other material ancillary agreements, instruments and documents to be executed or delivered in connection therewith;</w:t>
      </w:r>
    </w:p>
    <w:p>
      <w:pPr>
        <w:spacing w:after="0" w:line="179" w:lineRule="exact"/>
        <w:rPr>
          <w:rFonts w:ascii="Times New Roman" w:cs="Times New Roman" w:eastAsia="Times New Roman" w:hAnsi="Times New Roman"/>
          <w:sz w:val="20"/>
          <w:szCs w:val="20"/>
          <w:color w:val="auto"/>
        </w:rPr>
      </w:pPr>
    </w:p>
    <w:p>
      <w:pPr>
        <w:jc w:val="both"/>
        <w:ind w:left="8" w:firstLine="789"/>
        <w:spacing w:after="0" w:line="249" w:lineRule="auto"/>
        <w:tabs>
          <w:tab w:leader="none" w:pos="16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concurrently with the effectiveness of this Agreement, the Truweo Acquisition has been consummated (i) in all material respects in accordance with the terms of the Truweo Acquisition Agreement and (ii) in accordance with applicable Law (and such parties’ delivery of their respective signatures hereto shall be deemed to be its certification thereof);</w:t>
      </w:r>
    </w:p>
    <w:p>
      <w:pPr>
        <w:spacing w:after="0" w:line="179" w:lineRule="exact"/>
        <w:rPr>
          <w:rFonts w:ascii="Times New Roman" w:cs="Times New Roman" w:eastAsia="Times New Roman" w:hAnsi="Times New Roman"/>
          <w:sz w:val="20"/>
          <w:szCs w:val="20"/>
          <w:color w:val="auto"/>
        </w:rPr>
      </w:pPr>
    </w:p>
    <w:p>
      <w:pPr>
        <w:ind w:left="1668" w:hanging="871"/>
        <w:spacing w:after="0"/>
        <w:tabs>
          <w:tab w:leader="none" w:pos="1668"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Intellectual Property Security Agreement executed by New Borrower:</w:t>
      </w:r>
    </w:p>
    <w:p>
      <w:pPr>
        <w:spacing w:after="0" w:line="215" w:lineRule="exact"/>
        <w:rPr>
          <w:rFonts w:ascii="Times New Roman" w:cs="Times New Roman" w:eastAsia="Times New Roman" w:hAnsi="Times New Roman"/>
          <w:sz w:val="20"/>
          <w:szCs w:val="20"/>
          <w:color w:val="auto"/>
        </w:rPr>
      </w:pPr>
    </w:p>
    <w:p>
      <w:pPr>
        <w:jc w:val="both"/>
        <w:ind w:left="8" w:firstLine="789"/>
        <w:spacing w:after="0" w:line="246" w:lineRule="auto"/>
        <w:tabs>
          <w:tab w:leader="none" w:pos="165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from an officer (or another authorized person) of New Borrower certifying as to (i) the names and signatures of each officer or authorized signatories of the New Borrower authorized to execute and deliver this Agreement and all documents executed in connection therewith, (ii) the Organizational Documents (as defined in the Credit Agreement) of New Borrower attached to such certificate are complete and correct copies of such Organizational Documents as in effect on the date of such certification, (iii) the resolutions of New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337820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45" w:right="339" w:bottom="1440" w:gutter="0" w:footer="0" w:header="0"/>
        </w:sectPr>
      </w:pPr>
    </w:p>
    <w:bookmarkStart w:id="69" w:name="page70"/>
    <w:bookmarkEnd w:id="69"/>
    <w:p>
      <w:pPr>
        <w:jc w:val="both"/>
        <w:ind w:left="880"/>
        <w:spacing w:after="0" w:line="254" w:lineRule="auto"/>
        <w:rPr>
          <w:sz w:val="20"/>
          <w:szCs w:val="20"/>
          <w:color w:val="auto"/>
        </w:rPr>
      </w:pPr>
      <w:r>
        <w:rPr>
          <w:rFonts w:ascii="Times New Roman" w:cs="Times New Roman" w:eastAsia="Times New Roman" w:hAnsi="Times New Roman"/>
          <w:sz w:val="20"/>
          <w:szCs w:val="20"/>
          <w:color w:val="auto"/>
        </w:rPr>
        <w:t>board of directors or other appropriate governing body approving and authorizing the execution, delivery and performance of this Agreement and the other documents executed in connection therewith, and (iv) certificates attesting to the good standing of New Borrower in each applicable jurisdiction, together with, if applicable, related tax certificates;</w:t>
      </w:r>
    </w:p>
    <w:p>
      <w:pPr>
        <w:spacing w:after="0" w:line="174" w:lineRule="exact"/>
        <w:rPr>
          <w:sz w:val="20"/>
          <w:szCs w:val="20"/>
          <w:color w:val="auto"/>
        </w:rPr>
      </w:pPr>
    </w:p>
    <w:p>
      <w:pPr>
        <w:ind w:left="880" w:right="20" w:firstLine="789"/>
        <w:spacing w:after="0" w:line="269" w:lineRule="auto"/>
        <w:tabs>
          <w:tab w:leader="none" w:pos="255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New Borrower, current UCC searches from the Secretary of State of its jurisdiction of organization with results reasonably acceptable to Agent;</w:t>
      </w:r>
    </w:p>
    <w:p>
      <w:pPr>
        <w:spacing w:after="0" w:line="159" w:lineRule="exact"/>
        <w:rPr>
          <w:rFonts w:ascii="Times New Roman" w:cs="Times New Roman" w:eastAsia="Times New Roman" w:hAnsi="Times New Roman"/>
          <w:sz w:val="20"/>
          <w:szCs w:val="20"/>
          <w:color w:val="auto"/>
        </w:rPr>
      </w:pPr>
    </w:p>
    <w:p>
      <w:pPr>
        <w:ind w:left="880" w:firstLine="789"/>
        <w:spacing w:after="0" w:line="269" w:lineRule="auto"/>
        <w:tabs>
          <w:tab w:leader="none" w:pos="255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duly executed legal opinion of New Borrower’s counsel, addressed to Agent and Lenders, addressing matters Agent may reasonably request;</w:t>
      </w:r>
    </w:p>
    <w:p>
      <w:pPr>
        <w:spacing w:after="0" w:line="159" w:lineRule="exact"/>
        <w:rPr>
          <w:rFonts w:ascii="Times New Roman" w:cs="Times New Roman" w:eastAsia="Times New Roman" w:hAnsi="Times New Roman"/>
          <w:sz w:val="20"/>
          <w:szCs w:val="20"/>
          <w:color w:val="auto"/>
        </w:rPr>
      </w:pPr>
    </w:p>
    <w:p>
      <w:pPr>
        <w:jc w:val="both"/>
        <w:ind w:left="880" w:firstLine="789"/>
        <w:spacing w:after="0" w:line="245" w:lineRule="auto"/>
        <w:tabs>
          <w:tab w:leader="none" w:pos="251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representations and warranties of Borrowers set forth herein and in the other Financing Documents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representations and warranties were true and correct in all material respects (without duplication of any materiality qualifier in the text of such representation or warranty) on and as of such date (and such parties’ delivery of their respective signatures hereto shall be deemed to be its certification thereof);</w:t>
      </w:r>
    </w:p>
    <w:p>
      <w:pPr>
        <w:spacing w:after="0" w:line="184" w:lineRule="exact"/>
        <w:rPr>
          <w:rFonts w:ascii="Times New Roman" w:cs="Times New Roman" w:eastAsia="Times New Roman" w:hAnsi="Times New Roman"/>
          <w:sz w:val="20"/>
          <w:szCs w:val="20"/>
          <w:color w:val="auto"/>
        </w:rPr>
      </w:pPr>
    </w:p>
    <w:p>
      <w:pPr>
        <w:ind w:left="880" w:firstLine="789"/>
        <w:spacing w:after="0" w:line="269" w:lineRule="auto"/>
        <w:tabs>
          <w:tab w:leader="none" w:pos="251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under any of the Financing Documents (and such parties’ delivery of their respective signatures hereto shall be deemed to be its certification thereof);</w:t>
      </w:r>
    </w:p>
    <w:p>
      <w:pPr>
        <w:spacing w:after="0" w:line="159"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55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all consents and amendments required under the terms of the Horizon Term Loan Credit Agreement in connection with the Truweo Acquisition and the Truweo Seller Note, in each case, in form and substance reasonably satisfactory to Agent; and</w:t>
      </w:r>
    </w:p>
    <w:p>
      <w:pPr>
        <w:spacing w:after="0" w:line="174"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51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have delivered such other documents, information, certificates, records, permits, and filings as the Agent may reasonably request, including, without limitation, any agreements, instruments and other documents necessary to ensure that Agent receives a perfected Lien in all of to the extent required by the Credit Agreement.</w:t>
      </w:r>
    </w:p>
    <w:p>
      <w:pPr>
        <w:spacing w:after="0" w:line="170"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Post-Closing Requirements</w:t>
      </w:r>
      <w:r>
        <w:rPr>
          <w:rFonts w:ascii="Times New Roman" w:cs="Times New Roman" w:eastAsia="Times New Roman" w:hAnsi="Times New Roman"/>
          <w:sz w:val="20"/>
          <w:szCs w:val="20"/>
          <w:color w:val="auto"/>
        </w:rPr>
        <w:t>. New Borrower hereby covenants and agrees that it shall:</w:t>
      </w:r>
    </w:p>
    <w:p>
      <w:pPr>
        <w:spacing w:after="0" w:line="219"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595" w:val="left"/>
        </w:tabs>
        <w:numPr>
          <w:ilvl w:val="2"/>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the date that is thirty (30) days following the date hereof (or such later date as Agent may agree in its sole discretion in writing), provide Agent with insurance certificates and endorsements, naming Agent as additional insured, assignee or lender loss payee, as applicable, as required by Section 4.4 of the Credit Agreement; and</w:t>
      </w:r>
    </w:p>
    <w:p>
      <w:pPr>
        <w:spacing w:after="0" w:line="174" w:lineRule="exact"/>
        <w:rPr>
          <w:rFonts w:ascii="Times New Roman" w:cs="Times New Roman" w:eastAsia="Times New Roman" w:hAnsi="Times New Roman"/>
          <w:sz w:val="20"/>
          <w:szCs w:val="20"/>
          <w:color w:val="010000"/>
        </w:rPr>
      </w:pPr>
    </w:p>
    <w:p>
      <w:pPr>
        <w:jc w:val="both"/>
        <w:ind w:firstLine="1735"/>
        <w:spacing w:after="0" w:line="245" w:lineRule="auto"/>
        <w:tabs>
          <w:tab w:leader="none" w:pos="2606" w:val="left"/>
        </w:tabs>
        <w:numPr>
          <w:ilvl w:val="2"/>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by the date that is thirty (30) days following the date hereof (or such later date as Agent may agree in its sole discretion in writing), provide Agent with fully executed Deposit Account Control Agreements for the deposit accounts of the New Borrower, as and to the extent required by Section 5.14 of the Credit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until the New Borrower has provided such Deposit Account Control Agreements or evidence of closure, Borrowers shall not permit the funds held in the New Borrower’s Deposit Accounts to exceed the amount(s) reasonably necessary for New Borrower to maintain solvency, assets, level of income, working capital, or its financial condition in the Ordinary Course of Business.</w:t>
      </w:r>
    </w:p>
    <w:p>
      <w:pPr>
        <w:spacing w:after="0" w:line="18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Credit parties hereby agree that failure to comply with the requirements set forth in Section 10 of this Agreement shall constitute an immediate and automatic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jc w:val="both"/>
        <w:ind w:left="-872" w:firstLine="872"/>
        <w:spacing w:after="0" w:line="241" w:lineRule="auto"/>
        <w:tabs>
          <w:tab w:leader="none" w:pos="880"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consideration of the agreements of Agent and Lenders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Releasing Parties</w:t>
      </w:r>
      <w:r>
        <w:rPr>
          <w:rFonts w:ascii="Times New Roman" w:cs="Times New Roman" w:eastAsia="Times New Roman" w:hAnsi="Times New Roman"/>
          <w:sz w:val="20"/>
          <w:szCs w:val="20"/>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that relate to, arise out of or otherwise are in connection with: (i) any or all of the Financing Documents or transactions contemplated thereby or any actions or omissions in connection therewith or (ii) any aspect of the dealings or relationships between or among any or all of the Borrowers, on the one hand, and any or all of the Released Parties, on the other hand, relating to any or all of the documents, transactions, actions or omissions referenced in clause (i) hereof. Each Borrower acknowledges that the foregoing release is a material inducement to Agent’s and Lender’s decision to enter into this Agreement and agree to the modifications contemplated hereunder, and has been relied upon by Agent and Lenders in connection therewith.</w:t>
      </w:r>
    </w:p>
    <w:p>
      <w:pPr>
        <w:spacing w:after="0" w:line="191" w:lineRule="exact"/>
        <w:rPr>
          <w:rFonts w:ascii="Times New Roman" w:cs="Times New Roman" w:eastAsia="Times New Roman" w:hAnsi="Times New Roman"/>
          <w:sz w:val="20"/>
          <w:szCs w:val="20"/>
          <w:color w:val="010000"/>
        </w:rPr>
      </w:pPr>
    </w:p>
    <w:p>
      <w:pPr>
        <w:jc w:val="both"/>
        <w:ind w:left="-872" w:firstLine="872"/>
        <w:spacing w:after="0" w:line="245" w:lineRule="auto"/>
        <w:tabs>
          <w:tab w:leader="none" w:pos="887"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9" w:lineRule="exact"/>
        <w:rPr>
          <w:rFonts w:ascii="Times New Roman" w:cs="Times New Roman" w:eastAsia="Times New Roman" w:hAnsi="Times New Roman"/>
          <w:sz w:val="20"/>
          <w:szCs w:val="20"/>
          <w:color w:val="010000"/>
        </w:rPr>
      </w:pPr>
    </w:p>
    <w:p>
      <w:pPr>
        <w:jc w:val="both"/>
        <w:ind w:left="-872" w:firstLine="872"/>
        <w:spacing w:after="0" w:line="243" w:lineRule="auto"/>
        <w:tabs>
          <w:tab w:leader="none" w:pos="887"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Borrower will disclose the contents of this Agreement, the Credit Agreement or any of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Financing Documents to any third party (other than to such Borrower’s current and prospective direct and indirect financing sources, acquirors and holders of Debt of Credit Parties and the Credit Parties’ direct and indirect equityholders, and its and their respective attorneys, advisors, directors, managers and officers on a need-to-know basis, as otherwise may be required by law or in connection with the resolution of a dispute brought hereunder involving a Credit Party and any of Agent, any Lender, any Participant or in connection with any public or regulatory filing requirement relating to the Financing Documents) without Agent’s prior written consent. Each Borrower agrees to inform all such persons who receive information concerning this Agreement, the Credit Agreement and the other Financing Documents that such information is confidential and may not be disclosed to any other person except as may be required by Law, including to any court or regulatory agency having jurisdiction over such Borrower, any Lender or the Agent.</w:t>
      </w:r>
    </w:p>
    <w:p>
      <w:pPr>
        <w:spacing w:after="0" w:line="185" w:lineRule="exact"/>
        <w:rPr>
          <w:rFonts w:ascii="Times New Roman" w:cs="Times New Roman" w:eastAsia="Times New Roman" w:hAnsi="Times New Roman"/>
          <w:sz w:val="20"/>
          <w:szCs w:val="20"/>
          <w:color w:val="010000"/>
        </w:rPr>
      </w:pPr>
    </w:p>
    <w:p>
      <w:pPr>
        <w:jc w:val="both"/>
        <w:ind w:left="-872" w:firstLine="872"/>
        <w:spacing w:after="0" w:line="250" w:lineRule="auto"/>
        <w:tabs>
          <w:tab w:leader="none" w:pos="887"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specifically amended pursuant to the terms hereof, each Borrower hereby acknowledges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334645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45" w:right="339" w:bottom="1440" w:gutter="0" w:footer="0" w:header="0"/>
        </w:sectPr>
      </w:pPr>
    </w:p>
    <w:bookmarkStart w:id="71" w:name="page72"/>
    <w:bookmarkEnd w:id="71"/>
    <w:p>
      <w:pPr>
        <w:spacing w:after="0" w:line="269" w:lineRule="auto"/>
        <w:rPr>
          <w:sz w:val="20"/>
          <w:szCs w:val="20"/>
          <w:color w:val="auto"/>
        </w:rPr>
      </w:pPr>
      <w:r>
        <w:rPr>
          <w:rFonts w:ascii="Times New Roman" w:cs="Times New Roman" w:eastAsia="Times New Roman" w:hAnsi="Times New Roman"/>
          <w:sz w:val="20"/>
          <w:szCs w:val="20"/>
          <w:color w:val="auto"/>
        </w:rPr>
        <w:t>notwithstanding any prior course of conduct, waivers, releases or other actions or inactions on Agent’s or any Lender’s part which might otherwise constitute or be construed as a waiver of or amendment to such terms, covenants and conditions.</w:t>
      </w:r>
    </w:p>
    <w:p>
      <w:pPr>
        <w:spacing w:after="0" w:line="155" w:lineRule="exact"/>
        <w:rPr>
          <w:sz w:val="20"/>
          <w:szCs w:val="20"/>
          <w:color w:val="auto"/>
        </w:rPr>
      </w:pPr>
    </w:p>
    <w:p>
      <w:pPr>
        <w:ind w:left="1760" w:hanging="888"/>
        <w:spacing w:after="0"/>
        <w:tabs>
          <w:tab w:leader="none" w:pos="1760"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010000"/>
        </w:rPr>
      </w:pPr>
    </w:p>
    <w:p>
      <w:pPr>
        <w:jc w:val="both"/>
        <w:ind w:firstLine="1735"/>
        <w:spacing w:after="0" w:line="246" w:lineRule="auto"/>
        <w:tabs>
          <w:tab w:leader="none" w:pos="2595"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Borrower.</w:t>
      </w:r>
    </w:p>
    <w:p>
      <w:pPr>
        <w:spacing w:after="0" w:line="184"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606"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EACH OTHER FINANCING DOCUMENT, AND ALL MATTERS RELATING HERETO OR THERETO OR ARISING THEREFROM (WHETHER SOUNDING IN CONTRACT LAW, TORT LAW OR OTHERWISE), SHALL BE GOVERNED BY, AND SHALL BE CONSTRUED AND ENFORCED IN ACCORDANCE WITH, THE LAWS OF THE STATE OF MARYLAND, WITHOUT REGARD TO CONFLICTS OF LAWS PRINCIPLES.</w:t>
      </w:r>
    </w:p>
    <w:p>
      <w:pPr>
        <w:spacing w:after="0" w:line="179"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595"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xml:space="preserve">. The provisions contained in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(Indemnification),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(Submission to Jurisdiction) and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(Waiver of Jury Trial) of the Credit Agreement are incorporated herein by reference to the same extent as if reproduced herein in their entirety.</w:t>
      </w:r>
    </w:p>
    <w:p>
      <w:pPr>
        <w:spacing w:after="0" w:line="174" w:lineRule="exact"/>
        <w:rPr>
          <w:rFonts w:ascii="Times New Roman" w:cs="Times New Roman" w:eastAsia="Times New Roman" w:hAnsi="Times New Roman"/>
          <w:sz w:val="20"/>
          <w:szCs w:val="20"/>
          <w:color w:val="010000"/>
        </w:rPr>
      </w:pPr>
    </w:p>
    <w:p>
      <w:pPr>
        <w:ind w:firstLine="1735"/>
        <w:spacing w:after="0" w:line="269" w:lineRule="auto"/>
        <w:tabs>
          <w:tab w:leader="none" w:pos="2606"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595"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79"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573"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Credit Agreement, as amended hereby, and the other Financing Documents constitute the entire agreement and understanding among the parties hereto and supersedes any and all prior agreements and understandings, oral or written, relating to the subject matter hereof.</w:t>
      </w:r>
    </w:p>
    <w:p>
      <w:pPr>
        <w:spacing w:after="0" w:line="174"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606"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010000"/>
        </w:rPr>
      </w:pPr>
    </w:p>
    <w:p>
      <w:pPr>
        <w:ind w:firstLine="1735"/>
        <w:spacing w:after="0" w:line="269" w:lineRule="auto"/>
        <w:tabs>
          <w:tab w:leader="none" w:pos="2606"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bind, and the rights hereunder shall inure to, the respective successors and assigns of the parties hereto, subject to the provisions of the Credit Agreement and the other Financing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785495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IN WITNESS WHEREOF, intending to be legally bound, and intending that this document constitute an agreement executed</w:t>
            </w:r>
          </w:p>
        </w:tc>
      </w:tr>
      <w:tr>
        <w:trPr>
          <w:trHeight w:val="258"/>
        </w:trPr>
        <w:tc>
          <w:tcPr>
            <w:tcW w:w="10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under seal, the undersigned have executed this Agreement under seal as of the day and year first hereinabove set forth.</w:t>
            </w:r>
          </w:p>
        </w:tc>
        <w:tc>
          <w:tcPr>
            <w:tcW w:w="1240" w:type="dxa"/>
            <w:vAlign w:val="bottom"/>
          </w:tcPr>
          <w:p>
            <w:pPr>
              <w:spacing w:after="0"/>
              <w:rPr>
                <w:sz w:val="22"/>
                <w:szCs w:val="22"/>
                <w:color w:val="auto"/>
              </w:rPr>
            </w:pPr>
          </w:p>
        </w:tc>
      </w:tr>
      <w:tr>
        <w:trPr>
          <w:trHeight w:val="446"/>
        </w:trPr>
        <w:tc>
          <w:tcPr>
            <w:tcW w:w="3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AGENT:</w:t>
            </w:r>
          </w:p>
        </w:tc>
        <w:tc>
          <w:tcPr>
            <w:tcW w:w="6840" w:type="dxa"/>
            <w:vAlign w:val="bottom"/>
            <w:gridSpan w:val="2"/>
          </w:tcPr>
          <w:p>
            <w:pPr>
              <w:ind w:left="2240"/>
              <w:spacing w:after="0"/>
              <w:rPr>
                <w:sz w:val="20"/>
                <w:szCs w:val="20"/>
                <w:color w:val="auto"/>
              </w:rPr>
            </w:pPr>
            <w:r>
              <w:rPr>
                <w:rFonts w:ascii="Times New Roman" w:cs="Times New Roman" w:eastAsia="Times New Roman" w:hAnsi="Times New Roman"/>
                <w:sz w:val="20"/>
                <w:szCs w:val="20"/>
                <w:b w:val="1"/>
                <w:bCs w:val="1"/>
                <w:color w:val="auto"/>
              </w:rPr>
              <w:t>MIDCAP FUNDING IV TRUST</w:t>
            </w:r>
          </w:p>
        </w:tc>
        <w:tc>
          <w:tcPr>
            <w:tcW w:w="1240" w:type="dxa"/>
            <w:vAlign w:val="bottom"/>
          </w:tcPr>
          <w:p>
            <w:pPr>
              <w:spacing w:after="0"/>
              <w:rPr>
                <w:sz w:val="24"/>
                <w:szCs w:val="24"/>
                <w:color w:val="auto"/>
              </w:rPr>
            </w:pPr>
          </w:p>
        </w:tc>
      </w:tr>
      <w:tr>
        <w:trPr>
          <w:trHeight w:val="430"/>
        </w:trPr>
        <w:tc>
          <w:tcPr>
            <w:tcW w:w="3160" w:type="dxa"/>
            <w:vAlign w:val="bottom"/>
          </w:tcPr>
          <w:p>
            <w:pPr>
              <w:spacing w:after="0"/>
              <w:rPr>
                <w:sz w:val="24"/>
                <w:szCs w:val="24"/>
                <w:color w:val="auto"/>
              </w:rPr>
            </w:pPr>
          </w:p>
        </w:tc>
        <w:tc>
          <w:tcPr>
            <w:tcW w:w="6840" w:type="dxa"/>
            <w:vAlign w:val="bottom"/>
            <w:gridSpan w:val="2"/>
          </w:tcPr>
          <w:p>
            <w:pPr>
              <w:ind w:left="2240"/>
              <w:spacing w:after="0"/>
              <w:rPr>
                <w:sz w:val="20"/>
                <w:szCs w:val="20"/>
                <w:color w:val="auto"/>
              </w:rPr>
            </w:pPr>
            <w:r>
              <w:rPr>
                <w:rFonts w:ascii="Times New Roman" w:cs="Times New Roman" w:eastAsia="Times New Roman" w:hAnsi="Times New Roman"/>
                <w:sz w:val="20"/>
                <w:szCs w:val="20"/>
                <w:color w:val="auto"/>
              </w:rPr>
              <w:t>By: Apollo Capital Management, L.P.,</w:t>
            </w:r>
          </w:p>
        </w:tc>
        <w:tc>
          <w:tcPr>
            <w:tcW w:w="1240" w:type="dxa"/>
            <w:vAlign w:val="bottom"/>
          </w:tcPr>
          <w:p>
            <w:pPr>
              <w:spacing w:after="0"/>
              <w:rPr>
                <w:sz w:val="24"/>
                <w:szCs w:val="24"/>
                <w:color w:val="auto"/>
              </w:rPr>
            </w:pPr>
          </w:p>
        </w:tc>
      </w:tr>
      <w:tr>
        <w:trPr>
          <w:trHeight w:val="258"/>
        </w:trPr>
        <w:tc>
          <w:tcPr>
            <w:tcW w:w="3160" w:type="dxa"/>
            <w:vAlign w:val="bottom"/>
          </w:tcPr>
          <w:p>
            <w:pPr>
              <w:spacing w:after="0"/>
              <w:rPr>
                <w:sz w:val="22"/>
                <w:szCs w:val="22"/>
                <w:color w:val="auto"/>
              </w:rPr>
            </w:pPr>
          </w:p>
        </w:tc>
        <w:tc>
          <w:tcPr>
            <w:tcW w:w="6840" w:type="dxa"/>
            <w:vAlign w:val="bottom"/>
            <w:gridSpan w:val="2"/>
          </w:tcPr>
          <w:p>
            <w:pPr>
              <w:ind w:left="2660"/>
              <w:spacing w:after="0"/>
              <w:rPr>
                <w:sz w:val="20"/>
                <w:szCs w:val="20"/>
                <w:color w:val="auto"/>
              </w:rPr>
            </w:pPr>
            <w:r>
              <w:rPr>
                <w:rFonts w:ascii="Times New Roman" w:cs="Times New Roman" w:eastAsia="Times New Roman" w:hAnsi="Times New Roman"/>
                <w:sz w:val="20"/>
                <w:szCs w:val="20"/>
                <w:color w:val="auto"/>
              </w:rPr>
              <w:t>its investment manager</w:t>
            </w:r>
          </w:p>
        </w:tc>
        <w:tc>
          <w:tcPr>
            <w:tcW w:w="1240" w:type="dxa"/>
            <w:vAlign w:val="bottom"/>
          </w:tcPr>
          <w:p>
            <w:pPr>
              <w:spacing w:after="0"/>
              <w:rPr>
                <w:sz w:val="22"/>
                <w:szCs w:val="22"/>
                <w:color w:val="auto"/>
              </w:rPr>
            </w:pPr>
          </w:p>
        </w:tc>
      </w:tr>
      <w:tr>
        <w:trPr>
          <w:trHeight w:val="430"/>
        </w:trPr>
        <w:tc>
          <w:tcPr>
            <w:tcW w:w="3160" w:type="dxa"/>
            <w:vAlign w:val="bottom"/>
          </w:tcPr>
          <w:p>
            <w:pPr>
              <w:spacing w:after="0"/>
              <w:rPr>
                <w:sz w:val="24"/>
                <w:szCs w:val="24"/>
                <w:color w:val="auto"/>
              </w:rPr>
            </w:pPr>
          </w:p>
        </w:tc>
        <w:tc>
          <w:tcPr>
            <w:tcW w:w="6840" w:type="dxa"/>
            <w:vAlign w:val="bottom"/>
            <w:gridSpan w:val="2"/>
          </w:tcPr>
          <w:p>
            <w:pPr>
              <w:ind w:left="2240"/>
              <w:spacing w:after="0"/>
              <w:rPr>
                <w:sz w:val="20"/>
                <w:szCs w:val="20"/>
                <w:color w:val="auto"/>
              </w:rPr>
            </w:pPr>
            <w:r>
              <w:rPr>
                <w:rFonts w:ascii="Times New Roman" w:cs="Times New Roman" w:eastAsia="Times New Roman" w:hAnsi="Times New Roman"/>
                <w:sz w:val="20"/>
                <w:szCs w:val="20"/>
                <w:color w:val="auto"/>
              </w:rPr>
              <w:t>By: Apollo Capital Management GP, LLC,</w:t>
            </w:r>
          </w:p>
        </w:tc>
        <w:tc>
          <w:tcPr>
            <w:tcW w:w="1240" w:type="dxa"/>
            <w:vAlign w:val="bottom"/>
          </w:tcPr>
          <w:p>
            <w:pPr>
              <w:spacing w:after="0"/>
              <w:rPr>
                <w:sz w:val="24"/>
                <w:szCs w:val="24"/>
                <w:color w:val="auto"/>
              </w:rPr>
            </w:pPr>
          </w:p>
        </w:tc>
      </w:tr>
      <w:tr>
        <w:trPr>
          <w:trHeight w:val="258"/>
        </w:trPr>
        <w:tc>
          <w:tcPr>
            <w:tcW w:w="3160" w:type="dxa"/>
            <w:vAlign w:val="bottom"/>
          </w:tcPr>
          <w:p>
            <w:pPr>
              <w:spacing w:after="0"/>
              <w:rPr>
                <w:sz w:val="22"/>
                <w:szCs w:val="22"/>
                <w:color w:val="auto"/>
              </w:rPr>
            </w:pPr>
          </w:p>
        </w:tc>
        <w:tc>
          <w:tcPr>
            <w:tcW w:w="6840" w:type="dxa"/>
            <w:vAlign w:val="bottom"/>
            <w:gridSpan w:val="2"/>
          </w:tcPr>
          <w:p>
            <w:pPr>
              <w:ind w:left="2660"/>
              <w:spacing w:after="0"/>
              <w:rPr>
                <w:sz w:val="20"/>
                <w:szCs w:val="20"/>
                <w:color w:val="auto"/>
              </w:rPr>
            </w:pPr>
            <w:r>
              <w:rPr>
                <w:rFonts w:ascii="Times New Roman" w:cs="Times New Roman" w:eastAsia="Times New Roman" w:hAnsi="Times New Roman"/>
                <w:sz w:val="20"/>
                <w:szCs w:val="20"/>
                <w:color w:val="auto"/>
              </w:rPr>
              <w:t>its general partner</w:t>
            </w:r>
          </w:p>
        </w:tc>
        <w:tc>
          <w:tcPr>
            <w:tcW w:w="1240" w:type="dxa"/>
            <w:vAlign w:val="bottom"/>
          </w:tcPr>
          <w:p>
            <w:pPr>
              <w:spacing w:after="0"/>
              <w:rPr>
                <w:sz w:val="22"/>
                <w:szCs w:val="22"/>
                <w:color w:val="auto"/>
              </w:rPr>
            </w:pPr>
          </w:p>
        </w:tc>
      </w:tr>
      <w:tr>
        <w:trPr>
          <w:trHeight w:val="683"/>
        </w:trPr>
        <w:tc>
          <w:tcPr>
            <w:tcW w:w="3160" w:type="dxa"/>
            <w:vAlign w:val="bottom"/>
          </w:tcPr>
          <w:p>
            <w:pPr>
              <w:spacing w:after="0"/>
              <w:rPr>
                <w:sz w:val="24"/>
                <w:szCs w:val="24"/>
                <w:color w:val="auto"/>
              </w:rPr>
            </w:pPr>
          </w:p>
        </w:tc>
        <w:tc>
          <w:tcPr>
            <w:tcW w:w="3300" w:type="dxa"/>
            <w:vAlign w:val="bottom"/>
          </w:tcPr>
          <w:p>
            <w:pPr>
              <w:ind w:left="2660"/>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Maurice Amsellem</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(SEAL)</w:t>
            </w:r>
          </w:p>
        </w:tc>
      </w:tr>
      <w:tr>
        <w:trPr>
          <w:trHeight w:val="200"/>
        </w:trPr>
        <w:tc>
          <w:tcPr>
            <w:tcW w:w="3160" w:type="dxa"/>
            <w:vAlign w:val="bottom"/>
          </w:tcPr>
          <w:p>
            <w:pPr>
              <w:spacing w:after="0"/>
              <w:rPr>
                <w:sz w:val="17"/>
                <w:szCs w:val="17"/>
                <w:color w:val="auto"/>
              </w:rPr>
            </w:pPr>
          </w:p>
        </w:tc>
        <w:tc>
          <w:tcPr>
            <w:tcW w:w="3300" w:type="dxa"/>
            <w:vAlign w:val="bottom"/>
          </w:tcPr>
          <w:p>
            <w:pPr>
              <w:ind w:left="266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Maurice Amsellem</w:t>
            </w:r>
          </w:p>
        </w:tc>
        <w:tc>
          <w:tcPr>
            <w:tcW w:w="1240" w:type="dxa"/>
            <w:vAlign w:val="bottom"/>
          </w:tcPr>
          <w:p>
            <w:pPr>
              <w:spacing w:after="0"/>
              <w:rPr>
                <w:sz w:val="17"/>
                <w:szCs w:val="17"/>
                <w:color w:val="auto"/>
              </w:rPr>
            </w:pPr>
          </w:p>
        </w:tc>
      </w:tr>
      <w:tr>
        <w:trPr>
          <w:trHeight w:val="258"/>
        </w:trPr>
        <w:tc>
          <w:tcPr>
            <w:tcW w:w="3160" w:type="dxa"/>
            <w:vAlign w:val="bottom"/>
          </w:tcPr>
          <w:p>
            <w:pPr>
              <w:spacing w:after="0"/>
              <w:rPr>
                <w:sz w:val="22"/>
                <w:szCs w:val="22"/>
                <w:color w:val="auto"/>
              </w:rPr>
            </w:pPr>
          </w:p>
        </w:tc>
        <w:tc>
          <w:tcPr>
            <w:tcW w:w="3300" w:type="dxa"/>
            <w:vAlign w:val="bottom"/>
          </w:tcPr>
          <w:p>
            <w:pPr>
              <w:ind w:left="2660"/>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1240" w:type="dxa"/>
            <w:vAlign w:val="bottom"/>
          </w:tcPr>
          <w:p>
            <w:pPr>
              <w:spacing w:after="0"/>
              <w:rPr>
                <w:sz w:val="22"/>
                <w:szCs w:val="22"/>
                <w:color w:val="auto"/>
              </w:rPr>
            </w:pPr>
          </w:p>
        </w:tc>
      </w:tr>
      <w:tr>
        <w:trPr>
          <w:trHeight w:val="662"/>
        </w:trPr>
        <w:tc>
          <w:tcPr>
            <w:tcW w:w="3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6840" w:type="dxa"/>
            <w:vAlign w:val="bottom"/>
            <w:gridSpan w:val="2"/>
          </w:tcPr>
          <w:p>
            <w:pPr>
              <w:ind w:left="2240"/>
              <w:spacing w:after="0"/>
              <w:rPr>
                <w:sz w:val="20"/>
                <w:szCs w:val="20"/>
                <w:color w:val="auto"/>
              </w:rPr>
            </w:pPr>
            <w:r>
              <w:rPr>
                <w:rFonts w:ascii="Times New Roman" w:cs="Times New Roman" w:eastAsia="Times New Roman" w:hAnsi="Times New Roman"/>
                <w:sz w:val="20"/>
                <w:szCs w:val="20"/>
                <w:b w:val="1"/>
                <w:bCs w:val="1"/>
                <w:color w:val="auto"/>
              </w:rPr>
              <w:t>MIDCAP FUNDING IV TRUST</w:t>
            </w:r>
          </w:p>
        </w:tc>
        <w:tc>
          <w:tcPr>
            <w:tcW w:w="1240" w:type="dxa"/>
            <w:vAlign w:val="bottom"/>
          </w:tcPr>
          <w:p>
            <w:pPr>
              <w:spacing w:after="0"/>
              <w:rPr>
                <w:sz w:val="24"/>
                <w:szCs w:val="24"/>
                <w:color w:val="auto"/>
              </w:rPr>
            </w:pPr>
          </w:p>
        </w:tc>
      </w:tr>
      <w:tr>
        <w:trPr>
          <w:trHeight w:val="430"/>
        </w:trPr>
        <w:tc>
          <w:tcPr>
            <w:tcW w:w="3160" w:type="dxa"/>
            <w:vAlign w:val="bottom"/>
          </w:tcPr>
          <w:p>
            <w:pPr>
              <w:spacing w:after="0"/>
              <w:rPr>
                <w:sz w:val="24"/>
                <w:szCs w:val="24"/>
                <w:color w:val="auto"/>
              </w:rPr>
            </w:pPr>
          </w:p>
        </w:tc>
        <w:tc>
          <w:tcPr>
            <w:tcW w:w="6840" w:type="dxa"/>
            <w:vAlign w:val="bottom"/>
            <w:gridSpan w:val="2"/>
          </w:tcPr>
          <w:p>
            <w:pPr>
              <w:ind w:left="2240"/>
              <w:spacing w:after="0"/>
              <w:rPr>
                <w:sz w:val="20"/>
                <w:szCs w:val="20"/>
                <w:color w:val="auto"/>
              </w:rPr>
            </w:pPr>
            <w:r>
              <w:rPr>
                <w:rFonts w:ascii="Times New Roman" w:cs="Times New Roman" w:eastAsia="Times New Roman" w:hAnsi="Times New Roman"/>
                <w:sz w:val="20"/>
                <w:szCs w:val="20"/>
                <w:color w:val="auto"/>
              </w:rPr>
              <w:t>By: Apollo Capital Management, L.P.,</w:t>
            </w:r>
          </w:p>
        </w:tc>
        <w:tc>
          <w:tcPr>
            <w:tcW w:w="1240" w:type="dxa"/>
            <w:vAlign w:val="bottom"/>
          </w:tcPr>
          <w:p>
            <w:pPr>
              <w:spacing w:after="0"/>
              <w:rPr>
                <w:sz w:val="24"/>
                <w:szCs w:val="24"/>
                <w:color w:val="auto"/>
              </w:rPr>
            </w:pPr>
          </w:p>
        </w:tc>
      </w:tr>
      <w:tr>
        <w:trPr>
          <w:trHeight w:val="258"/>
        </w:trPr>
        <w:tc>
          <w:tcPr>
            <w:tcW w:w="3160" w:type="dxa"/>
            <w:vAlign w:val="bottom"/>
          </w:tcPr>
          <w:p>
            <w:pPr>
              <w:spacing w:after="0"/>
              <w:rPr>
                <w:sz w:val="22"/>
                <w:szCs w:val="22"/>
                <w:color w:val="auto"/>
              </w:rPr>
            </w:pPr>
          </w:p>
        </w:tc>
        <w:tc>
          <w:tcPr>
            <w:tcW w:w="6840" w:type="dxa"/>
            <w:vAlign w:val="bottom"/>
            <w:gridSpan w:val="2"/>
          </w:tcPr>
          <w:p>
            <w:pPr>
              <w:ind w:left="2660"/>
              <w:spacing w:after="0"/>
              <w:rPr>
                <w:sz w:val="20"/>
                <w:szCs w:val="20"/>
                <w:color w:val="auto"/>
              </w:rPr>
            </w:pPr>
            <w:r>
              <w:rPr>
                <w:rFonts w:ascii="Times New Roman" w:cs="Times New Roman" w:eastAsia="Times New Roman" w:hAnsi="Times New Roman"/>
                <w:sz w:val="20"/>
                <w:szCs w:val="20"/>
                <w:color w:val="auto"/>
              </w:rPr>
              <w:t>its investment manager</w:t>
            </w:r>
          </w:p>
        </w:tc>
        <w:tc>
          <w:tcPr>
            <w:tcW w:w="1240" w:type="dxa"/>
            <w:vAlign w:val="bottom"/>
          </w:tcPr>
          <w:p>
            <w:pPr>
              <w:spacing w:after="0"/>
              <w:rPr>
                <w:sz w:val="22"/>
                <w:szCs w:val="22"/>
                <w:color w:val="auto"/>
              </w:rPr>
            </w:pPr>
          </w:p>
        </w:tc>
      </w:tr>
      <w:tr>
        <w:trPr>
          <w:trHeight w:val="430"/>
        </w:trPr>
        <w:tc>
          <w:tcPr>
            <w:tcW w:w="3160" w:type="dxa"/>
            <w:vAlign w:val="bottom"/>
          </w:tcPr>
          <w:p>
            <w:pPr>
              <w:spacing w:after="0"/>
              <w:rPr>
                <w:sz w:val="24"/>
                <w:szCs w:val="24"/>
                <w:color w:val="auto"/>
              </w:rPr>
            </w:pPr>
          </w:p>
        </w:tc>
        <w:tc>
          <w:tcPr>
            <w:tcW w:w="6840" w:type="dxa"/>
            <w:vAlign w:val="bottom"/>
            <w:gridSpan w:val="2"/>
          </w:tcPr>
          <w:p>
            <w:pPr>
              <w:ind w:left="2240"/>
              <w:spacing w:after="0"/>
              <w:rPr>
                <w:sz w:val="20"/>
                <w:szCs w:val="20"/>
                <w:color w:val="auto"/>
              </w:rPr>
            </w:pPr>
            <w:r>
              <w:rPr>
                <w:rFonts w:ascii="Times New Roman" w:cs="Times New Roman" w:eastAsia="Times New Roman" w:hAnsi="Times New Roman"/>
                <w:sz w:val="20"/>
                <w:szCs w:val="20"/>
                <w:color w:val="auto"/>
              </w:rPr>
              <w:t>By: Apollo Capital Management GP, LLC,</w:t>
            </w:r>
          </w:p>
        </w:tc>
        <w:tc>
          <w:tcPr>
            <w:tcW w:w="1240" w:type="dxa"/>
            <w:vAlign w:val="bottom"/>
          </w:tcPr>
          <w:p>
            <w:pPr>
              <w:spacing w:after="0"/>
              <w:rPr>
                <w:sz w:val="24"/>
                <w:szCs w:val="24"/>
                <w:color w:val="auto"/>
              </w:rPr>
            </w:pPr>
          </w:p>
        </w:tc>
      </w:tr>
      <w:tr>
        <w:trPr>
          <w:trHeight w:val="258"/>
        </w:trPr>
        <w:tc>
          <w:tcPr>
            <w:tcW w:w="3160" w:type="dxa"/>
            <w:vAlign w:val="bottom"/>
          </w:tcPr>
          <w:p>
            <w:pPr>
              <w:spacing w:after="0"/>
              <w:rPr>
                <w:sz w:val="22"/>
                <w:szCs w:val="22"/>
                <w:color w:val="auto"/>
              </w:rPr>
            </w:pPr>
          </w:p>
        </w:tc>
        <w:tc>
          <w:tcPr>
            <w:tcW w:w="6840" w:type="dxa"/>
            <w:vAlign w:val="bottom"/>
            <w:gridSpan w:val="2"/>
          </w:tcPr>
          <w:p>
            <w:pPr>
              <w:ind w:left="2660"/>
              <w:spacing w:after="0"/>
              <w:rPr>
                <w:sz w:val="20"/>
                <w:szCs w:val="20"/>
                <w:color w:val="auto"/>
              </w:rPr>
            </w:pPr>
            <w:r>
              <w:rPr>
                <w:rFonts w:ascii="Times New Roman" w:cs="Times New Roman" w:eastAsia="Times New Roman" w:hAnsi="Times New Roman"/>
                <w:sz w:val="20"/>
                <w:szCs w:val="20"/>
                <w:color w:val="auto"/>
              </w:rPr>
              <w:t>its general partner</w:t>
            </w:r>
          </w:p>
        </w:tc>
        <w:tc>
          <w:tcPr>
            <w:tcW w:w="1240" w:type="dxa"/>
            <w:vAlign w:val="bottom"/>
          </w:tcPr>
          <w:p>
            <w:pPr>
              <w:spacing w:after="0"/>
              <w:rPr>
                <w:sz w:val="22"/>
                <w:szCs w:val="22"/>
                <w:color w:val="auto"/>
              </w:rPr>
            </w:pPr>
          </w:p>
        </w:tc>
      </w:tr>
      <w:tr>
        <w:trPr>
          <w:trHeight w:val="683"/>
        </w:trPr>
        <w:tc>
          <w:tcPr>
            <w:tcW w:w="3160" w:type="dxa"/>
            <w:vAlign w:val="bottom"/>
          </w:tcPr>
          <w:p>
            <w:pPr>
              <w:spacing w:after="0"/>
              <w:rPr>
                <w:sz w:val="24"/>
                <w:szCs w:val="24"/>
                <w:color w:val="auto"/>
              </w:rPr>
            </w:pPr>
          </w:p>
        </w:tc>
        <w:tc>
          <w:tcPr>
            <w:tcW w:w="3300" w:type="dxa"/>
            <w:vAlign w:val="bottom"/>
          </w:tcPr>
          <w:p>
            <w:pPr>
              <w:ind w:left="2660"/>
              <w:spacing w:after="0"/>
              <w:rPr>
                <w:sz w:val="20"/>
                <w:szCs w:val="20"/>
                <w:color w:val="auto"/>
              </w:rPr>
            </w:pPr>
            <w:r>
              <w:rPr>
                <w:rFonts w:ascii="Times New Roman" w:cs="Times New Roman" w:eastAsia="Times New Roman" w:hAnsi="Times New Roman"/>
                <w:sz w:val="20"/>
                <w:szCs w:val="20"/>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Maurice Amsellem</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(SEAL)</w:t>
            </w:r>
          </w:p>
        </w:tc>
      </w:tr>
      <w:tr>
        <w:trPr>
          <w:trHeight w:val="200"/>
        </w:trPr>
        <w:tc>
          <w:tcPr>
            <w:tcW w:w="3160" w:type="dxa"/>
            <w:vAlign w:val="bottom"/>
          </w:tcPr>
          <w:p>
            <w:pPr>
              <w:spacing w:after="0"/>
              <w:rPr>
                <w:sz w:val="17"/>
                <w:szCs w:val="17"/>
                <w:color w:val="auto"/>
              </w:rPr>
            </w:pPr>
          </w:p>
        </w:tc>
        <w:tc>
          <w:tcPr>
            <w:tcW w:w="3300" w:type="dxa"/>
            <w:vAlign w:val="bottom"/>
          </w:tcPr>
          <w:p>
            <w:pPr>
              <w:ind w:left="266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5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Maurice Amsellem</w:t>
            </w:r>
          </w:p>
        </w:tc>
        <w:tc>
          <w:tcPr>
            <w:tcW w:w="1240" w:type="dxa"/>
            <w:vAlign w:val="bottom"/>
          </w:tcPr>
          <w:p>
            <w:pPr>
              <w:spacing w:after="0"/>
              <w:rPr>
                <w:sz w:val="17"/>
                <w:szCs w:val="17"/>
                <w:color w:val="auto"/>
              </w:rPr>
            </w:pPr>
          </w:p>
        </w:tc>
      </w:tr>
      <w:tr>
        <w:trPr>
          <w:trHeight w:val="258"/>
        </w:trPr>
        <w:tc>
          <w:tcPr>
            <w:tcW w:w="3160" w:type="dxa"/>
            <w:vAlign w:val="bottom"/>
          </w:tcPr>
          <w:p>
            <w:pPr>
              <w:spacing w:after="0"/>
              <w:rPr>
                <w:sz w:val="22"/>
                <w:szCs w:val="22"/>
                <w:color w:val="auto"/>
              </w:rPr>
            </w:pPr>
          </w:p>
        </w:tc>
        <w:tc>
          <w:tcPr>
            <w:tcW w:w="3300" w:type="dxa"/>
            <w:vAlign w:val="bottom"/>
          </w:tcPr>
          <w:p>
            <w:pPr>
              <w:ind w:left="2660"/>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c>
          <w:tcPr>
            <w:tcW w:w="1240" w:type="dxa"/>
            <w:vAlign w:val="bottom"/>
          </w:tcPr>
          <w:p>
            <w:pPr>
              <w:spacing w:after="0"/>
              <w:rPr>
                <w:sz w:val="22"/>
                <w:szCs w:val="22"/>
                <w:color w:val="auto"/>
              </w:rPr>
            </w:pPr>
          </w:p>
        </w:tc>
      </w:tr>
    </w:tbl>
    <w:p>
      <w:pPr>
        <w:spacing w:after="0" w:line="1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648335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3"/>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ORIGINAL BORROWERS:</w:t>
            </w: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MOHAWK GROUP HOLDINGS, INC.</w:t>
            </w:r>
          </w:p>
        </w:tc>
        <w:tc>
          <w:tcPr>
            <w:tcW w:w="1440" w:type="dxa"/>
            <w:vAlign w:val="bottom"/>
          </w:tcPr>
          <w:p>
            <w:pPr>
              <w:spacing w:after="0"/>
              <w:rPr>
                <w:sz w:val="20"/>
                <w:szCs w:val="20"/>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MOHAWK GROUP, INC.</w:t>
            </w:r>
          </w:p>
        </w:tc>
        <w:tc>
          <w:tcPr>
            <w:tcW w:w="144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XTAVA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SUNLABZ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RIF6 LLC</w:t>
            </w:r>
          </w:p>
        </w:tc>
        <w:tc>
          <w:tcPr>
            <w:tcW w:w="144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VREMI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HOMELABS LLC</w:t>
            </w:r>
          </w:p>
        </w:tc>
        <w:tc>
          <w:tcPr>
            <w:tcW w:w="144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VIDAZEN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URBAN SOURCE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ZEPHYRBEAUTY LLC</w:t>
            </w:r>
          </w:p>
        </w:tc>
        <w:tc>
          <w:tcPr>
            <w:tcW w:w="144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DISCOCART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VUETI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PUNCHED LLC</w:t>
            </w:r>
          </w:p>
        </w:tc>
        <w:tc>
          <w:tcPr>
            <w:tcW w:w="144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SWEETHOMEDEALZ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KITCHENVOX LLC</w:t>
            </w:r>
          </w:p>
        </w:tc>
        <w:tc>
          <w:tcPr>
            <w:tcW w:w="144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EXORIDER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KINETIC WAVE LLC</w:t>
            </w:r>
          </w:p>
        </w:tc>
        <w:tc>
          <w:tcPr>
            <w:tcW w:w="1440" w:type="dxa"/>
            <w:vAlign w:val="bottom"/>
          </w:tcPr>
          <w:p>
            <w:pPr>
              <w:spacing w:after="0"/>
              <w:rPr>
                <w:sz w:val="19"/>
                <w:szCs w:val="19"/>
                <w:color w:val="auto"/>
              </w:rPr>
            </w:pPr>
          </w:p>
        </w:tc>
      </w:tr>
      <w:tr>
        <w:trPr>
          <w:trHeight w:val="229"/>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3GIRLSFROMNY LLC</w:t>
            </w:r>
          </w:p>
        </w:tc>
        <w:tc>
          <w:tcPr>
            <w:tcW w:w="1440" w:type="dxa"/>
            <w:vAlign w:val="bottom"/>
          </w:tcPr>
          <w:p>
            <w:pPr>
              <w:spacing w:after="0"/>
              <w:rPr>
                <w:sz w:val="19"/>
                <w:szCs w:val="19"/>
                <w:color w:val="auto"/>
              </w:rPr>
            </w:pPr>
          </w:p>
        </w:tc>
      </w:tr>
      <w:tr>
        <w:trPr>
          <w:trHeight w:val="230"/>
        </w:trPr>
        <w:tc>
          <w:tcPr>
            <w:tcW w:w="3920" w:type="dxa"/>
            <w:vAlign w:val="bottom"/>
          </w:tcPr>
          <w:p>
            <w:pPr>
              <w:spacing w:after="0"/>
              <w:rPr>
                <w:sz w:val="19"/>
                <w:szCs w:val="19"/>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CHICALLEY LLC</w:t>
            </w:r>
          </w:p>
        </w:tc>
        <w:tc>
          <w:tcPr>
            <w:tcW w:w="1440" w:type="dxa"/>
            <w:vAlign w:val="bottom"/>
          </w:tcPr>
          <w:p>
            <w:pPr>
              <w:spacing w:after="0"/>
              <w:rPr>
                <w:sz w:val="19"/>
                <w:szCs w:val="19"/>
                <w:color w:val="auto"/>
              </w:rPr>
            </w:pPr>
          </w:p>
        </w:tc>
      </w:tr>
      <w:tr>
        <w:trPr>
          <w:trHeight w:val="258"/>
        </w:trPr>
        <w:tc>
          <w:tcPr>
            <w:tcW w:w="3920" w:type="dxa"/>
            <w:vAlign w:val="bottom"/>
          </w:tcPr>
          <w:p>
            <w:pPr>
              <w:spacing w:after="0"/>
              <w:rPr>
                <w:sz w:val="22"/>
                <w:szCs w:val="22"/>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BOXWHALE, LLC</w:t>
            </w:r>
          </w:p>
        </w:tc>
        <w:tc>
          <w:tcPr>
            <w:tcW w:w="1440" w:type="dxa"/>
            <w:vAlign w:val="bottom"/>
          </w:tcPr>
          <w:p>
            <w:pPr>
              <w:spacing w:after="0"/>
              <w:rPr>
                <w:sz w:val="22"/>
                <w:szCs w:val="22"/>
                <w:color w:val="auto"/>
              </w:rPr>
            </w:pPr>
          </w:p>
        </w:tc>
      </w:tr>
      <w:tr>
        <w:trPr>
          <w:trHeight w:val="453"/>
        </w:trPr>
        <w:tc>
          <w:tcPr>
            <w:tcW w:w="3920" w:type="dxa"/>
            <w:vAlign w:val="bottom"/>
          </w:tcPr>
          <w:p>
            <w:pPr>
              <w:spacing w:after="0"/>
              <w:rPr>
                <w:sz w:val="24"/>
                <w:szCs w:val="24"/>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Fabrice Hamaide</w:t>
            </w: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(SEAL)</w:t>
            </w:r>
          </w:p>
        </w:tc>
      </w:tr>
      <w:tr>
        <w:trPr>
          <w:trHeight w:val="200"/>
        </w:trPr>
        <w:tc>
          <w:tcPr>
            <w:tcW w:w="3920" w:type="dxa"/>
            <w:vAlign w:val="bottom"/>
          </w:tcPr>
          <w:p>
            <w:pPr>
              <w:spacing w:after="0"/>
              <w:rPr>
                <w:sz w:val="17"/>
                <w:szCs w:val="17"/>
                <w:color w:val="auto"/>
              </w:rPr>
            </w:pPr>
          </w:p>
        </w:tc>
        <w:tc>
          <w:tcPr>
            <w:tcW w:w="2220" w:type="dxa"/>
            <w:vAlign w:val="bottom"/>
          </w:tcPr>
          <w:p>
            <w:pPr>
              <w:ind w:left="146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Fabrice Hamaide</w:t>
            </w:r>
          </w:p>
        </w:tc>
        <w:tc>
          <w:tcPr>
            <w:tcW w:w="1440" w:type="dxa"/>
            <w:vAlign w:val="bottom"/>
          </w:tcPr>
          <w:p>
            <w:pPr>
              <w:spacing w:after="0"/>
              <w:rPr>
                <w:sz w:val="17"/>
                <w:szCs w:val="17"/>
                <w:color w:val="auto"/>
              </w:rPr>
            </w:pPr>
          </w:p>
        </w:tc>
      </w:tr>
      <w:tr>
        <w:trPr>
          <w:trHeight w:val="258"/>
        </w:trPr>
        <w:tc>
          <w:tcPr>
            <w:tcW w:w="3920" w:type="dxa"/>
            <w:vAlign w:val="bottom"/>
          </w:tcPr>
          <w:p>
            <w:pPr>
              <w:spacing w:after="0"/>
              <w:rPr>
                <w:sz w:val="22"/>
                <w:szCs w:val="22"/>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440" w:type="dxa"/>
            <w:vAlign w:val="bottom"/>
          </w:tcPr>
          <w:p>
            <w:pPr>
              <w:spacing w:after="0"/>
              <w:rPr>
                <w:sz w:val="22"/>
                <w:szCs w:val="22"/>
                <w:color w:val="auto"/>
              </w:rPr>
            </w:pPr>
          </w:p>
        </w:tc>
      </w:tr>
      <w:tr>
        <w:trPr>
          <w:trHeight w:val="660"/>
        </w:trPr>
        <w:tc>
          <w:tcPr>
            <w:tcW w:w="3920" w:type="dxa"/>
            <w:vAlign w:val="bottom"/>
          </w:tcPr>
          <w:p>
            <w:pPr>
              <w:spacing w:after="0"/>
              <w:rPr>
                <w:sz w:val="24"/>
                <w:szCs w:val="24"/>
                <w:color w:val="auto"/>
              </w:rPr>
            </w:pP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AUSSIE HEALTH CO, LLC</w:t>
            </w:r>
          </w:p>
        </w:tc>
        <w:tc>
          <w:tcPr>
            <w:tcW w:w="1440" w:type="dxa"/>
            <w:vAlign w:val="bottom"/>
          </w:tcPr>
          <w:p>
            <w:pPr>
              <w:spacing w:after="0"/>
              <w:rPr>
                <w:sz w:val="24"/>
                <w:szCs w:val="24"/>
                <w:color w:val="auto"/>
              </w:rPr>
            </w:pPr>
          </w:p>
        </w:tc>
      </w:tr>
      <w:tr>
        <w:trPr>
          <w:trHeight w:val="258"/>
        </w:trPr>
        <w:tc>
          <w:tcPr>
            <w:tcW w:w="3920" w:type="dxa"/>
            <w:vAlign w:val="bottom"/>
          </w:tcPr>
          <w:p>
            <w:pPr>
              <w:spacing w:after="0"/>
              <w:rPr>
                <w:sz w:val="22"/>
                <w:szCs w:val="22"/>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Mohawk Group, Inc., its Sole Member</w:t>
            </w:r>
          </w:p>
        </w:tc>
        <w:tc>
          <w:tcPr>
            <w:tcW w:w="1440" w:type="dxa"/>
            <w:vAlign w:val="bottom"/>
          </w:tcPr>
          <w:p>
            <w:pPr>
              <w:spacing w:after="0"/>
              <w:rPr>
                <w:sz w:val="22"/>
                <w:szCs w:val="22"/>
                <w:color w:val="auto"/>
              </w:rPr>
            </w:pPr>
          </w:p>
        </w:tc>
      </w:tr>
      <w:tr>
        <w:trPr>
          <w:trHeight w:val="683"/>
        </w:trPr>
        <w:tc>
          <w:tcPr>
            <w:tcW w:w="3920" w:type="dxa"/>
            <w:vAlign w:val="bottom"/>
          </w:tcPr>
          <w:p>
            <w:pPr>
              <w:spacing w:after="0"/>
              <w:rPr>
                <w:sz w:val="24"/>
                <w:szCs w:val="24"/>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Fabrice Hamaide</w:t>
            </w: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(SEAL)</w:t>
            </w:r>
          </w:p>
        </w:tc>
      </w:tr>
      <w:tr>
        <w:trPr>
          <w:trHeight w:val="200"/>
        </w:trPr>
        <w:tc>
          <w:tcPr>
            <w:tcW w:w="3920" w:type="dxa"/>
            <w:vAlign w:val="bottom"/>
          </w:tcPr>
          <w:p>
            <w:pPr>
              <w:spacing w:after="0"/>
              <w:rPr>
                <w:sz w:val="17"/>
                <w:szCs w:val="17"/>
                <w:color w:val="auto"/>
              </w:rPr>
            </w:pPr>
          </w:p>
        </w:tc>
        <w:tc>
          <w:tcPr>
            <w:tcW w:w="2220" w:type="dxa"/>
            <w:vAlign w:val="bottom"/>
          </w:tcPr>
          <w:p>
            <w:pPr>
              <w:ind w:left="146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Fabrice Hamaide</w:t>
            </w:r>
          </w:p>
        </w:tc>
        <w:tc>
          <w:tcPr>
            <w:tcW w:w="1440" w:type="dxa"/>
            <w:vAlign w:val="bottom"/>
          </w:tcPr>
          <w:p>
            <w:pPr>
              <w:spacing w:after="0"/>
              <w:rPr>
                <w:sz w:val="17"/>
                <w:szCs w:val="17"/>
                <w:color w:val="auto"/>
              </w:rPr>
            </w:pPr>
          </w:p>
        </w:tc>
      </w:tr>
      <w:tr>
        <w:trPr>
          <w:trHeight w:val="258"/>
        </w:trPr>
        <w:tc>
          <w:tcPr>
            <w:tcW w:w="3920" w:type="dxa"/>
            <w:vAlign w:val="bottom"/>
          </w:tcPr>
          <w:p>
            <w:pPr>
              <w:spacing w:after="0"/>
              <w:rPr>
                <w:sz w:val="22"/>
                <w:szCs w:val="22"/>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440" w:type="dxa"/>
            <w:vAlign w:val="bottom"/>
          </w:tcPr>
          <w:p>
            <w:pPr>
              <w:spacing w:after="0"/>
              <w:rPr>
                <w:sz w:val="22"/>
                <w:szCs w:val="22"/>
                <w:color w:val="auto"/>
              </w:rPr>
            </w:pPr>
          </w:p>
        </w:tc>
      </w:tr>
      <w:tr>
        <w:trPr>
          <w:trHeight w:val="688"/>
        </w:trPr>
        <w:tc>
          <w:tcPr>
            <w:tcW w:w="3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NEW BORROWER:</w:t>
            </w:r>
          </w:p>
        </w:tc>
        <w:tc>
          <w:tcPr>
            <w:tcW w:w="5880" w:type="dxa"/>
            <w:vAlign w:val="bottom"/>
            <w:gridSpan w:val="2"/>
          </w:tcPr>
          <w:p>
            <w:pPr>
              <w:ind w:left="1460"/>
              <w:spacing w:after="0"/>
              <w:rPr>
                <w:sz w:val="20"/>
                <w:szCs w:val="20"/>
                <w:color w:val="auto"/>
              </w:rPr>
            </w:pPr>
            <w:r>
              <w:rPr>
                <w:rFonts w:ascii="Times New Roman" w:cs="Times New Roman" w:eastAsia="Times New Roman" w:hAnsi="Times New Roman"/>
                <w:sz w:val="20"/>
                <w:szCs w:val="20"/>
                <w:color w:val="auto"/>
              </w:rPr>
              <w:t>TRUWEO, LLC</w:t>
            </w:r>
          </w:p>
        </w:tc>
        <w:tc>
          <w:tcPr>
            <w:tcW w:w="1440" w:type="dxa"/>
            <w:vAlign w:val="bottom"/>
          </w:tcPr>
          <w:p>
            <w:pPr>
              <w:spacing w:after="0"/>
              <w:rPr>
                <w:sz w:val="24"/>
                <w:szCs w:val="24"/>
                <w:color w:val="auto"/>
              </w:rPr>
            </w:pPr>
          </w:p>
        </w:tc>
      </w:tr>
      <w:tr>
        <w:trPr>
          <w:trHeight w:val="453"/>
        </w:trPr>
        <w:tc>
          <w:tcPr>
            <w:tcW w:w="3920" w:type="dxa"/>
            <w:vAlign w:val="bottom"/>
          </w:tcPr>
          <w:p>
            <w:pPr>
              <w:spacing w:after="0"/>
              <w:rPr>
                <w:sz w:val="24"/>
                <w:szCs w:val="24"/>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Fabrice Hamaide</w:t>
            </w: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(SEAL)</w:t>
            </w:r>
          </w:p>
        </w:tc>
      </w:tr>
      <w:tr>
        <w:trPr>
          <w:trHeight w:val="200"/>
        </w:trPr>
        <w:tc>
          <w:tcPr>
            <w:tcW w:w="3920" w:type="dxa"/>
            <w:vAlign w:val="bottom"/>
          </w:tcPr>
          <w:p>
            <w:pPr>
              <w:spacing w:after="0"/>
              <w:rPr>
                <w:sz w:val="17"/>
                <w:szCs w:val="17"/>
                <w:color w:val="auto"/>
              </w:rPr>
            </w:pPr>
          </w:p>
        </w:tc>
        <w:tc>
          <w:tcPr>
            <w:tcW w:w="2220" w:type="dxa"/>
            <w:vAlign w:val="bottom"/>
          </w:tcPr>
          <w:p>
            <w:pPr>
              <w:ind w:left="146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Fabrice Hamaide</w:t>
            </w:r>
          </w:p>
        </w:tc>
        <w:tc>
          <w:tcPr>
            <w:tcW w:w="1440" w:type="dxa"/>
            <w:vAlign w:val="bottom"/>
          </w:tcPr>
          <w:p>
            <w:pPr>
              <w:spacing w:after="0"/>
              <w:rPr>
                <w:sz w:val="17"/>
                <w:szCs w:val="17"/>
                <w:color w:val="auto"/>
              </w:rPr>
            </w:pPr>
          </w:p>
        </w:tc>
      </w:tr>
      <w:tr>
        <w:trPr>
          <w:trHeight w:val="258"/>
        </w:trPr>
        <w:tc>
          <w:tcPr>
            <w:tcW w:w="3920" w:type="dxa"/>
            <w:vAlign w:val="bottom"/>
          </w:tcPr>
          <w:p>
            <w:pPr>
              <w:spacing w:after="0"/>
              <w:rPr>
                <w:sz w:val="22"/>
                <w:szCs w:val="22"/>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440" w:type="dxa"/>
            <w:vAlign w:val="bottom"/>
          </w:tcPr>
          <w:p>
            <w:pPr>
              <w:spacing w:after="0"/>
              <w:rPr>
                <w:sz w:val="22"/>
                <w:szCs w:val="22"/>
                <w:color w:val="auto"/>
              </w:rPr>
            </w:pPr>
          </w:p>
        </w:tc>
      </w:tr>
    </w:tbl>
    <w:p>
      <w:pPr>
        <w:sectPr>
          <w:pgSz w:w="11900" w:h="16838" w:orient="portrait"/>
          <w:cols w:equalWidth="0" w:num="1">
            <w:col w:w="11240"/>
          </w:cols>
          <w:pgMar w:left="320" w:top="558" w:right="339" w:bottom="1440" w:gutter="0" w:footer="0" w:header="0"/>
        </w:sectPr>
      </w:pPr>
    </w:p>
    <w:bookmarkStart w:id="74" w:name="page75"/>
    <w:bookmarkEnd w:id="74"/>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u w:val="single" w:color="auto"/>
          <w:color w:val="auto"/>
        </w:rPr>
        <w:t>OMNIBUS LIMITED CONSENT, JOINDER AND AMENDMENT NO. 2 TO VENTURE LOAN AND SECURITY AGREEMENT</w:t>
      </w:r>
    </w:p>
    <w:p>
      <w:pPr>
        <w:spacing w:after="0" w:line="285" w:lineRule="exact"/>
        <w:rPr>
          <w:sz w:val="20"/>
          <w:szCs w:val="20"/>
          <w:color w:val="auto"/>
        </w:rPr>
      </w:pPr>
    </w:p>
    <w:p>
      <w:pPr>
        <w:jc w:val="both"/>
        <w:ind w:firstLine="864"/>
        <w:spacing w:after="0" w:line="243" w:lineRule="auto"/>
        <w:rPr>
          <w:sz w:val="20"/>
          <w:szCs w:val="20"/>
          <w:color w:val="auto"/>
        </w:rPr>
      </w:pPr>
      <w:r>
        <w:rPr>
          <w:rFonts w:ascii="Times New Roman" w:cs="Times New Roman" w:eastAsia="Times New Roman" w:hAnsi="Times New Roman"/>
          <w:sz w:val="20"/>
          <w:szCs w:val="20"/>
          <w:color w:val="auto"/>
        </w:rPr>
        <w:t>This OMNIBUS LIMITED CONSENT, JOINDER AND AMENDMENT TO VENTURE LOAN AND SECURITY AGREEMENT(this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as of this 26 day of August, 2020, by and among MOHAWK GROUP HOLDINGS, INC., a Delaware corporation (“</w:t>
      </w:r>
      <w:r>
        <w:rPr>
          <w:rFonts w:ascii="Times New Roman" w:cs="Times New Roman" w:eastAsia="Times New Roman" w:hAnsi="Times New Roman"/>
          <w:sz w:val="20"/>
          <w:szCs w:val="20"/>
          <w:b w:val="1"/>
          <w:bCs w:val="1"/>
          <w:color w:val="auto"/>
        </w:rPr>
        <w:t>Mohawk Holdco</w:t>
      </w:r>
      <w:r>
        <w:rPr>
          <w:rFonts w:ascii="Times New Roman" w:cs="Times New Roman" w:eastAsia="Times New Roman" w:hAnsi="Times New Roman"/>
          <w:sz w:val="20"/>
          <w:szCs w:val="20"/>
          <w:color w:val="auto"/>
        </w:rPr>
        <w:t>”), MOHAWK GROUP, INC., a Delaware corporation (“</w:t>
      </w:r>
      <w:r>
        <w:rPr>
          <w:rFonts w:ascii="Times New Roman" w:cs="Times New Roman" w:eastAsia="Times New Roman" w:hAnsi="Times New Roman"/>
          <w:sz w:val="20"/>
          <w:szCs w:val="20"/>
          <w:b w:val="1"/>
          <w:bCs w:val="1"/>
          <w:color w:val="auto"/>
        </w:rPr>
        <w:t>Mohawk</w:t>
      </w:r>
      <w:r>
        <w:rPr>
          <w:rFonts w:ascii="Times New Roman" w:cs="Times New Roman" w:eastAsia="Times New Roman" w:hAnsi="Times New Roman"/>
          <w:sz w:val="20"/>
          <w:szCs w:val="20"/>
          <w:color w:val="auto"/>
        </w:rPr>
        <w:t>”), each of Mohawk’s direct and indirect subsidiaries set forth on the signature pages hereto (each being referred to herein individually as an “</w:t>
      </w:r>
      <w:r>
        <w:rPr>
          <w:rFonts w:ascii="Times New Roman" w:cs="Times New Roman" w:eastAsia="Times New Roman" w:hAnsi="Times New Roman"/>
          <w:sz w:val="20"/>
          <w:szCs w:val="20"/>
          <w:b w:val="1"/>
          <w:bCs w:val="1"/>
          <w:color w:val="auto"/>
        </w:rPr>
        <w:t>Original Borrower</w:t>
      </w:r>
      <w:r>
        <w:rPr>
          <w:rFonts w:ascii="Times New Roman" w:cs="Times New Roman" w:eastAsia="Times New Roman" w:hAnsi="Times New Roman"/>
          <w:sz w:val="20"/>
          <w:szCs w:val="20"/>
          <w:color w:val="auto"/>
        </w:rPr>
        <w:t>”, and collectively as “</w:t>
      </w:r>
      <w:r>
        <w:rPr>
          <w:rFonts w:ascii="Times New Roman" w:cs="Times New Roman" w:eastAsia="Times New Roman" w:hAnsi="Times New Roman"/>
          <w:sz w:val="20"/>
          <w:szCs w:val="20"/>
          <w:b w:val="1"/>
          <w:bCs w:val="1"/>
          <w:color w:val="auto"/>
        </w:rPr>
        <w:t>Original Borrowers</w:t>
      </w:r>
      <w:r>
        <w:rPr>
          <w:rFonts w:ascii="Times New Roman" w:cs="Times New Roman" w:eastAsia="Times New Roman" w:hAnsi="Times New Roman"/>
          <w:sz w:val="20"/>
          <w:szCs w:val="20"/>
          <w:color w:val="auto"/>
        </w:rPr>
        <w:t>”), TRUWEO, LLC, a Delaware limited liability company (“</w:t>
      </w:r>
      <w:r>
        <w:rPr>
          <w:rFonts w:ascii="Times New Roman" w:cs="Times New Roman" w:eastAsia="Times New Roman" w:hAnsi="Times New Roman"/>
          <w:sz w:val="20"/>
          <w:szCs w:val="20"/>
          <w:b w:val="1"/>
          <w:bCs w:val="1"/>
          <w:color w:val="auto"/>
        </w:rPr>
        <w:t>New Borrower</w:t>
      </w:r>
      <w:r>
        <w:rPr>
          <w:rFonts w:ascii="Times New Roman" w:cs="Times New Roman" w:eastAsia="Times New Roman" w:hAnsi="Times New Roman"/>
          <w:sz w:val="20"/>
          <w:szCs w:val="20"/>
          <w:color w:val="auto"/>
        </w:rPr>
        <w:t>”, and New Borrower, together with the Original Borrowers,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HORIZON TECHNOLOGY FINANCE CORPORATION (“</w:t>
      </w:r>
      <w:r>
        <w:rPr>
          <w:rFonts w:ascii="Times New Roman" w:cs="Times New Roman" w:eastAsia="Times New Roman" w:hAnsi="Times New Roman"/>
          <w:sz w:val="20"/>
          <w:szCs w:val="20"/>
          <w:b w:val="1"/>
          <w:bCs w:val="1"/>
          <w:color w:val="auto"/>
        </w:rPr>
        <w:t>HRZN</w:t>
      </w:r>
      <w:r>
        <w:rPr>
          <w:rFonts w:ascii="Times New Roman" w:cs="Times New Roman" w:eastAsia="Times New Roman" w:hAnsi="Times New Roman"/>
          <w:sz w:val="20"/>
          <w:szCs w:val="20"/>
          <w:color w:val="auto"/>
        </w:rPr>
        <w:t>”), as a collateral agent, HORIZON CREDIT II LLC, a Delaware limited liability company (“</w:t>
      </w:r>
      <w:r>
        <w:rPr>
          <w:rFonts w:ascii="Times New Roman" w:cs="Times New Roman" w:eastAsia="Times New Roman" w:hAnsi="Times New Roman"/>
          <w:sz w:val="20"/>
          <w:szCs w:val="20"/>
          <w:b w:val="1"/>
          <w:bCs w:val="1"/>
          <w:color w:val="auto"/>
        </w:rPr>
        <w:t>HCII</w:t>
      </w:r>
      <w:r>
        <w:rPr>
          <w:rFonts w:ascii="Times New Roman" w:cs="Times New Roman" w:eastAsia="Times New Roman" w:hAnsi="Times New Roman"/>
          <w:sz w:val="20"/>
          <w:szCs w:val="20"/>
          <w:color w:val="auto"/>
        </w:rPr>
        <w:t>”), as assignee of HRZN, and HORIZON FUNDING TRUST 2019-1, a Delaware statutory trust (“</w:t>
      </w:r>
      <w:r>
        <w:rPr>
          <w:rFonts w:ascii="Times New Roman" w:cs="Times New Roman" w:eastAsia="Times New Roman" w:hAnsi="Times New Roman"/>
          <w:sz w:val="20"/>
          <w:szCs w:val="20"/>
          <w:b w:val="1"/>
          <w:bCs w:val="1"/>
          <w:color w:val="auto"/>
        </w:rPr>
        <w:t>Horizon Funding Trust</w:t>
      </w:r>
      <w:r>
        <w:rPr>
          <w:rFonts w:ascii="Times New Roman" w:cs="Times New Roman" w:eastAsia="Times New Roman" w:hAnsi="Times New Roman"/>
          <w:sz w:val="20"/>
          <w:szCs w:val="20"/>
          <w:color w:val="auto"/>
        </w:rPr>
        <w:t>” and, collectively with HRZN and HCII,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872"/>
        <w:spacing w:after="0" w:line="249" w:lineRule="auto"/>
        <w:tabs>
          <w:tab w:leader="none" w:pos="17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and Original Borrowers are parties to that certain Venture Loan and Security Agreement, dated as of December 31, 2018 (as the same is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made certain advances of money to the Original Borrowers and certain of their Affiliates in the amounts and manner set forth in the Credit Agreement.</w:t>
      </w:r>
    </w:p>
    <w:p>
      <w:pPr>
        <w:spacing w:after="0" w:line="179" w:lineRule="exact"/>
        <w:rPr>
          <w:rFonts w:ascii="Times New Roman" w:cs="Times New Roman" w:eastAsia="Times New Roman" w:hAnsi="Times New Roman"/>
          <w:sz w:val="20"/>
          <w:szCs w:val="20"/>
          <w:color w:val="auto"/>
        </w:rPr>
      </w:pPr>
    </w:p>
    <w:p>
      <w:pPr>
        <w:ind w:left="1700" w:hanging="828"/>
        <w:spacing w:after="0"/>
        <w:tabs>
          <w:tab w:leader="none" w:pos="17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Borrowers have formed New Borrower as a new Subsidiary of Mohawk.</w:t>
      </w:r>
    </w:p>
    <w:p>
      <w:pPr>
        <w:spacing w:after="0" w:line="229" w:lineRule="exact"/>
        <w:rPr>
          <w:rFonts w:ascii="Times New Roman" w:cs="Times New Roman" w:eastAsia="Times New Roman" w:hAnsi="Times New Roman"/>
          <w:sz w:val="20"/>
          <w:szCs w:val="20"/>
          <w:color w:val="auto"/>
        </w:rPr>
      </w:pPr>
    </w:p>
    <w:p>
      <w:pPr>
        <w:ind w:firstLine="872"/>
        <w:spacing w:after="0" w:line="269" w:lineRule="auto"/>
        <w:tabs>
          <w:tab w:leader="none" w:pos="169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Borrowers have requested that the Lenders amend the Credit Agreement to join New Borrower as a party to the Credit Agreement as a Borrower on and subject to the terms hereof.</w:t>
      </w:r>
    </w:p>
    <w:p>
      <w:pPr>
        <w:spacing w:after="0" w:line="172" w:lineRule="exact"/>
        <w:rPr>
          <w:rFonts w:ascii="Times New Roman" w:cs="Times New Roman" w:eastAsia="Times New Roman" w:hAnsi="Times New Roman"/>
          <w:sz w:val="20"/>
          <w:szCs w:val="20"/>
          <w:color w:val="auto"/>
        </w:rPr>
      </w:pPr>
    </w:p>
    <w:p>
      <w:pPr>
        <w:jc w:val="both"/>
        <w:ind w:firstLine="872"/>
        <w:spacing w:after="0" w:line="249" w:lineRule="auto"/>
        <w:tabs>
          <w:tab w:leader="none" w:pos="17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New Borrower plans to enter into that certain Asset Purchase Agreement, dated as of August 23, 2020 and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Truweo Acquisition Agreement</w:t>
      </w:r>
      <w:r>
        <w:rPr>
          <w:rFonts w:ascii="Times New Roman" w:cs="Times New Roman" w:eastAsia="Times New Roman" w:hAnsi="Times New Roman"/>
          <w:sz w:val="20"/>
          <w:szCs w:val="20"/>
          <w:color w:val="auto"/>
        </w:rPr>
        <w:t>”), by and among New Borrower, a Sole Proprietorship registered at 113 Auburn Rd. Birrong, Sydney NSW Australia 2143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 Muhammad Sikandar, as Shareholder, pursuant to which New Borrower will acquire certain assets from Seller (the “</w:t>
      </w:r>
      <w:r>
        <w:rPr>
          <w:rFonts w:ascii="Times New Roman" w:cs="Times New Roman" w:eastAsia="Times New Roman" w:hAnsi="Times New Roman"/>
          <w:sz w:val="20"/>
          <w:szCs w:val="20"/>
          <w:b w:val="1"/>
          <w:bCs w:val="1"/>
          <w:color w:val="auto"/>
        </w:rPr>
        <w:t>Truweo Acquisition</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firstLine="872"/>
        <w:spacing w:after="0" w:line="269" w:lineRule="auto"/>
        <w:tabs>
          <w:tab w:leader="none" w:pos="168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7.6 of the Credit Agreement, the Borrowers are not permitted to acquire or enter into any agreement to acquire substantially all of the assets of another Person.</w:t>
      </w:r>
    </w:p>
    <w:p>
      <w:pPr>
        <w:spacing w:after="0" w:line="172" w:lineRule="exact"/>
        <w:rPr>
          <w:rFonts w:ascii="Times New Roman" w:cs="Times New Roman" w:eastAsia="Times New Roman" w:hAnsi="Times New Roman"/>
          <w:sz w:val="20"/>
          <w:szCs w:val="20"/>
          <w:color w:val="auto"/>
        </w:rPr>
      </w:pPr>
    </w:p>
    <w:p>
      <w:pPr>
        <w:jc w:val="both"/>
        <w:ind w:firstLine="872"/>
        <w:spacing w:after="0" w:line="244" w:lineRule="auto"/>
        <w:tabs>
          <w:tab w:leader="none" w:pos="165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have requested, and Lenders have agreed, on and subject to the terms and conditions set forth in this Agreement, to, among other things, (i) consent to the Borrowers entering into the Truweo Acquisition Agreement and the consummation of the Truweo Acquisition, (ii) consent to the issuance by New Borrower of a Non-Negotiable Promissory Note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Seller in an aggregate initial principal amount of $2,454,631 (the “</w:t>
      </w:r>
      <w:r>
        <w:rPr>
          <w:rFonts w:ascii="Times New Roman" w:cs="Times New Roman" w:eastAsia="Times New Roman" w:hAnsi="Times New Roman"/>
          <w:sz w:val="20"/>
          <w:szCs w:val="20"/>
          <w:b w:val="1"/>
          <w:bCs w:val="1"/>
          <w:color w:val="auto"/>
        </w:rPr>
        <w:t>Truweo Seller Note</w:t>
      </w:r>
      <w:r>
        <w:rPr>
          <w:rFonts w:ascii="Times New Roman" w:cs="Times New Roman" w:eastAsia="Times New Roman" w:hAnsi="Times New Roman"/>
          <w:sz w:val="20"/>
          <w:szCs w:val="20"/>
          <w:color w:val="auto"/>
        </w:rPr>
        <w:t>”), which Truweo Seller Note shall be subordinated to the Obligations pursuant to a Subordination Agreement entered into on the date hereof, (iii) join New Borrower to the Credit Agreement, and the other applicable Loan Documents and (iv) amend certain terms of the Credit Agreement, all in accordance with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the Lenders and Borrowers hereby agree as follows:</w:t>
      </w:r>
    </w:p>
    <w:p>
      <w:pPr>
        <w:spacing w:after="0" w:line="155" w:lineRule="exact"/>
        <w:rPr>
          <w:sz w:val="20"/>
          <w:szCs w:val="20"/>
          <w:color w:val="auto"/>
        </w:rPr>
      </w:pPr>
    </w:p>
    <w:p>
      <w:pPr>
        <w:jc w:val="both"/>
        <w:ind w:firstLine="872"/>
        <w:spacing w:after="0" w:line="247" w:lineRule="auto"/>
        <w:tabs>
          <w:tab w:leader="none" w:pos="1660" w:val="left"/>
        </w:tabs>
        <w:numPr>
          <w:ilvl w:val="1"/>
          <w:numId w:val="5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 This Agreement shall constitute a Loan Document and the recitals and each reference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unless otherwise 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180" w:lineRule="exact"/>
        <w:rPr>
          <w:rFonts w:ascii="Times New Roman" w:cs="Times New Roman" w:eastAsia="Times New Roman" w:hAnsi="Times New Roman"/>
          <w:sz w:val="20"/>
          <w:szCs w:val="20"/>
          <w:b w:val="1"/>
          <w:bCs w:val="1"/>
          <w:color w:val="010000"/>
        </w:rPr>
      </w:pPr>
    </w:p>
    <w:p>
      <w:pPr>
        <w:jc w:val="both"/>
        <w:ind w:firstLine="872"/>
        <w:spacing w:after="0" w:line="243" w:lineRule="auto"/>
        <w:tabs>
          <w:tab w:leader="none" w:pos="1660" w:val="left"/>
        </w:tabs>
        <w:numPr>
          <w:ilvl w:val="1"/>
          <w:numId w:val="5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Limited Consent</w:t>
      </w:r>
      <w:r>
        <w:rPr>
          <w:rFonts w:ascii="Times New Roman" w:cs="Times New Roman" w:eastAsia="Times New Roman" w:hAnsi="Times New Roman"/>
          <w:sz w:val="20"/>
          <w:szCs w:val="20"/>
          <w:color w:val="auto"/>
        </w:rPr>
        <w:t>. At the request of and as an accommodation to the Borrowers, subject to the satisfaction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conditions, including, without limitation, the conditions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in accordance with the terms set forth in this Agreement, Lenders hereby consent to (a) the New Borrower entering into the Truweo Acquisition Agreement and the consummation of the Truweo Acquisition in accordance with the terms of the Truweo Acquisition Agreement and (b) the incurrence of the Indebtedness under the Truweo Seller Note in accordance with the terms thereof and the terms of the Truweo Subordination Agreement. The consents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is effective solely for the purposes set forth herein and shall be limited precisely as written and shall not be deemed to (1) be a consent to any amendment, waiver or modification of any other term or condition of the Credit Agreement or of any other Loan Document;</w:t>
      </w:r>
    </w:p>
    <w:p>
      <w:pPr>
        <w:spacing w:after="0" w:line="2" w:lineRule="exact"/>
        <w:rPr>
          <w:rFonts w:ascii="Times New Roman" w:cs="Times New Roman" w:eastAsia="Times New Roman" w:hAnsi="Times New Roman"/>
          <w:sz w:val="20"/>
          <w:szCs w:val="20"/>
          <w:b w:val="1"/>
          <w:bCs w:val="1"/>
          <w:color w:val="010000"/>
        </w:rPr>
      </w:pPr>
    </w:p>
    <w:p>
      <w:pPr>
        <w:jc w:val="both"/>
        <w:ind w:firstLine="8"/>
        <w:spacing w:after="0" w:line="241" w:lineRule="auto"/>
        <w:tabs>
          <w:tab w:leader="none" w:pos="28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prejudice any right that the Lenders have or may have in the future under or in connection with the Credit Agreement or any other Loan Document; (3) constitute a consent to or waiver of any past, present or future Default or Event of Default or other violation of any provisions of the Credit Agreement or any other Loan Documents, (4) create any obligation to forbear from taking any enforcement action, or to make any further extensions of credit or (5) establish a custom or course of dealing among any of the Borrowers, on the one hand, or any Lender, on the other hand.</w:t>
      </w:r>
    </w:p>
    <w:p>
      <w:pPr>
        <w:spacing w:after="0" w:line="182" w:lineRule="exact"/>
        <w:rPr>
          <w:rFonts w:ascii="Times New Roman" w:cs="Times New Roman" w:eastAsia="Times New Roman" w:hAnsi="Times New Roman"/>
          <w:sz w:val="20"/>
          <w:szCs w:val="20"/>
          <w:color w:val="auto"/>
        </w:rPr>
      </w:pPr>
    </w:p>
    <w:p>
      <w:pPr>
        <w:ind w:left="1660" w:hanging="788"/>
        <w:spacing w:after="0"/>
        <w:tabs>
          <w:tab w:leader="none" w:pos="1660" w:val="left"/>
        </w:tabs>
        <w:numPr>
          <w:ilvl w:val="1"/>
          <w:numId w:val="6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Joinder</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1735"/>
        <w:spacing w:after="0" w:line="245" w:lineRule="auto"/>
        <w:tabs>
          <w:tab w:leader="none" w:pos="2595" w:val="left"/>
        </w:tabs>
        <w:numPr>
          <w:ilvl w:val="2"/>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the satisfaction of the conditions precedent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New Borrower hereby assumes the Obligations under the Credit Agreement and joins in, adopts and becomes (i) a Borrower under the Credit Agreement and any Notes, and (ii) party to the other Loan Documents applicable to it as a Borrower. Each party hereto agrees that all references to “Borrower” or “Borrowers” contained in the Loan Documents are hereby deemed for all purposes to also refer to and include New Borrower as a Borrower, and New Borrower hereby agrees to comply with all of the terms and conditions of the Loan Documents as if New Borrower was an original signatory thereto.</w:t>
      </w:r>
    </w:p>
    <w:p>
      <w:pPr>
        <w:spacing w:after="0" w:line="184" w:lineRule="exact"/>
        <w:rPr>
          <w:rFonts w:ascii="Times New Roman" w:cs="Times New Roman" w:eastAsia="Times New Roman" w:hAnsi="Times New Roman"/>
          <w:sz w:val="20"/>
          <w:szCs w:val="20"/>
          <w:color w:val="010000"/>
        </w:rPr>
      </w:pPr>
    </w:p>
    <w:p>
      <w:pPr>
        <w:ind w:left="2620" w:hanging="885"/>
        <w:spacing w:after="0"/>
        <w:tabs>
          <w:tab w:leader="none" w:pos="2620" w:val="left"/>
        </w:tabs>
        <w:numPr>
          <w:ilvl w:val="2"/>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Intentionally Omitted.</w:t>
      </w:r>
    </w:p>
    <w:p>
      <w:pPr>
        <w:spacing w:after="0" w:line="211" w:lineRule="exact"/>
        <w:rPr>
          <w:rFonts w:ascii="Times New Roman" w:cs="Times New Roman" w:eastAsia="Times New Roman" w:hAnsi="Times New Roman"/>
          <w:sz w:val="20"/>
          <w:szCs w:val="20"/>
          <w:color w:val="010000"/>
        </w:rPr>
      </w:pPr>
    </w:p>
    <w:p>
      <w:pPr>
        <w:ind w:right="20" w:firstLine="872"/>
        <w:spacing w:after="0" w:line="273" w:lineRule="auto"/>
        <w:tabs>
          <w:tab w:leader="none" w:pos="1660" w:val="left"/>
        </w:tabs>
        <w:numPr>
          <w:ilvl w:val="1"/>
          <w:numId w:val="6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Amendments to Credit Agreement</w:t>
      </w:r>
      <w:r>
        <w:rPr>
          <w:rFonts w:ascii="Times New Roman" w:cs="Times New Roman" w:eastAsia="Times New Roman" w:hAnsi="Times New Roman"/>
          <w:sz w:val="20"/>
          <w:szCs w:val="20"/>
          <w:color w:val="auto"/>
        </w:rPr>
        <w:t>. Subject to the terms and conditions of this Agreement,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the conditions to effectiveness set forth in Section 9 below, the Credit Agreement is hereby amended as follows:</w:t>
      </w:r>
    </w:p>
    <w:p>
      <w:pPr>
        <w:spacing w:after="0" w:line="155" w:lineRule="exact"/>
        <w:rPr>
          <w:rFonts w:ascii="Times New Roman" w:cs="Times New Roman" w:eastAsia="Times New Roman" w:hAnsi="Times New Roman"/>
          <w:sz w:val="20"/>
          <w:szCs w:val="20"/>
          <w:b w:val="1"/>
          <w:bCs w:val="1"/>
          <w:color w:val="010000"/>
        </w:rPr>
      </w:pPr>
    </w:p>
    <w:p>
      <w:pPr>
        <w:ind w:left="2600" w:hanging="865"/>
        <w:spacing w:after="0"/>
        <w:tabs>
          <w:tab w:leader="none" w:pos="2600" w:val="left"/>
        </w:tabs>
        <w:numPr>
          <w:ilvl w:val="2"/>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following definitions are hereby added to Section 1 of the Credit Agreement in their respective</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alphabetic order:</w:t>
      </w:r>
    </w:p>
    <w:p>
      <w:pPr>
        <w:spacing w:after="0" w:line="190" w:lineRule="exact"/>
        <w:rPr>
          <w:sz w:val="20"/>
          <w:szCs w:val="20"/>
          <w:color w:val="auto"/>
        </w:rPr>
      </w:pPr>
    </w:p>
    <w:p>
      <w:pPr>
        <w:jc w:val="both"/>
        <w:ind w:left="1740" w:right="8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means that certain Omnibus Limited Consent, Joinder and Amendment No. 2 to Venture Loan and Security Agreement, dated as of August 26, 2020, among Borrowers, Collateral Agent and Lenders party thereto.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6" w:name="page77"/>
    <w:bookmarkEnd w:id="76"/>
    <w:p>
      <w:pPr>
        <w:jc w:val="both"/>
        <w:ind w:left="1740" w:right="8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Amendment Effective Date</w:t>
      </w:r>
      <w:r>
        <w:rPr>
          <w:rFonts w:ascii="Times New Roman" w:cs="Times New Roman" w:eastAsia="Times New Roman" w:hAnsi="Times New Roman"/>
          <w:sz w:val="20"/>
          <w:szCs w:val="20"/>
          <w:color w:val="auto"/>
        </w:rPr>
        <w:t>” means the first date on which all of the conditions set forth in Section 9 of the Second Amendment are satisfied.</w:t>
      </w:r>
    </w:p>
    <w:p>
      <w:pPr>
        <w:spacing w:after="0" w:line="16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Truweo Acquisition Agreement</w:t>
      </w:r>
      <w:r>
        <w:rPr>
          <w:rFonts w:ascii="Times New Roman" w:cs="Times New Roman" w:eastAsia="Times New Roman" w:hAnsi="Times New Roman"/>
          <w:sz w:val="20"/>
          <w:szCs w:val="20"/>
          <w:color w:val="auto"/>
        </w:rPr>
        <w:t>” has the meaning set forth in the Second Amendment.</w:t>
      </w:r>
    </w:p>
    <w:p>
      <w:pPr>
        <w:spacing w:after="0" w:line="2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Truweo Seller Note</w:t>
      </w:r>
      <w:r>
        <w:rPr>
          <w:rFonts w:ascii="Times New Roman" w:cs="Times New Roman" w:eastAsia="Times New Roman" w:hAnsi="Times New Roman"/>
          <w:sz w:val="20"/>
          <w:szCs w:val="20"/>
          <w:color w:val="auto"/>
        </w:rPr>
        <w:t>” has the meaning set forth in the Second Amendment.</w:t>
      </w:r>
    </w:p>
    <w:p>
      <w:pPr>
        <w:spacing w:after="0" w:line="229" w:lineRule="exact"/>
        <w:rPr>
          <w:sz w:val="20"/>
          <w:szCs w:val="20"/>
          <w:color w:val="auto"/>
        </w:rPr>
      </w:pPr>
    </w:p>
    <w:p>
      <w:pPr>
        <w:jc w:val="both"/>
        <w:ind w:left="1740" w:right="86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Truweo Subordination Agreement</w:t>
      </w:r>
      <w:r>
        <w:rPr>
          <w:rFonts w:ascii="Times New Roman" w:cs="Times New Roman" w:eastAsia="Times New Roman" w:hAnsi="Times New Roman"/>
          <w:sz w:val="20"/>
          <w:szCs w:val="20"/>
          <w:color w:val="auto"/>
        </w:rPr>
        <w:t>” means that certain Subordination Agreement, dated as of the Second Amendment Effective Date, among the parties signatory thereto, as subordinated creditors, Collateral Agent, Lenders party thereto and Borrowers, as such document may be amended, restated, supplemented or otherwise modified from time to time after the date hereof.</w:t>
      </w:r>
    </w:p>
    <w:p>
      <w:pPr>
        <w:spacing w:after="0" w:line="193" w:lineRule="exact"/>
        <w:rPr>
          <w:sz w:val="20"/>
          <w:szCs w:val="20"/>
          <w:color w:val="auto"/>
        </w:rPr>
      </w:pPr>
    </w:p>
    <w:p>
      <w:pPr>
        <w:ind w:right="260" w:firstLine="1735"/>
        <w:spacing w:after="0" w:line="254" w:lineRule="auto"/>
        <w:tabs>
          <w:tab w:leader="none" w:pos="2606"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definition of “Permitted Indebtedness” appearing in Section 1 of the Credit Agreement is hereby amended by: (1) deleting the reference to “and” at the end of clause (g) thereof, (2) replacing the “.” at the end of clause (h) thereof with “; and” and (3) inserting the following as a new clause (i) thereof:</w:t>
      </w:r>
    </w:p>
    <w:p>
      <w:pPr>
        <w:spacing w:after="0" w:line="188"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Indebtedness in respect of the Truweo Seller Note.”</w:t>
      </w:r>
    </w:p>
    <w:p>
      <w:pPr>
        <w:spacing w:after="0" w:line="216" w:lineRule="exact"/>
        <w:rPr>
          <w:sz w:val="20"/>
          <w:szCs w:val="20"/>
          <w:color w:val="auto"/>
        </w:rPr>
      </w:pPr>
    </w:p>
    <w:p>
      <w:pPr>
        <w:ind w:left="2600" w:hanging="865"/>
        <w:spacing w:after="0"/>
        <w:tabs>
          <w:tab w:leader="none" w:pos="260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Section 7.9 is hereby amended by hereby amended and restated in its entirety to read as follows:</w:t>
      </w:r>
    </w:p>
    <w:p>
      <w:pPr>
        <w:spacing w:after="0" w:line="216" w:lineRule="exact"/>
        <w:rPr>
          <w:sz w:val="20"/>
          <w:szCs w:val="20"/>
          <w:color w:val="auto"/>
        </w:rPr>
      </w:pPr>
    </w:p>
    <w:p>
      <w:pPr>
        <w:jc w:val="both"/>
        <w:ind w:left="880" w:firstLine="797"/>
        <w:spacing w:after="0" w:line="243" w:lineRule="auto"/>
        <w:rPr>
          <w:sz w:val="20"/>
          <w:szCs w:val="20"/>
          <w:color w:val="auto"/>
        </w:rPr>
      </w:pPr>
      <w:r>
        <w:rPr>
          <w:rFonts w:ascii="Times New Roman" w:cs="Times New Roman" w:eastAsia="Times New Roman" w:hAnsi="Times New Roman"/>
          <w:sz w:val="20"/>
          <w:szCs w:val="20"/>
          <w:color w:val="auto"/>
        </w:rPr>
        <w:t xml:space="preserve">“Section 7.9 </w:t>
      </w:r>
      <w:r>
        <w:rPr>
          <w:rFonts w:ascii="Times New Roman" w:cs="Times New Roman" w:eastAsia="Times New Roman" w:hAnsi="Times New Roman"/>
          <w:sz w:val="20"/>
          <w:szCs w:val="20"/>
          <w:u w:val="single" w:color="auto"/>
          <w:color w:val="auto"/>
        </w:rPr>
        <w:t>Indebtedness Payments</w:t>
      </w:r>
      <w:r>
        <w:rPr>
          <w:rFonts w:ascii="Times New Roman" w:cs="Times New Roman" w:eastAsia="Times New Roman" w:hAnsi="Times New Roman"/>
          <w:sz w:val="20"/>
          <w:szCs w:val="20"/>
          <w:color w:val="auto"/>
        </w:rPr>
        <w:t>. (a) Prepay, redeem, purchase, defease or otherwise satisfy in any manner prior to the scheduled repayment thereof any Indebtedness for borrowed money (other than amounts due or permitted to be prepaid under this Agreement or under any revolving credit agreement constituting Permitted Indebtedness under clause (d) of the definition of Permitted Indebtedness) or lease obligations, (b) except to the extent permitted by the Intercreditor Agreement, amend, modify or otherwise change the terms of any Indebtedness for borrowed money or lease obligations so as to accelerate the scheduled repayment thereof or (c) repay any notes to officers, directors or shareholders. Notwithstanding the foregoing, Co-Borrowers may declare, pay, make or set aside any amount for payment in respect of (i) the Aussie Health Seller Note to the extent permitted by the Aussie Health Subordination Agreement and (ii) the Truweo Seller Note to the extent permitted by the Truweo Subordination Agreement.”</w:t>
      </w:r>
    </w:p>
    <w:p>
      <w:pPr>
        <w:spacing w:after="0" w:line="186" w:lineRule="exact"/>
        <w:rPr>
          <w:sz w:val="20"/>
          <w:szCs w:val="20"/>
          <w:color w:val="auto"/>
        </w:rPr>
      </w:pPr>
    </w:p>
    <w:p>
      <w:pPr>
        <w:jc w:val="both"/>
        <w:ind w:firstLine="1735"/>
        <w:spacing w:after="0" w:line="254" w:lineRule="auto"/>
        <w:tabs>
          <w:tab w:leader="none" w:pos="2606" w:val="left"/>
        </w:tabs>
        <w:numPr>
          <w:ilvl w:val="1"/>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are supplements to the Disclosure Schedules to the Credit Agreement and setting forth the relevant information with respect to New Borrower which are added to the information set forth on Disclosure Schedules to the Credit Agreement to which they apply and shall be deemed attached thereto and become a part thereof.</w:t>
      </w:r>
    </w:p>
    <w:p>
      <w:pPr>
        <w:spacing w:after="0" w:line="174" w:lineRule="exact"/>
        <w:rPr>
          <w:rFonts w:ascii="Times New Roman" w:cs="Times New Roman" w:eastAsia="Times New Roman" w:hAnsi="Times New Roman"/>
          <w:sz w:val="20"/>
          <w:szCs w:val="20"/>
          <w:color w:val="010000"/>
        </w:rPr>
      </w:pPr>
    </w:p>
    <w:p>
      <w:pPr>
        <w:ind w:left="1660" w:hanging="788"/>
        <w:spacing w:after="0"/>
        <w:tabs>
          <w:tab w:leader="none" w:pos="1660" w:val="left"/>
        </w:tabs>
        <w:numPr>
          <w:ilvl w:val="0"/>
          <w:numId w:val="6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color w:val="auto"/>
        </w:rPr>
        <w:t>Intentionally Omitted.</w:t>
      </w:r>
    </w:p>
    <w:p>
      <w:pPr>
        <w:spacing w:after="0" w:line="211" w:lineRule="exact"/>
        <w:rPr>
          <w:rFonts w:ascii="Times New Roman" w:cs="Times New Roman" w:eastAsia="Times New Roman" w:hAnsi="Times New Roman"/>
          <w:sz w:val="20"/>
          <w:szCs w:val="20"/>
          <w:b w:val="1"/>
          <w:bCs w:val="1"/>
          <w:color w:val="010000"/>
        </w:rPr>
      </w:pPr>
    </w:p>
    <w:p>
      <w:pPr>
        <w:jc w:val="both"/>
        <w:ind w:firstLine="872"/>
        <w:spacing w:after="0" w:line="247" w:lineRule="auto"/>
        <w:tabs>
          <w:tab w:leader="none" w:pos="1660" w:val="left"/>
        </w:tabs>
        <w:numPr>
          <w:ilvl w:val="0"/>
          <w:numId w:val="6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Grant of Security Interest</w:t>
      </w:r>
      <w:r>
        <w:rPr>
          <w:rFonts w:ascii="Times New Roman" w:cs="Times New Roman" w:eastAsia="Times New Roman" w:hAnsi="Times New Roman"/>
          <w:sz w:val="20"/>
          <w:szCs w:val="20"/>
          <w:color w:val="auto"/>
        </w:rPr>
        <w:t>. Consistent with the intent of the parties and in consideration of the accommodations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herein, as further security for the prompt payment in full of all Obligations, New Borrower hereby collaterally assigns and grants to Lenders, and subject only to Permitted Liens, a continuing Lien on and security interest in, upon, and to all of New Borrower’s right, title and interest in and to all of New Borrower’s assets, including without limitation, all of New Borrower’s right, title, and interest in and to the following, whether now owned or hereafter created, acquired or arising:</w:t>
      </w:r>
    </w:p>
    <w:p>
      <w:pPr>
        <w:spacing w:after="0" w:line="184" w:lineRule="exact"/>
        <w:rPr>
          <w:rFonts w:ascii="Times New Roman" w:cs="Times New Roman" w:eastAsia="Times New Roman" w:hAnsi="Times New Roman"/>
          <w:sz w:val="20"/>
          <w:szCs w:val="20"/>
          <w:b w:val="1"/>
          <w:bCs w:val="1"/>
          <w:color w:val="010000"/>
        </w:rPr>
      </w:pPr>
    </w:p>
    <w:p>
      <w:pPr>
        <w:ind w:firstLine="1735"/>
        <w:spacing w:after="0" w:line="269" w:lineRule="auto"/>
        <w:tabs>
          <w:tab w:leader="none" w:pos="2595" w:val="left"/>
        </w:tabs>
        <w:numPr>
          <w:ilvl w:val="1"/>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goods (and embedded computer programs and supporting information included within the definition of “goods” under the Code) and equipment now owned or hereafter acquired, including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20"/>
          <w:szCs w:val="20"/>
          <w:color w:val="auto"/>
        </w:rPr>
        <w:t>all laboratory equipment, computer equipment, office equipment, machinery, fixtures, vehicles (including motor vehicles and trailers), and any interest in any of the foregoing, and all attachments, accessories, accessions, replacements, substitutions, additions, and improvements to any of the foregoing, wherever located;</w:t>
      </w:r>
    </w:p>
    <w:p>
      <w:pPr>
        <w:spacing w:after="0" w:line="174" w:lineRule="exact"/>
        <w:rPr>
          <w:sz w:val="20"/>
          <w:szCs w:val="20"/>
          <w:color w:val="auto"/>
        </w:rPr>
      </w:pPr>
    </w:p>
    <w:p>
      <w:pPr>
        <w:jc w:val="both"/>
        <w:ind w:firstLine="1735"/>
        <w:spacing w:after="0" w:line="246" w:lineRule="auto"/>
        <w:tabs>
          <w:tab w:leader="none" w:pos="2606"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inventory now owned or hereafter acquired, including all merchandise, raw materials, parts, supplies, packing and shipping materials, work in process and finished products including such inventory as is temporarily out of New Borrower’s custody or possession or in transit and including any returns upon any accounts or other proceeds, including insurance proceeds, resulting from the sale or disposition of any of the foregoing and any documents of title representing any of the above, and New Borrower’s books relating to any of the foregoing;</w:t>
      </w:r>
    </w:p>
    <w:p>
      <w:pPr>
        <w:spacing w:after="0" w:line="184"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595"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contract rights and general intangibles (including Intellectual Property), now owned or hereafter acquired, including goodwill, license agreements, franchise agreements, blueprints, drawings, purchase orders, customer lists, route lists, infringements, claims, software, computer programs, computer disks, computer tapes, literature, reports, catalogs, design rights, income tax refunds, payment intangibles, commercial tort claims, payments of insurance and rights to payment of any kind;</w:t>
      </w:r>
    </w:p>
    <w:p>
      <w:pPr>
        <w:spacing w:after="0" w:line="179" w:lineRule="exact"/>
        <w:rPr>
          <w:rFonts w:ascii="Times New Roman" w:cs="Times New Roman" w:eastAsia="Times New Roman" w:hAnsi="Times New Roman"/>
          <w:sz w:val="20"/>
          <w:szCs w:val="20"/>
          <w:color w:val="010000"/>
        </w:rPr>
      </w:pPr>
    </w:p>
    <w:p>
      <w:pPr>
        <w:jc w:val="both"/>
        <w:ind w:firstLine="1735"/>
        <w:spacing w:after="0" w:line="246" w:lineRule="auto"/>
        <w:tabs>
          <w:tab w:leader="none" w:pos="2606"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now existing and hereafter arising accounts, contract rights, royalties, license rights, license fees and all other forms of obligations owing to New Borrower arising out of the sale or lease of goods, the licensing of technology or the rendering of services by New Borrower (subject, in each case, to the contractual rights of third parties to require funds received by New Borrower to be expended in a particular manner), whether or not earned by performance, and any and all credit insurance, guaranties, and other security therefor, as well as all merchandise returned to or reclaimed by New Borrower and New Borrower’s books relating to any of the foregoing;</w:t>
      </w:r>
    </w:p>
    <w:p>
      <w:pPr>
        <w:spacing w:after="0" w:line="184" w:lineRule="exact"/>
        <w:rPr>
          <w:rFonts w:ascii="Times New Roman" w:cs="Times New Roman" w:eastAsia="Times New Roman" w:hAnsi="Times New Roman"/>
          <w:sz w:val="20"/>
          <w:szCs w:val="20"/>
          <w:color w:val="010000"/>
        </w:rPr>
      </w:pPr>
    </w:p>
    <w:p>
      <w:pPr>
        <w:jc w:val="both"/>
        <w:ind w:firstLine="1735"/>
        <w:spacing w:after="0" w:line="246" w:lineRule="auto"/>
        <w:tabs>
          <w:tab w:leader="none" w:pos="2595"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documents, cash, deposit accounts, letters of credit and letters of credit rights (whether or not the letter of credit is evidenced by a writing) and other supporting obligations, certificates of deposit, instruments, promissory notes, chattel paper (whether tangible or electronic) and investment property, including all securities, whether certificated or uncertificated, security entitlements, securities accounts, commodity contracts and commodity accounts, and all financial assets held in any securities account or otherwise, wherever located, now owned or hereafter acquired and New Borrower’s books relating to the foregoing; and</w:t>
      </w:r>
    </w:p>
    <w:p>
      <w:pPr>
        <w:spacing w:after="0" w:line="184"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573"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not covered by clauses (a) through (e), all other personal property of New Borrower, whether tangible or intangible, and any and all rights and interests in any of the above and the foregoing and, any and all claims, rights and interests in any of the above and all substitutions for, additions and accessions to and proceeds thereof, including insurance, condemnation, requisition or similar payments and proceeds of the sale or licensing of Intellectual Property.</w:t>
      </w:r>
    </w:p>
    <w:p>
      <w:pPr>
        <w:spacing w:after="0" w:line="179"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606" w:val="left"/>
        </w:tabs>
        <w:numPr>
          <w:ilvl w:val="1"/>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New Borrower hereby authorizes Lenders to file UCC-1 financing statements against New Borrower covering the Collateral owned by New Borrower in such jurisdictions as Lenders shall deem necessary, prudent or desirable to perfect and protect the liens and security interests granted to Lenders hereunder.</w:t>
      </w:r>
    </w:p>
    <w:p>
      <w:pPr>
        <w:spacing w:after="0" w:line="170" w:lineRule="exact"/>
        <w:rPr>
          <w:rFonts w:ascii="Times New Roman" w:cs="Times New Roman" w:eastAsia="Times New Roman" w:hAnsi="Times New Roman"/>
          <w:sz w:val="20"/>
          <w:szCs w:val="20"/>
          <w:color w:val="010000"/>
        </w:rPr>
      </w:pPr>
    </w:p>
    <w:p>
      <w:pPr>
        <w:jc w:val="both"/>
        <w:ind w:firstLine="872"/>
        <w:spacing w:after="0" w:line="246" w:lineRule="auto"/>
        <w:tabs>
          <w:tab w:leader="none" w:pos="1660" w:val="left"/>
        </w:tabs>
        <w:numPr>
          <w:ilvl w:val="0"/>
          <w:numId w:val="6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Representations and Warranties; Reaffirmation of Security Interest</w:t>
      </w:r>
      <w:r>
        <w:rPr>
          <w:rFonts w:ascii="Times New Roman" w:cs="Times New Roman" w:eastAsia="Times New Roman" w:hAnsi="Times New Roman"/>
          <w:sz w:val="20"/>
          <w:szCs w:val="20"/>
          <w:color w:val="auto"/>
        </w:rPr>
        <w:t>. Each Borrower hereby (a) confirms that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and (b) covenants to perform its respective obligations under the Credit Agreement. Each Borrower confirms and agrees that all security interests 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jc w:val="both"/>
        <w:spacing w:after="0" w:line="245" w:lineRule="auto"/>
        <w:rPr>
          <w:sz w:val="20"/>
          <w:szCs w:val="20"/>
          <w:color w:val="auto"/>
        </w:rPr>
      </w:pPr>
      <w:r>
        <w:rPr>
          <w:rFonts w:ascii="Times New Roman" w:cs="Times New Roman" w:eastAsia="Times New Roman" w:hAnsi="Times New Roman"/>
          <w:sz w:val="20"/>
          <w:szCs w:val="20"/>
          <w:color w:val="auto"/>
        </w:rPr>
        <w:t>Liens granted to Lenders continue in full force and effect, and all Collateral remains free and clear of any Liens, other than Permitted Liens. Nothing herein is intended to impair or limit the validity, priority or extent of Lenders’ security interests in and Liens on the Collateral. Each Borrower acknowledges and agrees that the Credit Agreement, the other Loan Documents and this Agreement constitute the legal, valid and binding obligation of such Borrower, and are enforceable against such Borrower in accordance with its terms, except as the enforceability thereof may be limited by bankruptcy, insolvency or other similar laws relating to the enforcement of creditors’ rights generally and by general equitable principles.</w:t>
      </w:r>
    </w:p>
    <w:p>
      <w:pPr>
        <w:spacing w:after="0" w:line="180" w:lineRule="exact"/>
        <w:rPr>
          <w:sz w:val="20"/>
          <w:szCs w:val="20"/>
          <w:color w:val="auto"/>
        </w:rPr>
      </w:pPr>
    </w:p>
    <w:p>
      <w:pPr>
        <w:jc w:val="both"/>
        <w:ind w:firstLine="872"/>
        <w:spacing w:after="0" w:line="250" w:lineRule="auto"/>
        <w:tabs>
          <w:tab w:leader="none" w:pos="1660" w:val="left"/>
        </w:tabs>
        <w:numPr>
          <w:ilvl w:val="0"/>
          <w:numId w:val="6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Costs and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Borrowers shall be responsible for the payment of all reasonable and documented out-of-pocket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fees of Lenders’ counsel incurred in connection with the preparation of this Agreement and any related documents. If any Lender uses in-house counsel for any of these purposes, Borrowers further agree that the Obligations include reasonable charges for such work commensurate with the fees that would otherwise be charged by outside legal counsel selected by such Lender for the work performed.</w:t>
      </w:r>
    </w:p>
    <w:p>
      <w:pPr>
        <w:spacing w:after="0" w:line="175" w:lineRule="exact"/>
        <w:rPr>
          <w:rFonts w:ascii="Times New Roman" w:cs="Times New Roman" w:eastAsia="Times New Roman" w:hAnsi="Times New Roman"/>
          <w:sz w:val="20"/>
          <w:szCs w:val="20"/>
          <w:b w:val="1"/>
          <w:bCs w:val="1"/>
          <w:color w:val="010000"/>
        </w:rPr>
      </w:pPr>
    </w:p>
    <w:p>
      <w:pPr>
        <w:jc w:val="both"/>
        <w:ind w:firstLine="872"/>
        <w:spacing w:after="0" w:line="256" w:lineRule="auto"/>
        <w:tabs>
          <w:tab w:leader="none" w:pos="1660" w:val="left"/>
        </w:tabs>
        <w:numPr>
          <w:ilvl w:val="0"/>
          <w:numId w:val="6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as of the date on which Lenders have received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agreement, document and instrument set forth in this section, each in form and substance satisfactory to Lenders, including the satisfaction of the following conditions precedent, each to the satisfaction of Lenders in their sole discretion:</w:t>
      </w:r>
    </w:p>
    <w:p>
      <w:pPr>
        <w:spacing w:after="0" w:line="172" w:lineRule="exact"/>
        <w:rPr>
          <w:rFonts w:ascii="Times New Roman" w:cs="Times New Roman" w:eastAsia="Times New Roman" w:hAnsi="Times New Roman"/>
          <w:sz w:val="20"/>
          <w:szCs w:val="20"/>
          <w:b w:val="1"/>
          <w:bCs w:val="1"/>
          <w:color w:val="010000"/>
        </w:rPr>
      </w:pPr>
    </w:p>
    <w:p>
      <w:pPr>
        <w:ind w:left="880" w:right="20" w:firstLine="789"/>
        <w:spacing w:after="0" w:line="269" w:lineRule="auto"/>
        <w:tabs>
          <w:tab w:leader="none" w:pos="254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have delivered to Lenders this Agreement, duly executed by an authorized officer (or authorized signatory) of each Borrower;</w:t>
      </w:r>
    </w:p>
    <w:p>
      <w:pPr>
        <w:spacing w:after="0" w:line="51" w:lineRule="exact"/>
        <w:rPr>
          <w:rFonts w:ascii="Times New Roman" w:cs="Times New Roman" w:eastAsia="Times New Roman" w:hAnsi="Times New Roman"/>
          <w:sz w:val="20"/>
          <w:szCs w:val="20"/>
          <w:color w:val="auto"/>
        </w:rPr>
      </w:pPr>
    </w:p>
    <w:p>
      <w:pPr>
        <w:ind w:left="880" w:firstLine="789"/>
        <w:spacing w:after="0" w:line="269" w:lineRule="auto"/>
        <w:tabs>
          <w:tab w:leader="none" w:pos="25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shall have received the Truweo Subordination Agreement, duly executed by as subordinated creditors party thereto, Lenders and Borrowers;</w:t>
      </w:r>
    </w:p>
    <w:p>
      <w:pPr>
        <w:spacing w:after="0" w:line="51" w:lineRule="exact"/>
        <w:rPr>
          <w:rFonts w:ascii="Times New Roman" w:cs="Times New Roman" w:eastAsia="Times New Roman" w:hAnsi="Times New Roman"/>
          <w:sz w:val="20"/>
          <w:szCs w:val="20"/>
          <w:color w:val="auto"/>
        </w:rPr>
      </w:pPr>
    </w:p>
    <w:p>
      <w:pPr>
        <w:jc w:val="both"/>
        <w:ind w:left="880" w:firstLine="789"/>
        <w:spacing w:after="0" w:line="249" w:lineRule="auto"/>
        <w:tabs>
          <w:tab w:leader="none" w:pos="254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shall have received a fully executed copy of the Truweo Acquisition Agreement and all other material agreements, documents or instruments pursuant to which the Truweo Acquisition is to be consummated, any schedules to such agreements, documents or instruments and all other material ancillary agreements, instruments and documents to be executed or delivered in connection therewith;</w:t>
      </w:r>
    </w:p>
    <w:p>
      <w:pPr>
        <w:spacing w:after="0" w:line="71" w:lineRule="exact"/>
        <w:rPr>
          <w:rFonts w:ascii="Times New Roman" w:cs="Times New Roman" w:eastAsia="Times New Roman" w:hAnsi="Times New Roman"/>
          <w:sz w:val="20"/>
          <w:szCs w:val="20"/>
          <w:color w:val="auto"/>
        </w:rPr>
      </w:pPr>
    </w:p>
    <w:p>
      <w:pPr>
        <w:jc w:val="both"/>
        <w:ind w:left="880" w:firstLine="789"/>
        <w:spacing w:after="0" w:line="274" w:lineRule="auto"/>
        <w:tabs>
          <w:tab w:leader="none" w:pos="2556"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Substantially concurrently with the effectiveness of this Agreement, the Truweo Acquisition has been consummated (i) in all material respects in accordance with the terms of the Truweo Acquisition Agreement and (ii) in accordance with applicable law (and such parties’ delivery of their respective signatures hereto shall be deemed to be its certification thereof);</w:t>
      </w:r>
    </w:p>
    <w:p>
      <w:pPr>
        <w:spacing w:after="0" w:line="48" w:lineRule="exact"/>
        <w:rPr>
          <w:rFonts w:ascii="Times New Roman" w:cs="Times New Roman" w:eastAsia="Times New Roman" w:hAnsi="Times New Roman"/>
          <w:sz w:val="19"/>
          <w:szCs w:val="19"/>
          <w:color w:val="auto"/>
        </w:rPr>
      </w:pPr>
    </w:p>
    <w:p>
      <w:pPr>
        <w:ind w:left="2540" w:hanging="871"/>
        <w:spacing w:after="0"/>
        <w:tabs>
          <w:tab w:leader="none" w:pos="25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IP Security Interests executed by the New Borrower;</w:t>
      </w:r>
    </w:p>
    <w:p>
      <w:pPr>
        <w:spacing w:after="0" w:line="107" w:lineRule="exact"/>
        <w:rPr>
          <w:rFonts w:ascii="Times New Roman" w:cs="Times New Roman" w:eastAsia="Times New Roman" w:hAnsi="Times New Roman"/>
          <w:sz w:val="20"/>
          <w:szCs w:val="20"/>
          <w:color w:val="auto"/>
        </w:rPr>
      </w:pPr>
    </w:p>
    <w:p>
      <w:pPr>
        <w:jc w:val="both"/>
        <w:ind w:left="880" w:firstLine="789"/>
        <w:spacing w:after="0" w:line="259" w:lineRule="auto"/>
        <w:tabs>
          <w:tab w:leader="none" w:pos="2523"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certificate from an officer (or another authorized person) of New Borrower certifying as to (i) the names and signatures of each officer or authorized signatories of the New Borrower authorized to execute and deliver this Agreement and all documents executed in connection therewith, (ii) the organizational documents of New Borrower attached to such certificate are complete and correct copies of such organizational documents as in effect on the date of such certification, (iii) the resolutions of New Borrower’s board of directors or other appropriate governing body approving and authorizing the execution, delivery and performance of this Agreement and the other documents executed in connection therewith, and (iv) certificates attesting to the good standing of New Borrower in each applicable jurisdiction, together with, if applicable, related tax certificates;</w:t>
      </w:r>
    </w:p>
    <w:p>
      <w:pPr>
        <w:spacing w:after="0" w:line="64" w:lineRule="exact"/>
        <w:rPr>
          <w:rFonts w:ascii="Times New Roman" w:cs="Times New Roman" w:eastAsia="Times New Roman" w:hAnsi="Times New Roman"/>
          <w:sz w:val="19"/>
          <w:szCs w:val="19"/>
          <w:color w:val="auto"/>
        </w:rPr>
      </w:pPr>
    </w:p>
    <w:p>
      <w:pPr>
        <w:ind w:left="880" w:right="20" w:firstLine="789"/>
        <w:spacing w:after="0" w:line="269" w:lineRule="auto"/>
        <w:tabs>
          <w:tab w:leader="none" w:pos="25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New Borrower current UCC searches from the Secretary of State of its jurisdiction of organization with results reasonably acceptable to Lenders;</w:t>
      </w:r>
    </w:p>
    <w:p>
      <w:pPr>
        <w:spacing w:after="0" w:line="51" w:lineRule="exact"/>
        <w:rPr>
          <w:rFonts w:ascii="Times New Roman" w:cs="Times New Roman" w:eastAsia="Times New Roman" w:hAnsi="Times New Roman"/>
          <w:sz w:val="20"/>
          <w:szCs w:val="20"/>
          <w:color w:val="auto"/>
        </w:rPr>
      </w:pPr>
    </w:p>
    <w:p>
      <w:pPr>
        <w:ind w:left="880" w:firstLine="789"/>
        <w:spacing w:after="0" w:line="269" w:lineRule="auto"/>
        <w:tabs>
          <w:tab w:leader="none" w:pos="25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Lenders shall have received a duly executed legal opinion of New Borrower’s counsel, addressed to Lenders, addressing matters Lenders may reasonably request;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p>
      <w:pPr>
        <w:jc w:val="both"/>
        <w:ind w:left="880" w:firstLine="789"/>
        <w:spacing w:after="0" w:line="245" w:lineRule="auto"/>
        <w:tabs>
          <w:tab w:leader="none" w:pos="251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representations and warranties of Borrowers set forth herein and in the other Loan Documents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representations and warranties were true and correct in all material respects (without duplication of any materiality qualifier in the text of such representation or warranty) on and as of such date (and such parties’ delivery of their respective signatures hereto shall be deemed to be its certification thereof);</w:t>
      </w:r>
    </w:p>
    <w:p>
      <w:pPr>
        <w:spacing w:after="0" w:line="76" w:lineRule="exact"/>
        <w:rPr>
          <w:rFonts w:ascii="Times New Roman" w:cs="Times New Roman" w:eastAsia="Times New Roman" w:hAnsi="Times New Roman"/>
          <w:sz w:val="20"/>
          <w:szCs w:val="20"/>
          <w:color w:val="auto"/>
        </w:rPr>
      </w:pPr>
    </w:p>
    <w:p>
      <w:pPr>
        <w:ind w:left="880" w:firstLine="789"/>
        <w:spacing w:after="0" w:line="269" w:lineRule="auto"/>
        <w:tabs>
          <w:tab w:leader="none" w:pos="251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exist under any of the Loan Documents (and such parties’ delivery of their respective signatures hereto shall be deemed to be its certification thereof);</w:t>
      </w:r>
    </w:p>
    <w:p>
      <w:pPr>
        <w:spacing w:after="0" w:line="51" w:lineRule="exact"/>
        <w:rPr>
          <w:rFonts w:ascii="Times New Roman" w:cs="Times New Roman" w:eastAsia="Times New Roman" w:hAnsi="Times New Roman"/>
          <w:sz w:val="20"/>
          <w:szCs w:val="20"/>
          <w:color w:val="auto"/>
        </w:rPr>
      </w:pPr>
    </w:p>
    <w:p>
      <w:pPr>
        <w:jc w:val="both"/>
        <w:ind w:left="880" w:firstLine="789"/>
        <w:spacing w:after="0" w:line="249" w:lineRule="auto"/>
        <w:tabs>
          <w:tab w:leader="none" w:pos="255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all consents and amendments required under the terms of the Amended and Restated Credit and Security Agreement dated as of November 23, 2018 (as amended from time to time) by and among MidCap Funding IV Trust as agent, the Lenders party thereto and the Credit Parties party thereto, in connection with the Truweo Acquisition and the Truweo Seller Note, in each case, in form and substance reasonably satisfactory to Lenders; and</w:t>
      </w:r>
    </w:p>
    <w:p>
      <w:pPr>
        <w:spacing w:after="0" w:line="71"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51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have delivered such other documents, information, certificates, records, permits, and filings as Lenders may reasonably request, including, without limitation, any agreements, instruments and other documents necessary to ensure that Lenders receive a perfected Lien in all of to the extent required by the Credit Agreement.</w:t>
      </w:r>
    </w:p>
    <w:p>
      <w:pPr>
        <w:spacing w:after="0" w:line="62"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69"/>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Post-Closing Requirements</w:t>
      </w:r>
      <w:r>
        <w:rPr>
          <w:rFonts w:ascii="Times New Roman" w:cs="Times New Roman" w:eastAsia="Times New Roman" w:hAnsi="Times New Roman"/>
          <w:sz w:val="20"/>
          <w:szCs w:val="20"/>
          <w:color w:val="auto"/>
        </w:rPr>
        <w:t>. New Borrower hereby covenants and agrees that it shall:</w:t>
      </w:r>
    </w:p>
    <w:p>
      <w:pPr>
        <w:spacing w:after="0" w:line="219" w:lineRule="exact"/>
        <w:rPr>
          <w:rFonts w:ascii="Times New Roman" w:cs="Times New Roman" w:eastAsia="Times New Roman" w:hAnsi="Times New Roman"/>
          <w:sz w:val="20"/>
          <w:szCs w:val="20"/>
          <w:b w:val="1"/>
          <w:bCs w:val="1"/>
          <w:color w:val="010000"/>
        </w:rPr>
      </w:pPr>
    </w:p>
    <w:p>
      <w:pPr>
        <w:jc w:val="both"/>
        <w:ind w:firstLine="1735"/>
        <w:spacing w:after="0" w:line="254" w:lineRule="auto"/>
        <w:tabs>
          <w:tab w:leader="none" w:pos="2595" w:val="left"/>
        </w:tabs>
        <w:numPr>
          <w:ilvl w:val="2"/>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by the date that is thirty (30) days following the date hereof (or such later date as Lenders may agree in their sole discretion in writing), provide Lenders with insurance certificates and endorsements, naming Lenders as additional insured, assignee or lender loss payee, as applicable, as required by Section 6.8 of the Credit Agreement; and</w:t>
      </w:r>
    </w:p>
    <w:p>
      <w:pPr>
        <w:spacing w:after="0" w:line="174" w:lineRule="exact"/>
        <w:rPr>
          <w:rFonts w:ascii="Times New Roman" w:cs="Times New Roman" w:eastAsia="Times New Roman" w:hAnsi="Times New Roman"/>
          <w:sz w:val="20"/>
          <w:szCs w:val="20"/>
          <w:color w:val="010000"/>
        </w:rPr>
      </w:pPr>
    </w:p>
    <w:p>
      <w:pPr>
        <w:jc w:val="both"/>
        <w:ind w:firstLine="1735"/>
        <w:spacing w:after="0" w:line="245" w:lineRule="auto"/>
        <w:tabs>
          <w:tab w:leader="none" w:pos="2606" w:val="left"/>
        </w:tabs>
        <w:numPr>
          <w:ilvl w:val="2"/>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by the date that is thirty (30) days following the date hereof (or such later date as Lenders may agree in their sole discretion in writing), provide Lenders with fully executed Deposit Account Control Agreements for the deposit accounts of the New Borrower, as and to the extent required by Section 7.13 of the Credit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until the New Borrower has provided such Deposit Account Control Agreements or evidence of closure, Borrowers shall not permit the funds held in the New Borrower’s Deposit Accounts to exceed the amount(s) reasonably necessary for New Borrower to maintain solvency, assets, level of income, working capital, or its financial condition in the ordinary course of business.</w:t>
      </w:r>
    </w:p>
    <w:p>
      <w:pPr>
        <w:spacing w:after="0" w:line="18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Borrowers hereby agree that failure to comply with the requirements set forth in Section 10 of this Agreement shall constitute an immediate and automatic Event of Default.</w:t>
      </w:r>
    </w:p>
    <w:p>
      <w:pPr>
        <w:spacing w:after="0" w:line="155" w:lineRule="exact"/>
        <w:rPr>
          <w:sz w:val="20"/>
          <w:szCs w:val="20"/>
          <w:color w:val="auto"/>
        </w:rPr>
      </w:pPr>
    </w:p>
    <w:p>
      <w:pPr>
        <w:jc w:val="both"/>
        <w:ind w:firstLine="872"/>
        <w:spacing w:after="0" w:line="243" w:lineRule="auto"/>
        <w:tabs>
          <w:tab w:leader="none" w:pos="1748" w:val="left"/>
        </w:tabs>
        <w:numPr>
          <w:ilvl w:val="0"/>
          <w:numId w:val="7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consideration of the agreements of Lenders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Releasing Parties</w:t>
      </w:r>
      <w:r>
        <w:rPr>
          <w:rFonts w:ascii="Times New Roman" w:cs="Times New Roman" w:eastAsia="Times New Roman" w:hAnsi="Times New Roman"/>
          <w:sz w:val="20"/>
          <w:szCs w:val="20"/>
          <w:color w:val="auto"/>
        </w:rPr>
        <w:t>”) does hereby fully and completely release, acquit and forever discharge each of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of and from any and all actions, causes of action, suits, debts, disputes, damages, claims, obligations, liabilities,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0" w:name="page81"/>
    <w:bookmarkEnd w:id="80"/>
    <w:p>
      <w:pPr>
        <w:jc w:val="both"/>
        <w:spacing w:after="0" w:line="243" w:lineRule="auto"/>
        <w:rPr>
          <w:sz w:val="20"/>
          <w:szCs w:val="20"/>
          <w:color w:val="auto"/>
        </w:rPr>
      </w:pPr>
      <w:r>
        <w:rPr>
          <w:rFonts w:ascii="Times New Roman" w:cs="Times New Roman" w:eastAsia="Times New Roman" w:hAnsi="Times New Roman"/>
          <w:sz w:val="20"/>
          <w:szCs w:val="20"/>
          <w:color w:val="auto"/>
        </w:rPr>
        <w:t>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that relate to, arise out of or otherwise are in connection with: (i) any or all of the Loan Documents or transactions contemplated thereby or any actions or omissions in connection therewith or (ii) any aspect of the dealings or relationships between or among any or all of the Borrowers, on the one hand, and any or all of the Released Parties, on the other hand, relating to any or all of the documents, transactions, actions or omissions referenced in clause (i) hereof. Each Borrower acknowledges that the foregoing release is a material inducement to each Lender’s decision to enter into this Agreement and agree to the modifications contemplated hereunder, and has been relied upon by Lenders in connection therewith.</w:t>
      </w:r>
    </w:p>
    <w:p>
      <w:pPr>
        <w:spacing w:after="0" w:line="182" w:lineRule="exact"/>
        <w:rPr>
          <w:sz w:val="20"/>
          <w:szCs w:val="20"/>
          <w:color w:val="auto"/>
        </w:rPr>
      </w:pPr>
    </w:p>
    <w:p>
      <w:pPr>
        <w:jc w:val="both"/>
        <w:ind w:firstLine="872"/>
        <w:spacing w:after="0" w:line="245" w:lineRule="auto"/>
        <w:tabs>
          <w:tab w:leader="none" w:pos="1759" w:val="left"/>
        </w:tabs>
        <w:numPr>
          <w:ilvl w:val="0"/>
          <w:numId w:val="7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this Agreement, operate as a waiver of any right, power or remedy of Lenders, nor constitute a waiver of any provision of the Credit Agreement, the Loan Documents or any other documents, instruments and agreements executed or delivered in connection with any of the foregoing. Nothing herein is intended or shall be construed as a waiver of any existing Defaults or Events of Default under the Credit Agreement or the other Loan Documents or any of Lenders’ rights and remedies in respect of such Defaults or Events of Default. This Agreement (together with any other document executed in connection herewith) is not intended to be, nor shall it be construed as, a novation of the Credit Agreement.</w:t>
      </w:r>
    </w:p>
    <w:p>
      <w:pPr>
        <w:spacing w:after="0" w:line="179" w:lineRule="exact"/>
        <w:rPr>
          <w:rFonts w:ascii="Times New Roman" w:cs="Times New Roman" w:eastAsia="Times New Roman" w:hAnsi="Times New Roman"/>
          <w:sz w:val="20"/>
          <w:szCs w:val="20"/>
          <w:b w:val="1"/>
          <w:bCs w:val="1"/>
          <w:color w:val="010000"/>
        </w:rPr>
      </w:pPr>
    </w:p>
    <w:p>
      <w:pPr>
        <w:jc w:val="both"/>
        <w:ind w:firstLine="872"/>
        <w:spacing w:after="0" w:line="243" w:lineRule="auto"/>
        <w:tabs>
          <w:tab w:leader="none" w:pos="1759" w:val="left"/>
        </w:tabs>
        <w:numPr>
          <w:ilvl w:val="0"/>
          <w:numId w:val="7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Borrower will disclose the contents of this Agreement, the Credit Agreement or any of the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Documents to any third party (other than to such Borrower’s current and prospective direct and indirect financing sources, acquirors and holders of debt and the Borrowers’ direct and indirect equityholders, and its and their respective attorneys, advisors, directors, managers and officers on a need-to-know basis, as otherwise may be required by law or in connection with the resolution of a dispute brought hereunder involving a Borrower and any Lender, or in connection with any public or regulatory filing requirement relating to the Loan Documents) without Lenders’ prior written consent. Each Borrower agrees to inform all such persons who receive information concerning this Agreement, the Credit Agreement and the other Loan Documents that such information is confidential and may not be disclosed to any other person except as may be required by law, including to any court or regulatory agency having jurisdiction over such Borrower, or any Lender.</w:t>
      </w:r>
    </w:p>
    <w:p>
      <w:pPr>
        <w:spacing w:after="0" w:line="185" w:lineRule="exact"/>
        <w:rPr>
          <w:rFonts w:ascii="Times New Roman" w:cs="Times New Roman" w:eastAsia="Times New Roman" w:hAnsi="Times New Roman"/>
          <w:sz w:val="20"/>
          <w:szCs w:val="20"/>
          <w:b w:val="1"/>
          <w:bCs w:val="1"/>
          <w:color w:val="010000"/>
        </w:rPr>
      </w:pPr>
    </w:p>
    <w:p>
      <w:pPr>
        <w:jc w:val="both"/>
        <w:ind w:firstLine="872"/>
        <w:spacing w:after="0" w:line="246" w:lineRule="auto"/>
        <w:tabs>
          <w:tab w:leader="none" w:pos="1759" w:val="left"/>
        </w:tabs>
        <w:numPr>
          <w:ilvl w:val="0"/>
          <w:numId w:val="7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specifically amended pursuant to the terms hereof, each Borrower hereby acknowledges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that the Credit Agreement and all other Loan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Loan Documents, notwithstanding any prior course of conduct, waivers, releases or other actions or inactions on any Lender’s part which might otherwise constitute or be construed as a waiver of or amendment to such terms, covenants and conditions.</w:t>
      </w:r>
    </w:p>
    <w:p>
      <w:pPr>
        <w:spacing w:after="0" w:line="178" w:lineRule="exact"/>
        <w:rPr>
          <w:rFonts w:ascii="Times New Roman" w:cs="Times New Roman" w:eastAsia="Times New Roman" w:hAnsi="Times New Roman"/>
          <w:sz w:val="20"/>
          <w:szCs w:val="20"/>
          <w:b w:val="1"/>
          <w:bCs w:val="1"/>
          <w:color w:val="010000"/>
        </w:rPr>
      </w:pPr>
    </w:p>
    <w:p>
      <w:pPr>
        <w:ind w:left="1760" w:hanging="888"/>
        <w:spacing w:after="0"/>
        <w:tabs>
          <w:tab w:leader="none" w:pos="1760" w:val="left"/>
        </w:tabs>
        <w:numPr>
          <w:ilvl w:val="0"/>
          <w:numId w:val="71"/>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1735"/>
        <w:spacing w:after="0" w:line="246" w:lineRule="auto"/>
        <w:tabs>
          <w:tab w:leader="none" w:pos="2595" w:val="left"/>
        </w:tabs>
        <w:numPr>
          <w:ilvl w:val="1"/>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Loan Documents (and all covenants, terms, conditions and agreements therein), shall remain in full force and effect, and are hereby ratified and confirmed in all respects by each Borrower.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both"/>
        <w:ind w:firstLine="1735"/>
        <w:spacing w:after="0" w:line="249" w:lineRule="auto"/>
        <w:tabs>
          <w:tab w:leader="none" w:pos="260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EACH OTHER LOAN DOCUMENT, AND ALL MATTERS RELATING HERETO OR THERETO OR ARISING THEREFROM (WHETHER SOUNDING IN CONTRACT LAW, TORT LAW OR OTHERWISE), SHALL BE GOVERNED BY, AND SHALL BE CONSTRUED AND ENFORCED IN ACCORDANCE WITH, THE LAWS OF THE STATE OF CONNECTICUT, WITHOUT REGARD TO CONFLICTS OF LAWS PRINCIPLES.</w:t>
      </w:r>
    </w:p>
    <w:p>
      <w:pPr>
        <w:spacing w:after="0" w:line="179" w:lineRule="exact"/>
        <w:rPr>
          <w:rFonts w:ascii="Times New Roman" w:cs="Times New Roman" w:eastAsia="Times New Roman" w:hAnsi="Times New Roman"/>
          <w:sz w:val="20"/>
          <w:szCs w:val="20"/>
          <w:color w:val="010000"/>
        </w:rPr>
      </w:pPr>
    </w:p>
    <w:p>
      <w:pPr>
        <w:ind w:right="20" w:firstLine="1735"/>
        <w:spacing w:after="0" w:line="269" w:lineRule="auto"/>
        <w:tabs>
          <w:tab w:leader="none" w:pos="2595"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xml:space="preserve">. The provisions contained in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of the Credit Agreement is incorporated herein by reference to the same extent as if reproduced herein in their entirety.</w:t>
      </w:r>
    </w:p>
    <w:p>
      <w:pPr>
        <w:spacing w:after="0" w:line="159" w:lineRule="exact"/>
        <w:rPr>
          <w:rFonts w:ascii="Times New Roman" w:cs="Times New Roman" w:eastAsia="Times New Roman" w:hAnsi="Times New Roman"/>
          <w:sz w:val="20"/>
          <w:szCs w:val="20"/>
          <w:color w:val="010000"/>
        </w:rPr>
      </w:pPr>
    </w:p>
    <w:p>
      <w:pPr>
        <w:ind w:firstLine="1735"/>
        <w:spacing w:after="0" w:line="269" w:lineRule="auto"/>
        <w:tabs>
          <w:tab w:leader="none" w:pos="260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this Agreement are included for convenience of reference only and shall not constitute a part of this Agreement for any other purpose.</w:t>
      </w:r>
    </w:p>
    <w:p>
      <w:pPr>
        <w:spacing w:after="0" w:line="159" w:lineRule="exact"/>
        <w:rPr>
          <w:rFonts w:ascii="Times New Roman" w:cs="Times New Roman" w:eastAsia="Times New Roman" w:hAnsi="Times New Roman"/>
          <w:sz w:val="20"/>
          <w:szCs w:val="20"/>
          <w:color w:val="010000"/>
        </w:rPr>
      </w:pPr>
    </w:p>
    <w:p>
      <w:pPr>
        <w:jc w:val="both"/>
        <w:ind w:firstLine="1735"/>
        <w:spacing w:after="0" w:line="249" w:lineRule="auto"/>
        <w:tabs>
          <w:tab w:leader="none" w:pos="2595"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79"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573"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Credit Agreement, as amended hereby, and the other Loan Documents constitute the entire agreement and understanding among the parties hereto and supersedes any and all prior agreements and understandings, oral or written, relating to the subject matter hereof.</w:t>
      </w:r>
    </w:p>
    <w:p>
      <w:pPr>
        <w:spacing w:after="0" w:line="174" w:lineRule="exact"/>
        <w:rPr>
          <w:rFonts w:ascii="Times New Roman" w:cs="Times New Roman" w:eastAsia="Times New Roman" w:hAnsi="Times New Roman"/>
          <w:sz w:val="20"/>
          <w:szCs w:val="20"/>
          <w:color w:val="010000"/>
        </w:rPr>
      </w:pPr>
    </w:p>
    <w:p>
      <w:pPr>
        <w:jc w:val="both"/>
        <w:ind w:firstLine="1735"/>
        <w:spacing w:after="0" w:line="254" w:lineRule="auto"/>
        <w:tabs>
          <w:tab w:leader="none" w:pos="260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010000"/>
        </w:rPr>
      </w:pPr>
    </w:p>
    <w:p>
      <w:pPr>
        <w:ind w:firstLine="1735"/>
        <w:spacing w:after="0" w:line="269" w:lineRule="auto"/>
        <w:tabs>
          <w:tab w:leader="none" w:pos="2606"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bind, and the rights hereunder shall inure to, the respective successors and assigns of the parties hereto, subject to the provisions of the Credit Agreement and the other Loan Documents.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ind w:firstLine="864"/>
        <w:spacing w:after="0" w:line="269" w:lineRule="auto"/>
        <w:rPr>
          <w:sz w:val="20"/>
          <w:szCs w:val="20"/>
          <w:color w:val="auto"/>
        </w:rPr>
      </w:pPr>
      <w:r>
        <w:rPr>
          <w:rFonts w:ascii="Times New Roman" w:cs="Times New Roman" w:eastAsia="Times New Roman" w:hAnsi="Times New Roman"/>
          <w:sz w:val="20"/>
          <w:szCs w:val="20"/>
          <w:color w:val="auto"/>
        </w:rPr>
        <w:t>IN WITNESS WHEREOF, intending to be legally bound, and intending that this document constitute an agreement executed under seal, the undersigned have executed this Agreement under seal as of the day and year first hereinabove set forth.</w:t>
      </w:r>
    </w:p>
    <w:p>
      <w:pPr>
        <w:spacing w:after="0" w:line="17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3"/>
        </w:trPr>
        <w:tc>
          <w:tcPr>
            <w:tcW w:w="40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ORIGINAL BORROWERS:</w:t>
            </w: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MOHAWK GROUP HOLDINGS, INC.</w:t>
            </w:r>
          </w:p>
        </w:tc>
      </w:tr>
      <w:tr>
        <w:trPr>
          <w:trHeight w:val="230"/>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MOHAWK GROUP, INC.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XTAVA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SUNLABZ LLC</w:t>
            </w:r>
          </w:p>
        </w:tc>
      </w:tr>
      <w:tr>
        <w:trPr>
          <w:trHeight w:val="230"/>
        </w:trPr>
        <w:tc>
          <w:tcPr>
            <w:tcW w:w="4040" w:type="dxa"/>
            <w:vAlign w:val="bottom"/>
          </w:tcPr>
          <w:p>
            <w:pPr>
              <w:spacing w:after="0"/>
              <w:rPr>
                <w:sz w:val="19"/>
                <w:szCs w:val="19"/>
                <w:color w:val="auto"/>
              </w:rPr>
            </w:pPr>
          </w:p>
        </w:tc>
        <w:tc>
          <w:tcPr>
            <w:tcW w:w="25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RIF6 LLC</w:t>
            </w:r>
          </w:p>
        </w:tc>
        <w:tc>
          <w:tcPr>
            <w:tcW w:w="4680" w:type="dxa"/>
            <w:vAlign w:val="bottom"/>
          </w:tcPr>
          <w:p>
            <w:pPr>
              <w:spacing w:after="0"/>
              <w:rPr>
                <w:sz w:val="19"/>
                <w:szCs w:val="19"/>
                <w:color w:val="auto"/>
              </w:rPr>
            </w:pP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VREMI LLC</w:t>
            </w:r>
          </w:p>
        </w:tc>
      </w:tr>
      <w:tr>
        <w:trPr>
          <w:trHeight w:val="230"/>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HOMELABS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VIDAZEN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URBAN SOURCE LLC</w:t>
            </w:r>
          </w:p>
        </w:tc>
      </w:tr>
      <w:tr>
        <w:trPr>
          <w:trHeight w:val="230"/>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ZEPHYRBEAUTY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DISCOCART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VUETI LLC</w:t>
            </w:r>
          </w:p>
        </w:tc>
      </w:tr>
      <w:tr>
        <w:trPr>
          <w:trHeight w:val="230"/>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PUNCHED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SWEETHOMEDEALZ LLC</w:t>
            </w:r>
          </w:p>
        </w:tc>
      </w:tr>
      <w:tr>
        <w:trPr>
          <w:trHeight w:val="230"/>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KITCHENVOX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EXORIDER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KINETIC WAVE LLC</w:t>
            </w:r>
          </w:p>
        </w:tc>
      </w:tr>
      <w:tr>
        <w:trPr>
          <w:trHeight w:val="230"/>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3GIRLSFROMNY LLC</w:t>
            </w:r>
          </w:p>
        </w:tc>
      </w:tr>
      <w:tr>
        <w:trPr>
          <w:trHeight w:val="229"/>
        </w:trPr>
        <w:tc>
          <w:tcPr>
            <w:tcW w:w="4040" w:type="dxa"/>
            <w:vAlign w:val="bottom"/>
          </w:tcPr>
          <w:p>
            <w:pPr>
              <w:spacing w:after="0"/>
              <w:rPr>
                <w:sz w:val="19"/>
                <w:szCs w:val="19"/>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CHICALLEY LLC</w:t>
            </w:r>
          </w:p>
        </w:tc>
      </w:tr>
      <w:tr>
        <w:trPr>
          <w:trHeight w:val="258"/>
        </w:trPr>
        <w:tc>
          <w:tcPr>
            <w:tcW w:w="4040" w:type="dxa"/>
            <w:vAlign w:val="bottom"/>
          </w:tcPr>
          <w:p>
            <w:pPr>
              <w:spacing w:after="0"/>
              <w:rPr>
                <w:sz w:val="22"/>
                <w:szCs w:val="22"/>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BOXWHALE, LLC</w:t>
            </w:r>
          </w:p>
        </w:tc>
      </w:tr>
      <w:tr>
        <w:trPr>
          <w:trHeight w:val="669"/>
        </w:trPr>
        <w:tc>
          <w:tcPr>
            <w:tcW w:w="4040" w:type="dxa"/>
            <w:vAlign w:val="bottom"/>
          </w:tcPr>
          <w:p>
            <w:pPr>
              <w:spacing w:after="0"/>
              <w:rPr>
                <w:sz w:val="24"/>
                <w:szCs w:val="24"/>
                <w:color w:val="auto"/>
              </w:rPr>
            </w:pPr>
          </w:p>
        </w:tc>
        <w:tc>
          <w:tcPr>
            <w:tcW w:w="25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Fabrice Hamaide</w:t>
            </w:r>
          </w:p>
        </w:tc>
      </w:tr>
      <w:tr>
        <w:trPr>
          <w:trHeight w:val="200"/>
        </w:trPr>
        <w:tc>
          <w:tcPr>
            <w:tcW w:w="4040" w:type="dxa"/>
            <w:vAlign w:val="bottom"/>
          </w:tcPr>
          <w:p>
            <w:pPr>
              <w:spacing w:after="0"/>
              <w:rPr>
                <w:sz w:val="17"/>
                <w:szCs w:val="17"/>
                <w:color w:val="auto"/>
              </w:rPr>
            </w:pPr>
          </w:p>
        </w:tc>
        <w:tc>
          <w:tcPr>
            <w:tcW w:w="2520" w:type="dxa"/>
            <w:vAlign w:val="bottom"/>
          </w:tcPr>
          <w:p>
            <w:pPr>
              <w:ind w:left="158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Fabrice Hamaide</w:t>
            </w:r>
          </w:p>
        </w:tc>
      </w:tr>
      <w:tr>
        <w:trPr>
          <w:trHeight w:val="258"/>
        </w:trPr>
        <w:tc>
          <w:tcPr>
            <w:tcW w:w="4040" w:type="dxa"/>
            <w:vAlign w:val="bottom"/>
          </w:tcPr>
          <w:p>
            <w:pPr>
              <w:spacing w:after="0"/>
              <w:rPr>
                <w:sz w:val="22"/>
                <w:szCs w:val="22"/>
                <w:color w:val="auto"/>
              </w:rPr>
            </w:pPr>
          </w:p>
        </w:tc>
        <w:tc>
          <w:tcPr>
            <w:tcW w:w="25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660"/>
        </w:trPr>
        <w:tc>
          <w:tcPr>
            <w:tcW w:w="4040" w:type="dxa"/>
            <w:vAlign w:val="bottom"/>
          </w:tcPr>
          <w:p>
            <w:pPr>
              <w:spacing w:after="0"/>
              <w:rPr>
                <w:sz w:val="24"/>
                <w:szCs w:val="24"/>
                <w:color w:val="auto"/>
              </w:rPr>
            </w:pPr>
          </w:p>
        </w:tc>
        <w:tc>
          <w:tcPr>
            <w:tcW w:w="7200" w:type="dxa"/>
            <w:vAlign w:val="bottom"/>
            <w:gridSpan w:val="2"/>
          </w:tcPr>
          <w:p>
            <w:pPr>
              <w:ind w:left="1580"/>
              <w:spacing w:after="0"/>
              <w:rPr>
                <w:sz w:val="20"/>
                <w:szCs w:val="20"/>
                <w:color w:val="auto"/>
              </w:rPr>
            </w:pPr>
            <w:r>
              <w:rPr>
                <w:rFonts w:ascii="Times New Roman" w:cs="Times New Roman" w:eastAsia="Times New Roman" w:hAnsi="Times New Roman"/>
                <w:sz w:val="20"/>
                <w:szCs w:val="20"/>
                <w:color w:val="auto"/>
              </w:rPr>
              <w:t>AUSSIE HEALTH CO, LLC</w:t>
            </w:r>
          </w:p>
        </w:tc>
      </w:tr>
      <w:tr>
        <w:trPr>
          <w:trHeight w:val="258"/>
        </w:trPr>
        <w:tc>
          <w:tcPr>
            <w:tcW w:w="4040" w:type="dxa"/>
            <w:vAlign w:val="bottom"/>
          </w:tcPr>
          <w:p>
            <w:pPr>
              <w:spacing w:after="0"/>
              <w:rPr>
                <w:sz w:val="22"/>
                <w:szCs w:val="22"/>
                <w:color w:val="auto"/>
              </w:rPr>
            </w:pPr>
          </w:p>
        </w:tc>
        <w:tc>
          <w:tcPr>
            <w:tcW w:w="25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Mohawk Group, Inc., its Sole Member</w:t>
            </w:r>
          </w:p>
        </w:tc>
      </w:tr>
      <w:tr>
        <w:trPr>
          <w:trHeight w:val="683"/>
        </w:trPr>
        <w:tc>
          <w:tcPr>
            <w:tcW w:w="4040" w:type="dxa"/>
            <w:vAlign w:val="bottom"/>
          </w:tcPr>
          <w:p>
            <w:pPr>
              <w:spacing w:after="0"/>
              <w:rPr>
                <w:sz w:val="24"/>
                <w:szCs w:val="24"/>
                <w:color w:val="auto"/>
              </w:rPr>
            </w:pPr>
          </w:p>
        </w:tc>
        <w:tc>
          <w:tcPr>
            <w:tcW w:w="25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Fabrice Hamaide</w:t>
            </w:r>
          </w:p>
        </w:tc>
      </w:tr>
      <w:tr>
        <w:trPr>
          <w:trHeight w:val="200"/>
        </w:trPr>
        <w:tc>
          <w:tcPr>
            <w:tcW w:w="4040" w:type="dxa"/>
            <w:vAlign w:val="bottom"/>
          </w:tcPr>
          <w:p>
            <w:pPr>
              <w:spacing w:after="0"/>
              <w:rPr>
                <w:sz w:val="17"/>
                <w:szCs w:val="17"/>
                <w:color w:val="auto"/>
              </w:rPr>
            </w:pPr>
          </w:p>
        </w:tc>
        <w:tc>
          <w:tcPr>
            <w:tcW w:w="2520" w:type="dxa"/>
            <w:vAlign w:val="bottom"/>
          </w:tcPr>
          <w:p>
            <w:pPr>
              <w:ind w:left="158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Fabrice Hamaide</w:t>
            </w:r>
          </w:p>
        </w:tc>
      </w:tr>
      <w:tr>
        <w:trPr>
          <w:trHeight w:val="258"/>
        </w:trPr>
        <w:tc>
          <w:tcPr>
            <w:tcW w:w="4040" w:type="dxa"/>
            <w:vAlign w:val="bottom"/>
          </w:tcPr>
          <w:p>
            <w:pPr>
              <w:spacing w:after="0"/>
              <w:rPr>
                <w:sz w:val="22"/>
                <w:szCs w:val="22"/>
                <w:color w:val="auto"/>
              </w:rPr>
            </w:pPr>
          </w:p>
        </w:tc>
        <w:tc>
          <w:tcPr>
            <w:tcW w:w="25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NEW BORROWER:</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TRUWEO, LLC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6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Fabrice Hamaide</w:t>
            </w:r>
          </w:p>
        </w:tc>
        <w:tc>
          <w:tcPr>
            <w:tcW w:w="20" w:type="dxa"/>
            <w:vAlign w:val="bottom"/>
          </w:tcPr>
          <w:p>
            <w:pPr>
              <w:spacing w:after="0"/>
              <w:rPr>
                <w:sz w:val="21"/>
                <w:szCs w:val="21"/>
                <w:color w:val="auto"/>
              </w:rPr>
            </w:pPr>
          </w:p>
        </w:tc>
      </w:tr>
      <w:tr>
        <w:trPr>
          <w:trHeight w:val="200"/>
        </w:trPr>
        <w:tc>
          <w:tcPr>
            <w:tcW w:w="6560" w:type="dxa"/>
            <w:vAlign w:val="bottom"/>
          </w:tcPr>
          <w:p>
            <w:pPr>
              <w:ind w:left="56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Fabrice Hamaide</w:t>
            </w:r>
          </w:p>
        </w:tc>
        <w:tc>
          <w:tcPr>
            <w:tcW w:w="20" w:type="dxa"/>
            <w:vAlign w:val="bottom"/>
          </w:tcPr>
          <w:p>
            <w:pPr>
              <w:spacing w:after="0"/>
              <w:rPr>
                <w:sz w:val="17"/>
                <w:szCs w:val="17"/>
                <w:color w:val="auto"/>
              </w:rPr>
            </w:pPr>
          </w:p>
        </w:tc>
      </w:tr>
      <w:tr>
        <w:trPr>
          <w:trHeight w:val="258"/>
        </w:trPr>
        <w:tc>
          <w:tcPr>
            <w:tcW w:w="6560" w:type="dxa"/>
            <w:vAlign w:val="bottom"/>
          </w:tcPr>
          <w:p>
            <w:pPr>
              <w:ind w:left="562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0" w:type="dxa"/>
            <w:vAlign w:val="bottom"/>
          </w:tcPr>
          <w:p>
            <w:pPr>
              <w:spacing w:after="0"/>
              <w:rPr>
                <w:sz w:val="22"/>
                <w:szCs w:val="22"/>
                <w:color w:val="auto"/>
              </w:rPr>
            </w:pPr>
          </w:p>
        </w:tc>
      </w:tr>
      <w:tr>
        <w:trPr>
          <w:trHeight w:val="1013"/>
        </w:trPr>
        <w:tc>
          <w:tcPr>
            <w:tcW w:w="65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8"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LENDERS:</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HORIZON TECHNOLOGY FINANCE CORPORATION</w:t>
      </w:r>
    </w:p>
    <w:p>
      <w:pPr>
        <w:spacing w:after="0" w:line="200" w:lineRule="exact"/>
        <w:rPr>
          <w:sz w:val="20"/>
          <w:szCs w:val="20"/>
          <w:color w:val="auto"/>
        </w:rPr>
      </w:pPr>
    </w:p>
    <w:p>
      <w:pPr>
        <w:spacing w:after="0" w:line="259" w:lineRule="exact"/>
        <w:rPr>
          <w:sz w:val="20"/>
          <w:szCs w:val="20"/>
          <w:color w:val="auto"/>
        </w:rPr>
      </w:pPr>
    </w:p>
    <w:tbl>
      <w:tblPr>
        <w:tblLayout w:type="fixed"/>
        <w:tblInd w:w="5620" w:type="dxa"/>
        <w:tblCellMar>
          <w:top w:w="0" w:type="dxa"/>
          <w:left w:w="0" w:type="dxa"/>
          <w:bottom w:w="0" w:type="dxa"/>
          <w:right w:w="0" w:type="dxa"/>
        </w:tblCellMar>
      </w:tblPr>
      <w:tr>
        <w:trPr>
          <w:trHeight w:val="25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D. Pomeroy, Jr.</w:t>
            </w:r>
          </w:p>
        </w:tc>
      </w:tr>
      <w:tr>
        <w:trPr>
          <w:trHeight w:val="207"/>
        </w:trPr>
        <w:tc>
          <w:tcPr>
            <w:tcW w:w="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Robert D. Pomeroy, Jr.</w:t>
            </w: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459"/>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HORIZON CREDIT II LLC</w:t>
            </w:r>
          </w:p>
        </w:tc>
      </w:tr>
      <w:tr>
        <w:trPr>
          <w:trHeight w:val="68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D. Pomeroy, Jr.</w:t>
            </w:r>
          </w:p>
        </w:tc>
      </w:tr>
      <w:tr>
        <w:trPr>
          <w:trHeight w:val="200"/>
        </w:trPr>
        <w:tc>
          <w:tcPr>
            <w:tcW w:w="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Robert D. Pomeroy, Jr.</w:t>
            </w: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430"/>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HORIZON FUNDING TRUST 2019-1</w:t>
            </w: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Horizon Technology Finance Corporation, its agent</w:t>
            </w:r>
          </w:p>
        </w:tc>
      </w:tr>
      <w:tr>
        <w:trPr>
          <w:trHeight w:val="683"/>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D. Pomeroy, Jr.</w:t>
            </w:r>
          </w:p>
        </w:tc>
      </w:tr>
      <w:tr>
        <w:trPr>
          <w:trHeight w:val="200"/>
        </w:trPr>
        <w:tc>
          <w:tcPr>
            <w:tcW w:w="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Robert D. Pomeroy, Jr.</w:t>
            </w: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32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Mohawk Group Holdings, Inc.;</w:t>
      </w:r>
    </w:p>
    <w:p>
      <w:pPr>
        <w:spacing w:after="0" w:line="90" w:lineRule="exact"/>
        <w:rPr>
          <w:rFonts w:ascii="Times New Roman" w:cs="Times New Roman" w:eastAsia="Times New Roman" w:hAnsi="Times New Roman"/>
          <w:sz w:val="18"/>
          <w:szCs w:val="18"/>
          <w:color w:val="auto"/>
        </w:rPr>
      </w:pPr>
    </w:p>
    <w:p>
      <w:pPr>
        <w:ind w:left="560" w:right="40" w:hanging="1"/>
        <w:spacing w:after="0" w:line="266" w:lineRule="auto"/>
        <w:tabs>
          <w:tab w:leader="none" w:pos="7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60" w:right="260" w:hanging="1"/>
        <w:spacing w:after="0" w:line="282" w:lineRule="auto"/>
        <w:tabs>
          <w:tab w:leader="none" w:pos="7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60" w:right="220" w:hanging="1"/>
        <w:spacing w:after="0" w:line="282" w:lineRule="auto"/>
        <w:tabs>
          <w:tab w:leader="none" w:pos="7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Times New Roman" w:cs="Times New Roman" w:eastAsia="Times New Roman" w:hAnsi="Times New Roman"/>
          <w:sz w:val="18"/>
          <w:szCs w:val="18"/>
          <w:color w:val="auto"/>
        </w:rPr>
      </w:pPr>
    </w:p>
    <w:p>
      <w:pPr>
        <w:ind w:left="1120" w:right="320" w:hanging="7"/>
        <w:spacing w:after="0" w:line="266" w:lineRule="auto"/>
        <w:tabs>
          <w:tab w:leader="none" w:pos="129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20" w:right="240" w:hanging="7"/>
        <w:spacing w:after="0" w:line="306" w:lineRule="auto"/>
        <w:tabs>
          <w:tab w:leader="none" w:pos="130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20" w:right="100" w:hanging="7"/>
        <w:spacing w:after="0" w:line="266" w:lineRule="auto"/>
        <w:tabs>
          <w:tab w:leader="none" w:pos="129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560" w:right="180" w:hanging="1"/>
        <w:spacing w:after="0" w:line="282" w:lineRule="auto"/>
        <w:tabs>
          <w:tab w:leader="none" w:pos="7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20" w:right="480" w:hanging="7"/>
        <w:spacing w:after="0" w:line="282" w:lineRule="auto"/>
        <w:tabs>
          <w:tab w:leader="none" w:pos="12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20" w:right="160" w:hanging="7"/>
        <w:spacing w:after="0" w:line="282" w:lineRule="auto"/>
        <w:tabs>
          <w:tab w:leader="none" w:pos="129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09,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Yaniv Sarig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Fabrice Hamaide, certify that:</w:t>
      </w:r>
    </w:p>
    <w:p>
      <w:pPr>
        <w:spacing w:after="0" w:line="77" w:lineRule="exact"/>
        <w:rPr>
          <w:sz w:val="20"/>
          <w:szCs w:val="20"/>
          <w:color w:val="auto"/>
        </w:rPr>
      </w:pPr>
    </w:p>
    <w:p>
      <w:pPr>
        <w:ind w:left="740" w:hanging="181"/>
        <w:spacing w:after="0"/>
        <w:tabs>
          <w:tab w:leader="none" w:pos="7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Mohawk Group Holdings, Inc.;</w:t>
      </w:r>
    </w:p>
    <w:p>
      <w:pPr>
        <w:spacing w:after="0" w:line="90" w:lineRule="exact"/>
        <w:rPr>
          <w:rFonts w:ascii="Times New Roman" w:cs="Times New Roman" w:eastAsia="Times New Roman" w:hAnsi="Times New Roman"/>
          <w:sz w:val="18"/>
          <w:szCs w:val="18"/>
          <w:color w:val="auto"/>
        </w:rPr>
      </w:pPr>
    </w:p>
    <w:p>
      <w:pPr>
        <w:ind w:left="560" w:right="40" w:hanging="1"/>
        <w:spacing w:after="0" w:line="266" w:lineRule="auto"/>
        <w:tabs>
          <w:tab w:leader="none" w:pos="7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60" w:right="260" w:hanging="1"/>
        <w:spacing w:after="0" w:line="282" w:lineRule="auto"/>
        <w:tabs>
          <w:tab w:leader="none" w:pos="7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60" w:right="220" w:hanging="1"/>
        <w:spacing w:after="0" w:line="282" w:lineRule="auto"/>
        <w:tabs>
          <w:tab w:leader="none" w:pos="7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6" w:lineRule="exact"/>
        <w:rPr>
          <w:rFonts w:ascii="Times New Roman" w:cs="Times New Roman" w:eastAsia="Times New Roman" w:hAnsi="Times New Roman"/>
          <w:sz w:val="18"/>
          <w:szCs w:val="18"/>
          <w:color w:val="auto"/>
        </w:rPr>
      </w:pPr>
    </w:p>
    <w:p>
      <w:pPr>
        <w:ind w:left="1120" w:right="320" w:hanging="7"/>
        <w:spacing w:after="0" w:line="266"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20" w:right="240" w:hanging="7"/>
        <w:spacing w:after="0" w:line="306" w:lineRule="auto"/>
        <w:tabs>
          <w:tab w:leader="none" w:pos="130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20" w:right="100" w:hanging="7"/>
        <w:spacing w:after="0" w:line="266"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560" w:right="180" w:hanging="1"/>
        <w:spacing w:after="0" w:line="282" w:lineRule="auto"/>
        <w:tabs>
          <w:tab w:leader="none" w:pos="7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20" w:right="480" w:hanging="7"/>
        <w:spacing w:after="0" w:line="282" w:lineRule="auto"/>
        <w:tabs>
          <w:tab w:leader="none" w:pos="12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20" w:right="160" w:hanging="7"/>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09,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Fabrice Hamaide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Fabrice Hamaide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87" w:name="page88"/>
    <w:bookmarkEnd w:id="87"/>
    <w:p>
      <w:pPr>
        <w:ind w:left="95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20" w:firstLine="55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Mohawk Group Holdings, Inc. (the “Company”) for the period ended September 30, 2020 as filed with the Securities and Exchange Commission on the date hereof (the “Report”), the undersigned hereby certify, pursuant to 18 U.S.C. Section 1350, as adopted pursuant to Section 906 of the Sarbanes-Oxley Act of 2002, to their knowledge that:</w:t>
      </w:r>
    </w:p>
    <w:p>
      <w:pPr>
        <w:spacing w:after="0" w:line="27" w:lineRule="exact"/>
        <w:rPr>
          <w:sz w:val="20"/>
          <w:szCs w:val="20"/>
          <w:color w:val="auto"/>
        </w:rPr>
      </w:pPr>
    </w:p>
    <w:p>
      <w:pPr>
        <w:ind w:left="820" w:hanging="261"/>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560" w:right="680" w:hanging="1"/>
        <w:spacing w:after="0" w:line="282" w:lineRule="auto"/>
        <w:tabs>
          <w:tab w:leader="none" w:pos="8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Yaniv Sarig</w:t>
            </w:r>
          </w:p>
        </w:tc>
        <w:tc>
          <w:tcPr>
            <w:tcW w:w="20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 Fabrice Hamaide</w:t>
            </w:r>
          </w:p>
        </w:tc>
      </w:tr>
      <w:tr>
        <w:trPr>
          <w:trHeight w:val="22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Yaniv Sarig</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Fabrice Hamaide</w:t>
            </w:r>
          </w:p>
        </w:tc>
      </w:tr>
      <w:tr>
        <w:trPr>
          <w:trHeight w:val="241"/>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09, 2020</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November 09, 2020</w:t>
            </w:r>
          </w:p>
        </w:tc>
      </w:tr>
    </w:tbl>
    <w:p>
      <w:pPr>
        <w:spacing w:after="0" w:line="171" w:lineRule="exact"/>
        <w:rPr>
          <w:sz w:val="20"/>
          <w:szCs w:val="20"/>
          <w:color w:val="auto"/>
        </w:rPr>
      </w:pPr>
    </w:p>
    <w:p>
      <w:pPr>
        <w:ind w:right="240" w:firstLine="55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firstLine="551"/>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160"/>
      </w:cols>
      <w:pgMar w:left="320" w:top="1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2"/>
    </w:lvl>
  </w:abstractNum>
  <w:abstractNum w:abstractNumId="5">
    <w:nsid w:val="580BD78F"/>
    <w:multiLevelType w:val="hybridMultilevel"/>
    <w:lvl w:ilvl="0">
      <w:lvlJc w:val="left"/>
      <w:lvlText w:val="%1."/>
      <w:numFmt w:val="decimal"/>
      <w:start w:val="3"/>
    </w:lvl>
  </w:abstractNum>
  <w:abstractNum w:abstractNumId="6">
    <w:nsid w:val="153EA438"/>
    <w:multiLevelType w:val="hybridMultilevel"/>
    <w:lvl w:ilvl="0">
      <w:lvlJc w:val="left"/>
      <w:lvlText w:val="%1."/>
      <w:numFmt w:val="decimal"/>
      <w:start w:val="4"/>
    </w:lvl>
  </w:abstractNum>
  <w:abstractNum w:abstractNumId="7">
    <w:nsid w:val="3855585C"/>
    <w:multiLevelType w:val="hybridMultilevel"/>
    <w:lvl w:ilvl="0">
      <w:lvlJc w:val="left"/>
      <w:lvlText w:val="%1."/>
      <w:numFmt w:val="decimal"/>
      <w:start w:val="5"/>
    </w:lvl>
  </w:abstractNum>
  <w:abstractNum w:abstractNumId="8">
    <w:nsid w:val="70A64E2A"/>
    <w:multiLevelType w:val="hybridMultilevel"/>
    <w:lvl w:ilvl="0">
      <w:lvlJc w:val="left"/>
      <w:lvlText w:val="%1."/>
      <w:numFmt w:val="decimal"/>
      <w:start w:val="6"/>
    </w:lvl>
  </w:abstractNum>
  <w:abstractNum w:abstractNumId="9">
    <w:nsid w:val="6A2342EC"/>
    <w:multiLevelType w:val="hybridMultilevel"/>
    <w:lvl w:ilvl="0">
      <w:lvlJc w:val="left"/>
      <w:lvlText w:val="%1."/>
      <w:numFmt w:val="decimal"/>
      <w:start w:val="8"/>
    </w:lvl>
  </w:abstractNum>
  <w:abstractNum w:abstractNumId="10">
    <w:nsid w:val="2A487CB0"/>
    <w:multiLevelType w:val="hybridMultilevel"/>
    <w:lvl w:ilvl="0">
      <w:lvlJc w:val="left"/>
      <w:lvlText w:val="%1."/>
      <w:numFmt w:val="decimal"/>
      <w:start w:val="9"/>
    </w:lvl>
  </w:abstractNum>
  <w:abstractNum w:abstractNumId="11">
    <w:nsid w:val="1D4ED43B"/>
    <w:multiLevelType w:val="hybridMultilevel"/>
    <w:lvl w:ilvl="0">
      <w:lvlJc w:val="left"/>
      <w:lvlText w:val="%1."/>
      <w:numFmt w:val="lowerRoman"/>
      <w:start w:val="1"/>
    </w:lvl>
  </w:abstractNum>
  <w:abstractNum w:abstractNumId="12">
    <w:nsid w:val="725A06FB"/>
    <w:multiLevelType w:val="hybridMultilevel"/>
    <w:lvl w:ilvl="0">
      <w:lvlJc w:val="left"/>
      <w:lvlText w:val="%1."/>
      <w:numFmt w:val="lowerRoman"/>
      <w:start w:val="2"/>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2"/>
    </w:lvl>
  </w:abstractNum>
  <w:abstractNum w:abstractNumId="25">
    <w:nsid w:val="3DC240FB"/>
    <w:multiLevelType w:val="hybridMultilevel"/>
    <w:lvl w:ilvl="0">
      <w:lvlJc w:val="left"/>
      <w:lvlText w:val="(%1)"/>
      <w:numFmt w:val="lowerLetter"/>
      <w:start w:val="2"/>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decimal"/>
      <w:start w:val="1"/>
    </w:lvl>
    <w:lvl w:ilvl="1">
      <w:lvlJc w:val="left"/>
      <w:lvlText w:val="(%2)"/>
      <w:numFmt w:val="lowerLetter"/>
      <w:start w:val="1"/>
    </w:lvl>
  </w:abstractNum>
  <w:abstractNum w:abstractNumId="29">
    <w:nsid w:val="12E685F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0">
    <w:nsid w:val="70C6A52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1">
    <w:nsid w:val="520EEDD1"/>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2">
    <w:nsid w:val="374A3FE6"/>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33">
    <w:nsid w:val="4F4EF005"/>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2"/>
    </w:lvl>
  </w:abstractNum>
  <w:abstractNum w:abstractNumId="34">
    <w:nsid w:val="23F9C13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5">
    <w:nsid w:val="649BB77C"/>
    <w:multiLevelType w:val="hybridMultilevel"/>
    <w:lvl w:ilvl="0">
      <w:lvlJc w:val="left"/>
      <w:lvlText w:val="(%1)"/>
      <w:numFmt w:val="lowerLetter"/>
      <w:start w:val="2"/>
    </w:lvl>
  </w:abstractNum>
  <w:abstractNum w:abstractNumId="36">
    <w:nsid w:val="275AC794"/>
    <w:multiLevelType w:val="hybridMultilevel"/>
    <w:lvl w:ilvl="0">
      <w:lvlJc w:val="left"/>
      <w:lvlText w:val="%1."/>
      <w:numFmt w:val="decimal"/>
      <w:start w:val="8"/>
    </w:lvl>
  </w:abstractNum>
  <w:abstractNum w:abstractNumId="37">
    <w:nsid w:val="39386575"/>
    <w:multiLevelType w:val="hybridMultilevel"/>
    <w:lvl w:ilvl="0">
      <w:lvlJc w:val="left"/>
      <w:lvlText w:val="%1."/>
      <w:numFmt w:val="decimal"/>
      <w:start w:val="10"/>
    </w:lvl>
    <w:lvl w:ilvl="1">
      <w:lvlJc w:val="left"/>
      <w:lvlText w:val="(%2)"/>
      <w:numFmt w:val="lowerLetter"/>
      <w:start w:val="1"/>
    </w:lvl>
  </w:abstractNum>
  <w:abstractNum w:abstractNumId="38">
    <w:nsid w:val="1CF10FD8"/>
    <w:multiLevelType w:val="hybridMultilevel"/>
    <w:lvl w:ilvl="0">
      <w:lvlJc w:val="left"/>
      <w:lvlText w:val="%1"/>
      <w:numFmt w:val="decimal"/>
      <w:start w:val="1"/>
    </w:lvl>
    <w:lvl w:ilvl="1">
      <w:lvlJc w:val="left"/>
      <w:lvlText w:val="(%2)"/>
      <w:numFmt w:val="lowerLetter"/>
      <w:start w:val="2"/>
    </w:lvl>
  </w:abstractNum>
  <w:abstractNum w:abstractNumId="39">
    <w:nsid w:val="180115BE"/>
    <w:multiLevelType w:val="hybridMultilevel"/>
    <w:lvl w:ilvl="0">
      <w:lvlJc w:val="left"/>
      <w:lvlText w:val="%1."/>
      <w:numFmt w:val="decimal"/>
      <w:start w:val="12"/>
    </w:lvl>
    <w:lvl w:ilvl="1">
      <w:lvlJc w:val="left"/>
      <w:lvlText w:val="(%2)"/>
      <w:numFmt w:val="lowerLetter"/>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lowerLetter"/>
      <w:start w:val="1"/>
    </w:lvl>
    <w:lvl w:ilvl="1">
      <w:lvlJc w:val="left"/>
      <w:lvlText w:val="(%2)"/>
      <w:numFmt w:val="decimal"/>
      <w:start w:val="2"/>
    </w:lvl>
  </w:abstractNum>
  <w:abstractNum w:abstractNumId="42">
    <w:nsid w:val="354FE9F9"/>
    <w:multiLevelType w:val="hybridMultilevel"/>
    <w:lvl w:ilvl="0">
      <w:lvlJc w:val="left"/>
      <w:lvlText w:val="(%1)"/>
      <w:numFmt w:val="lowerLetter"/>
      <w:start w:val="3"/>
    </w:lvl>
    <w:lvl w:ilvl="1">
      <w:lvlJc w:val="left"/>
      <w:lvlText w:val="%2"/>
      <w:numFmt w:val="decimal"/>
      <w:start w:val="1"/>
    </w:lvl>
  </w:abstractNum>
  <w:abstractNum w:abstractNumId="43">
    <w:nsid w:val="15B5AF5C"/>
    <w:multiLevelType w:val="hybridMultilevel"/>
    <w:lvl w:ilvl="0">
      <w:lvlJc w:val="left"/>
      <w:lvlText w:val="%1."/>
      <w:numFmt w:val="upperLetter"/>
      <w:start w:val="1"/>
    </w:lvl>
  </w:abstractNum>
  <w:abstractNum w:abstractNumId="44">
    <w:nsid w:val="741226BB"/>
    <w:multiLevelType w:val="hybridMultilevel"/>
    <w:lvl w:ilvl="0">
      <w:lvlJc w:val="left"/>
      <w:lvlText w:val="(%1)"/>
      <w:numFmt w:val="lowerRoman"/>
      <w:start w:val="2"/>
    </w:lvl>
  </w:abstractNum>
  <w:abstractNum w:abstractNumId="45">
    <w:nsid w:val="D34B6A8"/>
    <w:multiLevelType w:val="hybridMultilevel"/>
    <w:lvl w:ilvl="0">
      <w:lvlJc w:val="left"/>
      <w:lvlText w:val="%1."/>
      <w:numFmt w:val="decimal"/>
      <w:start w:val="1"/>
    </w:lvl>
    <w:lvl w:ilvl="1">
      <w:lvlJc w:val="left"/>
      <w:lvlText w:val="(%2)"/>
      <w:numFmt w:val="lowerLetter"/>
      <w:start w:val="1"/>
    </w:lvl>
  </w:abstractNum>
  <w:abstractNum w:abstractNumId="46">
    <w:nsid w:val="10233C99"/>
    <w:multiLevelType w:val="hybridMultilevel"/>
    <w:lvl w:ilvl="0">
      <w:lvlJc w:val="left"/>
      <w:lvlText w:val="%1"/>
      <w:numFmt w:val="decimal"/>
      <w:start w:val="1"/>
    </w:lvl>
    <w:lvl w:ilvl="1">
      <w:lvlJc w:val="left"/>
      <w:lvlText w:val="(%2)"/>
      <w:numFmt w:val="lowerLetter"/>
      <w:start w:val="2"/>
    </w:lvl>
  </w:abstractNum>
  <w:abstractNum w:abstractNumId="47">
    <w:nsid w:val="3F6AB60F"/>
    <w:multiLevelType w:val="hybridMultilevel"/>
    <w:lvl w:ilvl="0">
      <w:lvlJc w:val="left"/>
      <w:lvlText w:val="%1."/>
      <w:numFmt w:val="decimal"/>
      <w:start w:val="4"/>
    </w:lvl>
    <w:lvl w:ilvl="1">
      <w:lvlJc w:val="left"/>
      <w:lvlText w:val="(%2)"/>
      <w:numFmt w:val="lowerLetter"/>
      <w:start w:val="1"/>
    </w:lvl>
  </w:abstractNum>
  <w:abstractNum w:abstractNumId="48">
    <w:nsid w:val="61574095"/>
    <w:multiLevelType w:val="hybridMultilevel"/>
    <w:lvl w:ilvl="0">
      <w:lvlJc w:val="left"/>
      <w:lvlText w:val="(%1)"/>
      <w:numFmt w:val="lowerLetter"/>
      <w:start w:val="2"/>
    </w:lvl>
  </w:abstractNum>
  <w:abstractNum w:abstractNumId="49">
    <w:nsid w:val="7E0C57B1"/>
    <w:multiLevelType w:val="hybridMultilevel"/>
    <w:lvl w:ilvl="0">
      <w:lvlJc w:val="left"/>
      <w:lvlText w:val="(%1)"/>
      <w:numFmt w:val="lowerLetter"/>
      <w:start w:val="3"/>
    </w:lvl>
  </w:abstractNum>
  <w:abstractNum w:abstractNumId="50">
    <w:nsid w:val="77AE35EB"/>
    <w:multiLevelType w:val="hybridMultilevel"/>
    <w:lvl w:ilvl="0">
      <w:lvlJc w:val="left"/>
      <w:lvlText w:val="%1"/>
      <w:numFmt w:val="decimal"/>
      <w:start w:val="1"/>
    </w:lvl>
    <w:lvl w:ilvl="1">
      <w:lvlJc w:val="left"/>
      <w:lvlText w:val="(%2)"/>
      <w:numFmt w:val="lowerLetter"/>
      <w:start w:val="4"/>
    </w:lvl>
  </w:abstractNum>
  <w:abstractNum w:abstractNumId="51">
    <w:nsid w:val="579BE4F1"/>
    <w:multiLevelType w:val="hybridMultilevel"/>
    <w:lvl w:ilvl="0">
      <w:lvlJc w:val="left"/>
      <w:lvlText w:val="%1."/>
      <w:numFmt w:val="decimal"/>
      <w:start w:val="5"/>
    </w:lvl>
    <w:lvl w:ilvl="1">
      <w:lvlJc w:val="left"/>
      <w:lvlText w:val="(%2)"/>
      <w:numFmt w:val="lowerLetter"/>
      <w:start w:val="1"/>
    </w:lvl>
  </w:abstractNum>
  <w:abstractNum w:abstractNumId="52">
    <w:nsid w:val="310C50B3"/>
    <w:multiLevelType w:val="hybridMultilevel"/>
    <w:lvl w:ilvl="0">
      <w:lvlJc w:val="left"/>
      <w:lvlText w:val="%1."/>
      <w:numFmt w:val="decimal"/>
      <w:start w:val="7"/>
    </w:lvl>
    <w:lvl w:ilvl="1">
      <w:lvlJc w:val="left"/>
      <w:lvlText w:val="(%2)"/>
      <w:numFmt w:val="lowerLetter"/>
      <w:start w:val="1"/>
    </w:lvl>
  </w:abstractNum>
  <w:abstractNum w:abstractNumId="53">
    <w:nsid w:val="5FF87E05"/>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54">
    <w:nsid w:val="2F305DEF"/>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55">
    <w:nsid w:val="25A70BF7"/>
    <w:multiLevelType w:val="hybridMultilevel"/>
    <w:lvl w:ilvl="0">
      <w:lvlJc w:val="left"/>
      <w:lvlText w:val="%1."/>
      <w:numFmt w:val="decimal"/>
      <w:start w:val="11"/>
    </w:lvl>
  </w:abstractNum>
  <w:abstractNum w:abstractNumId="56">
    <w:nsid w:val="1DBABF00"/>
    <w:multiLevelType w:val="hybridMultilevel"/>
    <w:lvl w:ilvl="0">
      <w:lvlJc w:val="left"/>
      <w:lvlText w:val="%1."/>
      <w:numFmt w:val="decimal"/>
      <w:start w:val="15"/>
    </w:lvl>
    <w:lvl w:ilvl="1">
      <w:lvlJc w:val="left"/>
      <w:lvlText w:val="(%2)"/>
      <w:numFmt w:val="lowerLetter"/>
      <w:start w:val="1"/>
    </w:lvl>
  </w:abstractNum>
  <w:abstractNum w:abstractNumId="57">
    <w:nsid w:val="4AD084E9"/>
    <w:multiLevelType w:val="hybridMultilevel"/>
    <w:lvl w:ilvl="0">
      <w:lvlJc w:val="left"/>
      <w:lvlText w:val="%1."/>
      <w:numFmt w:val="upperLetter"/>
      <w:start w:val="1"/>
    </w:lvl>
  </w:abstractNum>
  <w:abstractNum w:abstractNumId="58">
    <w:nsid w:val="1F48EA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9">
    <w:nsid w:val="1381823A"/>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60">
    <w:nsid w:val="5DB70AE5"/>
    <w:multiLevelType w:val="hybridMultilevel"/>
    <w:lvl w:ilvl="0">
      <w:lvlJc w:val="left"/>
      <w:lvlText w:val="(%1)"/>
      <w:numFmt w:val="lowerLetter"/>
      <w:start w:val="2"/>
    </w:lvl>
  </w:abstractNum>
  <w:abstractNum w:abstractNumId="61">
    <w:nsid w:val="100F8FCA"/>
    <w:multiLevelType w:val="hybridMultilevel"/>
    <w:lvl w:ilvl="0">
      <w:lvlJc w:val="left"/>
      <w:lvlText w:val="(%1)"/>
      <w:numFmt w:val="lowerLetter"/>
      <w:start w:val="3"/>
    </w:lvl>
  </w:abstractNum>
  <w:abstractNum w:abstractNumId="62">
    <w:nsid w:val="6590700B"/>
    <w:multiLevelType w:val="hybridMultilevel"/>
    <w:lvl w:ilvl="0">
      <w:lvlJc w:val="left"/>
      <w:lvlText w:val="%1"/>
      <w:numFmt w:val="decimal"/>
      <w:start w:val="1"/>
    </w:lvl>
    <w:lvl w:ilvl="1">
      <w:lvlJc w:val="left"/>
      <w:lvlText w:val="(%2)"/>
      <w:numFmt w:val="lowerLetter"/>
      <w:start w:val="4"/>
    </w:lvl>
  </w:abstractNum>
  <w:abstractNum w:abstractNumId="63">
    <w:nsid w:val="15014ACB"/>
    <w:multiLevelType w:val="hybridMultilevel"/>
    <w:lvl w:ilvl="0">
      <w:lvlJc w:val="left"/>
      <w:lvlText w:val="%1."/>
      <w:numFmt w:val="decimal"/>
      <w:start w:val="5"/>
    </w:lvl>
    <w:lvl w:ilvl="1">
      <w:lvlJc w:val="left"/>
      <w:lvlText w:val="(%2)"/>
      <w:numFmt w:val="lowerLetter"/>
      <w:start w:val="1"/>
    </w:lvl>
  </w:abstractNum>
  <w:abstractNum w:abstractNumId="64">
    <w:nsid w:val="5F5E7FD0"/>
    <w:multiLevelType w:val="hybridMultilevel"/>
    <w:lvl w:ilvl="0">
      <w:lvlJc w:val="left"/>
      <w:lvlText w:val="%1"/>
      <w:numFmt w:val="decimal"/>
      <w:start w:val="1"/>
    </w:lvl>
    <w:lvl w:ilvl="1">
      <w:lvlJc w:val="left"/>
      <w:lvlText w:val="(%2)"/>
      <w:numFmt w:val="lowerLetter"/>
      <w:start w:val="2"/>
    </w:lvl>
  </w:abstractNum>
  <w:abstractNum w:abstractNumId="65">
    <w:nsid w:val="98A3148"/>
    <w:multiLevelType w:val="hybridMultilevel"/>
    <w:lvl w:ilvl="0">
      <w:lvlJc w:val="left"/>
      <w:lvlText w:val="%1."/>
      <w:numFmt w:val="decimal"/>
      <w:start w:val="7"/>
    </w:lvl>
    <w:lvl w:ilvl="1">
      <w:lvlJc w:val="left"/>
      <w:lvlText w:val="%2"/>
      <w:numFmt w:val="lowerLetter"/>
      <w:start w:val="1"/>
    </w:lvl>
  </w:abstractNum>
  <w:abstractNum w:abstractNumId="66">
    <w:nsid w:val="799D0247"/>
    <w:multiLevelType w:val="hybridMultilevel"/>
    <w:lvl w:ilvl="0">
      <w:lvlJc w:val="left"/>
      <w:lvlText w:val="%1."/>
      <w:numFmt w:val="decimal"/>
      <w:start w:val="8"/>
    </w:lvl>
    <w:lvl w:ilvl="1">
      <w:lvlJc w:val="left"/>
      <w:lvlText w:val="(%2)"/>
      <w:numFmt w:val="lowerLetter"/>
      <w:start w:val="1"/>
    </w:lvl>
  </w:abstractNum>
  <w:abstractNum w:abstractNumId="67">
    <w:nsid w:val="6B94764"/>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68">
    <w:nsid w:val="42C296BD"/>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9">
    <w:nsid w:val="168E121F"/>
    <w:multiLevelType w:val="hybridMultilevel"/>
    <w:lvl w:ilvl="0">
      <w:lvlJc w:val="left"/>
      <w:lvlText w:val="%1."/>
      <w:numFmt w:val="decimal"/>
      <w:start w:val="11"/>
    </w:lvl>
  </w:abstractNum>
  <w:abstractNum w:abstractNumId="70">
    <w:nsid w:val="1EBA5D23"/>
    <w:multiLevelType w:val="hybridMultilevel"/>
    <w:lvl w:ilvl="0">
      <w:lvlJc w:val="left"/>
      <w:lvlText w:val="%1."/>
      <w:numFmt w:val="decimal"/>
      <w:start w:val="12"/>
    </w:lvl>
    <w:lvl w:ilvl="1">
      <w:lvlJc w:val="left"/>
      <w:lvlText w:val="(%2)"/>
      <w:numFmt w:val="lowerLetter"/>
      <w:start w:val="1"/>
    </w:lvl>
  </w:abstractNum>
  <w:abstractNum w:abstractNumId="71">
    <w:nsid w:val="661E3F1E"/>
    <w:multiLevelType w:val="hybridMultilevel"/>
    <w:lvl w:ilvl="0">
      <w:lvlJc w:val="left"/>
      <w:lvlText w:val="(%1)"/>
      <w:numFmt w:val="lowerLetter"/>
      <w:start w:val="2"/>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88" Type="http://schemas.openxmlformats.org/officeDocument/2006/relationships/hyperlink" Target="http://www.sec.gov/Archives/edgar/data/1757715/000119312519173667/d826688dex31.htm" TargetMode="External"/><Relationship Id="rId89" Type="http://schemas.openxmlformats.org/officeDocument/2006/relationships/hyperlink" Target="http://www.sec.gov/Archives/edgar/data/1757715/000119312519173667/d826688dex32.htm" TargetMode="External"/><Relationship Id="rId90" Type="http://schemas.openxmlformats.org/officeDocument/2006/relationships/hyperlink" Target="http://www.sec.gov/Archives/edgar/data/1757715/000119312519157090/d639806dex41.htm" TargetMode="External"/><Relationship Id="rId91" Type="http://schemas.openxmlformats.org/officeDocument/2006/relationships/hyperlink" Target="http://www.sec.gov/Archives/edgar/data/1757715/000119312519144273/d639806dex42.htm" TargetMode="External"/><Relationship Id="rId92" Type="http://schemas.openxmlformats.org/officeDocument/2006/relationships/hyperlink" Target="http://www.sec.gov/Archives/edgar/data/1757715/000119312519144273/d639806dex43.htm" TargetMode="External"/><Relationship Id="rId93" Type="http://schemas.openxmlformats.org/officeDocument/2006/relationships/hyperlink" Target="http://www.sec.gov/Archives/edgar/data/1757715/000119312519144273/d639806dex44.htm" TargetMode="External"/><Relationship Id="rId94" Type="http://schemas.openxmlformats.org/officeDocument/2006/relationships/hyperlink" Target="http://www.sec.gov/Archives/edgar/data/1757715/000119312519144273/d639806dex45.htm" TargetMode="External"/><Relationship Id="rId95" Type="http://schemas.openxmlformats.org/officeDocument/2006/relationships/hyperlink" Target="http://www.sec.gov/Archives/edgar/data/1757715/000119312519144273/d639806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2020-11-09T16:24:30Z</dcterms:created>
  <dcterms:modified xsi:type="dcterms:W3CDTF">2020-11-09T16:24:30Z</dcterms:modified>
</cp:coreProperties>
</file>