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080" w:hanging="3912"/>
        <w:spacing w:after="0" w:line="280" w:lineRule="auto"/>
        <w:tabs>
          <w:tab w:leader="none" w:pos="385"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year-ended December 31, 2021</w:t>
      </w:r>
    </w:p>
    <w:p>
      <w:pPr>
        <w:ind w:left="54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ind w:left="380" w:hanging="372"/>
        <w:spacing w:after="0" w:line="196" w:lineRule="auto"/>
        <w:tabs>
          <w:tab w:leader="none" w:pos="380" w:val="left"/>
        </w:tabs>
        <w:numPr>
          <w:ilvl w:val="0"/>
          <w:numId w:val="2"/>
        </w:numPr>
        <w:rPr>
          <w:rFonts w:ascii="MS PGothic" w:cs="MS PGothic" w:eastAsia="MS PGothic" w:hAnsi="MS PGothic"/>
          <w:sz w:val="6"/>
          <w:szCs w:val="6"/>
          <w:color w:val="auto"/>
        </w:rPr>
      </w:pPr>
      <w:r>
        <w:rPr>
          <w:rFonts w:ascii="Arial" w:cs="Arial" w:eastAsia="Arial" w:hAnsi="Arial"/>
          <w:sz w:val="7"/>
          <w:szCs w:val="7"/>
          <w:b w:val="1"/>
          <w:bCs w:val="1"/>
          <w:color w:val="auto"/>
        </w:rPr>
        <w:t>TRANSITION REPORT PURSUANT TO SECTION 13 OR 15(d) OF THE SECURITIES EXCHANGE ACT OF 1934 FOR THE</w:t>
      </w:r>
    </w:p>
    <w:p>
      <w:pPr>
        <w:spacing w:after="0" w:line="200" w:lineRule="exact"/>
        <w:rPr>
          <w:sz w:val="24"/>
          <w:szCs w:val="24"/>
          <w:color w:val="auto"/>
        </w:rPr>
      </w:pPr>
    </w:p>
    <w:p>
      <w:pPr>
        <w:ind w:left="380"/>
        <w:spacing w:after="0"/>
        <w:tabs>
          <w:tab w:leader="none" w:pos="38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001-38937</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Aterian,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jc w:val="center"/>
              <w:ind w:left="2967"/>
              <w:spacing w:after="0"/>
              <w:rPr>
                <w:sz w:val="20"/>
                <w:szCs w:val="20"/>
                <w:color w:val="auto"/>
              </w:rPr>
            </w:pPr>
            <w:r>
              <w:rPr>
                <w:rFonts w:ascii="Arial" w:cs="Arial" w:eastAsia="Arial" w:hAnsi="Arial"/>
                <w:sz w:val="13"/>
                <w:szCs w:val="13"/>
                <w:b w:val="1"/>
                <w:bCs w:val="1"/>
                <w:color w:val="auto"/>
                <w:w w:val="98"/>
              </w:rPr>
              <w:t>Delaware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5"/>
              </w:rPr>
              <w:t>83-1739858</w:t>
            </w:r>
          </w:p>
        </w:tc>
        <w:tc>
          <w:tcPr>
            <w:tcW w:w="0" w:type="dxa"/>
            <w:vAlign w:val="bottom"/>
          </w:tcPr>
          <w:p>
            <w:pPr>
              <w:spacing w:after="0"/>
              <w:rPr>
                <w:sz w:val="1"/>
                <w:szCs w:val="1"/>
                <w:color w:val="auto"/>
              </w:rPr>
            </w:pPr>
          </w:p>
        </w:tc>
      </w:tr>
      <w:tr>
        <w:trPr>
          <w:trHeight w:val="148"/>
        </w:trPr>
        <w:tc>
          <w:tcPr>
            <w:tcW w:w="6920" w:type="dxa"/>
            <w:vAlign w:val="bottom"/>
            <w:gridSpan w:val="6"/>
          </w:tcPr>
          <w:p>
            <w:pPr>
              <w:jc w:val="center"/>
              <w:ind w:left="327"/>
              <w:spacing w:after="0"/>
              <w:rPr>
                <w:sz w:val="20"/>
                <w:szCs w:val="20"/>
                <w:color w:val="auto"/>
              </w:rPr>
            </w:pPr>
            <w:r>
              <w:rPr>
                <w:rFonts w:ascii="Arial" w:cs="Arial" w:eastAsia="Arial" w:hAnsi="Arial"/>
                <w:sz w:val="13"/>
                <w:szCs w:val="13"/>
                <w:b w:val="1"/>
                <w:bCs w:val="1"/>
                <w:color w:val="auto"/>
                <w:w w:val="94"/>
              </w:rPr>
              <w:t>(State or other jurisdiction of</w:t>
            </w:r>
          </w:p>
        </w:tc>
        <w:tc>
          <w:tcPr>
            <w:tcW w:w="20" w:type="dxa"/>
            <w:vAlign w:val="bottom"/>
          </w:tcPr>
          <w:p>
            <w:pPr>
              <w:spacing w:after="0"/>
              <w:rPr>
                <w:sz w:val="12"/>
                <w:szCs w:val="12"/>
                <w:color w:val="auto"/>
              </w:rPr>
            </w:pPr>
          </w:p>
        </w:tc>
        <w:tc>
          <w:tcPr>
            <w:tcW w:w="4300" w:type="dxa"/>
            <w:vAlign w:val="bottom"/>
          </w:tcPr>
          <w:p>
            <w:pPr>
              <w:jc w:val="center"/>
              <w:ind w:right="2928"/>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6920" w:type="dxa"/>
            <w:vAlign w:val="bottom"/>
            <w:gridSpan w:val="6"/>
          </w:tcPr>
          <w:p>
            <w:pPr>
              <w:jc w:val="center"/>
              <w:ind w:left="327"/>
              <w:spacing w:after="0"/>
              <w:rPr>
                <w:sz w:val="20"/>
                <w:szCs w:val="20"/>
                <w:color w:val="auto"/>
              </w:rPr>
            </w:pPr>
            <w:r>
              <w:rPr>
                <w:rFonts w:ascii="Arial" w:cs="Arial" w:eastAsia="Arial" w:hAnsi="Arial"/>
                <w:sz w:val="13"/>
                <w:szCs w:val="13"/>
                <w:b w:val="1"/>
                <w:bCs w:val="1"/>
                <w:color w:val="auto"/>
                <w:w w:val="94"/>
              </w:rPr>
              <w:t>incorporation or organization)</w:t>
            </w: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7"/>
              </w:rPr>
              <w:t>Identification Number)</w:t>
            </w:r>
          </w:p>
        </w:tc>
        <w:tc>
          <w:tcPr>
            <w:tcW w:w="0" w:type="dxa"/>
            <w:vAlign w:val="bottom"/>
          </w:tcPr>
          <w:p>
            <w:pPr>
              <w:spacing w:after="0"/>
              <w:rPr>
                <w:sz w:val="1"/>
                <w:szCs w:val="1"/>
                <w:color w:val="auto"/>
              </w:rPr>
            </w:pPr>
          </w:p>
        </w:tc>
      </w:tr>
      <w:tr>
        <w:trPr>
          <w:trHeight w:val="55"/>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37 East 18th Street, 7th Floor</w:t>
            </w:r>
          </w:p>
        </w:tc>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New York, NY 10003</w:t>
            </w: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26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 and zip code)</w:t>
            </w: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4280" w:type="dxa"/>
            <w:vAlign w:val="bottom"/>
          </w:tcPr>
          <w:p>
            <w:pPr>
              <w:spacing w:after="0"/>
              <w:rPr>
                <w:sz w:val="24"/>
                <w:szCs w:val="24"/>
                <w:color w:val="auto"/>
              </w:rPr>
            </w:pPr>
          </w:p>
        </w:tc>
        <w:tc>
          <w:tcPr>
            <w:tcW w:w="2460" w:type="dxa"/>
            <w:vAlign w:val="bottom"/>
            <w:gridSpan w:val="3"/>
          </w:tcPr>
          <w:p>
            <w:pPr>
              <w:jc w:val="center"/>
              <w:ind w:left="159"/>
              <w:spacing w:after="0"/>
              <w:rPr>
                <w:sz w:val="20"/>
                <w:szCs w:val="20"/>
                <w:color w:val="auto"/>
              </w:rPr>
            </w:pPr>
            <w:r>
              <w:rPr>
                <w:rFonts w:ascii="Arial" w:cs="Arial" w:eastAsia="Arial" w:hAnsi="Arial"/>
                <w:sz w:val="13"/>
                <w:szCs w:val="13"/>
                <w:b w:val="1"/>
                <w:bCs w:val="1"/>
                <w:color w:val="auto"/>
                <w:w w:val="94"/>
              </w:rPr>
              <w:t>(347) 676-1681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6960" w:type="dxa"/>
            <w:vAlign w:val="bottom"/>
            <w:gridSpan w:val="7"/>
          </w:tcPr>
          <w:p>
            <w:pPr>
              <w:jc w:val="center"/>
              <w:ind w:right="4208"/>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0" w:type="dxa"/>
            <w:vAlign w:val="bottom"/>
          </w:tcPr>
          <w:p>
            <w:pPr>
              <w:spacing w:after="0"/>
              <w:rPr>
                <w:sz w:val="1"/>
                <w:szCs w:val="1"/>
                <w:color w:val="auto"/>
              </w:rPr>
            </w:pPr>
          </w:p>
        </w:tc>
      </w:tr>
      <w:tr>
        <w:trPr>
          <w:trHeight w:val="155"/>
        </w:trPr>
        <w:tc>
          <w:tcPr>
            <w:tcW w:w="4280" w:type="dxa"/>
            <w:vAlign w:val="bottom"/>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2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3"/>
        </w:trPr>
        <w:tc>
          <w:tcPr>
            <w:tcW w:w="4280" w:type="dxa"/>
            <w:vAlign w:val="bottom"/>
            <w:tcBorders>
              <w:top w:val="single" w:sz="8" w:color="auto"/>
            </w:tcBorders>
          </w:tcPr>
          <w:p>
            <w:pPr>
              <w:ind w:left="800"/>
              <w:spacing w:after="0"/>
              <w:rPr>
                <w:sz w:val="20"/>
                <w:szCs w:val="20"/>
                <w:color w:val="auto"/>
              </w:rPr>
            </w:pPr>
            <w:r>
              <w:rPr>
                <w:rFonts w:ascii="Arial" w:cs="Arial" w:eastAsia="Arial" w:hAnsi="Arial"/>
                <w:sz w:val="15"/>
                <w:szCs w:val="15"/>
                <w:color w:val="auto"/>
              </w:rPr>
              <w:t>Common stock, par value $0.0001 per share</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5"/>
                <w:szCs w:val="15"/>
                <w:color w:val="auto"/>
                <w:w w:val="94"/>
              </w:rPr>
              <w:t>ATER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5"/>
                <w:szCs w:val="15"/>
                <w:color w:val="auto"/>
              </w:rPr>
              <w:t>Securities registered pursuant to Section 12(g) of the Act: None.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240" w:type="dxa"/>
            <w:vAlign w:val="bottom"/>
            <w:gridSpan w:val="8"/>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0"/>
        </w:trPr>
        <w:tc>
          <w:tcPr>
            <w:tcW w:w="11240" w:type="dxa"/>
            <w:vAlign w:val="bottom"/>
            <w:gridSpan w:val="8"/>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ind w:right="140"/>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right="80"/>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6"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9" w:lineRule="exact"/>
        <w:rPr>
          <w:sz w:val="24"/>
          <w:szCs w:val="24"/>
          <w:color w:val="auto"/>
        </w:rPr>
      </w:pPr>
    </w:p>
    <w:p>
      <w:pPr>
        <w:ind w:right="360"/>
        <w:spacing w:after="0" w:line="27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Capital Market on June 30, 2021 (the last trading day of the registrant’s second fiscal quarter of 2021), was approximately $504.0 million.</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The number of shares of Registrant’s Common Stock outstanding as of March 4, 2022 was </w:t>
      </w:r>
      <w:r>
        <w:rPr>
          <w:rFonts w:ascii="Arial" w:cs="Arial" w:eastAsia="Arial" w:hAnsi="Arial"/>
          <w:sz w:val="15"/>
          <w:szCs w:val="15"/>
          <w:color w:val="222222"/>
        </w:rPr>
        <w:t>62,093,569</w:t>
      </w:r>
      <w:r>
        <w:rPr>
          <w:rFonts w:ascii="Arial" w:cs="Arial" w:eastAsia="Arial" w:hAnsi="Arial"/>
          <w:sz w:val="15"/>
          <w:szCs w:val="15"/>
          <w:color w:val="auto"/>
        </w:rPr>
        <w:t>.</w:t>
      </w:r>
    </w:p>
    <w:p>
      <w:pPr>
        <w:spacing w:after="0" w:line="22"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5" w:lineRule="exact"/>
        <w:rPr>
          <w:sz w:val="24"/>
          <w:szCs w:val="24"/>
          <w:color w:val="auto"/>
        </w:rPr>
      </w:pPr>
    </w:p>
    <w:p>
      <w:pPr>
        <w:jc w:val="both"/>
        <w:spacing w:after="0"/>
        <w:rPr>
          <w:sz w:val="20"/>
          <w:szCs w:val="20"/>
          <w:color w:val="auto"/>
        </w:rPr>
      </w:pPr>
      <w:r>
        <w:rPr>
          <w:rFonts w:ascii="Arial" w:cs="Arial" w:eastAsia="Arial" w:hAnsi="Arial"/>
          <w:sz w:val="15"/>
          <w:szCs w:val="15"/>
          <w:color w:val="212529"/>
        </w:rPr>
        <w:t>Portions of the registrant’s definitive proxy statement for the 2021 Annual Meeting of Stockholders are incorporated by reference into Part III of this Form 10-K, to the extent described in Part III. Such definitive proxy statement, or an amendment to this Annual Report on Form 10-K, will be filed with the Securities and Exchange Commission within 120 days after the end of the registrant’s fiscal year-ended December 31, 2021.</w:t>
      </w:r>
    </w:p>
    <w:p>
      <w:pPr>
        <w:spacing w:after="0" w:line="4" w:lineRule="exact"/>
        <w:rPr>
          <w:sz w:val="24"/>
          <w:szCs w:val="24"/>
          <w:color w:val="auto"/>
        </w:rPr>
      </w:pPr>
    </w:p>
    <w:p>
      <w:pPr>
        <w:spacing w:after="0"/>
        <w:tabs>
          <w:tab w:leader="none" w:pos="1380" w:val="left"/>
          <w:tab w:leader="none" w:pos="3260" w:val="left"/>
          <w:tab w:leader="none" w:pos="4640" w:val="left"/>
          <w:tab w:leader="none" w:pos="6880" w:val="left"/>
          <w:tab w:leader="none" w:pos="83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ATERIAN,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3370580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36</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2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Disclosure Regarding Foreign Jurisdictions that Prevent Inspections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0"/>
          </w:tcPr>
          <w:p>
            <w:pPr>
              <w:spacing w:after="0" w:line="190"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Exhibits, Financial Statement Schedules</w:t>
              </w:r>
            </w:hyperlink>
          </w:p>
        </w:tc>
        <w:tc>
          <w:tcPr>
            <w:tcW w:w="640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71</w:t>
            </w: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This Annual Report on Form 10-K (this “Annual Report”)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p>
      <w:pPr>
        <w:spacing w:after="0" w:line="191" w:lineRule="exact"/>
        <w:rPr>
          <w:sz w:val="20"/>
          <w:szCs w:val="20"/>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potential impact of the COVID-19 global pandemic and Russian invasion of Ukraine on our business, revenue and financial condition, including our supply chain and our operations;</w:t>
      </w:r>
    </w:p>
    <w:p>
      <w:pPr>
        <w:spacing w:after="0" w:line="66" w:lineRule="exact"/>
        <w:rPr>
          <w:rFonts w:ascii="Arial" w:cs="Arial" w:eastAsia="Arial" w:hAnsi="Arial"/>
          <w:sz w:val="16"/>
          <w:szCs w:val="16"/>
          <w:color w:val="auto"/>
        </w:rPr>
      </w:pPr>
    </w:p>
    <w:p>
      <w:pPr>
        <w:ind w:left="880" w:right="2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expectation that consumer spending will continue to shift online, and that such shift will continue even after the COVID-19 global pandemic ends or recedes;</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future financial performance, including our revenue, costs of goods sold and operating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achieve, sustain and grow net revenue and profitability;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6"/>
          <w:szCs w:val="16"/>
          <w:i w:val="1"/>
          <w:iCs w:val="1"/>
          <w:color w:val="auto"/>
        </w:rPr>
        <w:t>the sufficiency of our cash to meet our liquidity and operational needs and to execute our growth strategies, including potential acquisitions;</w:t>
      </w:r>
    </w:p>
    <w:p>
      <w:pPr>
        <w:spacing w:after="0" w:line="167" w:lineRule="exact"/>
        <w:rPr>
          <w:rFonts w:ascii="Arial" w:cs="Arial" w:eastAsia="Arial" w:hAnsi="Arial"/>
          <w:sz w:val="15"/>
          <w:szCs w:val="15"/>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continue as a going concern;</w:t>
      </w:r>
    </w:p>
    <w:p>
      <w:pPr>
        <w:spacing w:after="0" w:line="155" w:lineRule="exact"/>
        <w:rPr>
          <w:rFonts w:ascii="Arial" w:cs="Arial" w:eastAsia="Arial" w:hAnsi="Arial"/>
          <w:sz w:val="16"/>
          <w:szCs w:val="16"/>
          <w:color w:val="auto"/>
        </w:rPr>
      </w:pPr>
    </w:p>
    <w:p>
      <w:pPr>
        <w:ind w:left="1120" w:hanging="370"/>
        <w:spacing w:after="0" w:line="274" w:lineRule="auto"/>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the security and availability of our technology platform, including our AIMEE (</w:t>
      </w:r>
      <w:r>
        <w:rPr>
          <w:rFonts w:ascii="Arial" w:cs="Arial" w:eastAsia="Arial" w:hAnsi="Arial"/>
          <w:sz w:val="17"/>
          <w:szCs w:val="17"/>
          <w:b w:val="1"/>
          <w:bCs w:val="1"/>
          <w:i w:val="1"/>
          <w:iCs w:val="1"/>
          <w:color w:val="auto"/>
        </w:rPr>
        <w:t>A</w:t>
      </w:r>
      <w:r>
        <w:rPr>
          <w:rFonts w:ascii="Arial" w:cs="Arial" w:eastAsia="Arial" w:hAnsi="Arial"/>
          <w:sz w:val="17"/>
          <w:szCs w:val="17"/>
          <w:i w:val="1"/>
          <w:iCs w:val="1"/>
          <w:color w:val="auto"/>
        </w:rPr>
        <w:t xml:space="preserve">rtificial </w:t>
      </w:r>
      <w:r>
        <w:rPr>
          <w:rFonts w:ascii="Arial" w:cs="Arial" w:eastAsia="Arial" w:hAnsi="Arial"/>
          <w:sz w:val="17"/>
          <w:szCs w:val="17"/>
          <w:b w:val="1"/>
          <w:bCs w:val="1"/>
          <w:i w:val="1"/>
          <w:iCs w:val="1"/>
          <w:color w:val="auto"/>
        </w:rPr>
        <w:t>I</w:t>
      </w:r>
      <w:r>
        <w:rPr>
          <w:rFonts w:ascii="Arial" w:cs="Arial" w:eastAsia="Arial" w:hAnsi="Arial"/>
          <w:sz w:val="17"/>
          <w:szCs w:val="17"/>
          <w:i w:val="1"/>
          <w:iCs w:val="1"/>
          <w:color w:val="auto"/>
        </w:rPr>
        <w:t xml:space="preserve">ntelligence </w:t>
      </w:r>
      <w:r>
        <w:rPr>
          <w:rFonts w:ascii="Arial" w:cs="Arial" w:eastAsia="Arial" w:hAnsi="Arial"/>
          <w:sz w:val="17"/>
          <w:szCs w:val="17"/>
          <w:b w:val="1"/>
          <w:bCs w:val="1"/>
          <w:i w:val="1"/>
          <w:iCs w:val="1"/>
          <w:color w:val="auto"/>
        </w:rPr>
        <w:t>M</w:t>
      </w:r>
      <w:r>
        <w:rPr>
          <w:rFonts w:ascii="Arial" w:cs="Arial" w:eastAsia="Arial" w:hAnsi="Arial"/>
          <w:sz w:val="17"/>
          <w:szCs w:val="17"/>
          <w:i w:val="1"/>
          <w:iCs w:val="1"/>
          <w:color w:val="auto"/>
        </w:rPr>
        <w:t xml:space="preserve">arketplace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-Commerce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ngine) software platform;</w:t>
      </w:r>
    </w:p>
    <w:p>
      <w:pPr>
        <w:spacing w:after="0" w:line="66"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launch new products, including our ability to successfully manage supply chain risks;</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identify, complete and integrate merger and acquisition transactions;</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predictions about industry and market trends;</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expand internationally;</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effectively manage our growth and future expenses;</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identify, acquire, integrate and maintain the financial performance of potential acquisitions;</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protect and enhance our intellectual property, including our AIMEE software platform;</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comply with laws and regulations applying to our business, including new or modified laws and regulations;</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attract and retain key personnel;</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defend litigation brought against us or to pursue litigation; and</w:t>
      </w:r>
    </w:p>
    <w:p>
      <w:pPr>
        <w:spacing w:after="0" w:line="155" w:lineRule="exact"/>
        <w:rPr>
          <w:rFonts w:ascii="Arial" w:cs="Arial" w:eastAsia="Arial" w:hAnsi="Arial"/>
          <w:sz w:val="16"/>
          <w:szCs w:val="16"/>
          <w:color w:val="auto"/>
        </w:rPr>
      </w:pPr>
    </w:p>
    <w:p>
      <w:pPr>
        <w:ind w:left="1120" w:hanging="370"/>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7"/>
          <w:szCs w:val="17"/>
          <w:i w:val="1"/>
          <w:iCs w:val="1"/>
          <w:color w:val="auto"/>
        </w:rPr>
        <w:t>the increased expenses and obligations associated with being a public company.</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caution you that the foregoing list may not contain all the forward-looking statements made in this Annual Report on Form 10-K.</w:t>
      </w:r>
    </w:p>
    <w:p>
      <w:pPr>
        <w:spacing w:after="0" w:line="235"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i w:val="1"/>
          <w:iCs w:val="1"/>
          <w:color w:val="auto"/>
        </w:rPr>
        <w:t>We have based the forward-looking statements contained in this Annual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Annual Report entitled “Risk Factors” and elsewhere in this Annual Report. Moreover, we operate in a highly competitive and challenging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i w:val="1"/>
          <w:iCs w:val="1"/>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of this Annual Report (the “MD&amp;A”), we present certain financial measures that are derived from our consolidated financial data but are not presented in our financial statements that are prepared in accordance with U.S. generally accepted accounting principles (“GAAP”). These measures are considered “non-GAAP financial measures” under the Securities and Exchange Commission’s rules. The reasons we use these non-GAAP financial measures and the reconciliations to their most directly comparable GAAP financial measures are included in the “Non-GAAP Financial Measures” section of the MD&amp;A.</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Aterian, Inc. and its subsidiaries (“Aterian”, the “Company”, “we”, “us”, and “our”), is a technology-enabled consumer products platform that uses “data science” (which includes but is not limited to, machine learning, natural language processing, and data analytics) to design, develop, market and sell products. Aterian was founded on the premise that if a company selling consumer packaged goods was founded today, it would apply data science,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16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launched and sold hundreds of SKUs on e-commerce platforms. Through the success of a number of those products we have incubated our own brands. We also have purchased brands and products when we believe it is advantageous. Today, we own and operate fourteen brands which sell products in multiple categories, including home and kitchen appliances, kitchenware, heating, cooling and air quality appliances (dehumidifiers, humidifiers and air conditioners), health and beauty products and essential oils.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fourteen brands are hOmeLabs; Vremi, Squatty Potty; Xtava; RIF6; Aussie Health; Holonix; Truweo; Mueller; Pursteam; Pohl and Schmitt; Spiralizer; Healing Solutions; and Photo Paper Direct. By leveraging our proprietary software technology platform, known as AIMEE, we are able to identify new product and market opportunities, and to launch, market and sell products in the rapidly growing global e-commerce market. AIMEE combines large quantities of data, data science and other automation algorithms, at scale, to allow rapid opportunity identification and automated online sales and marketing of consumer products.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application program interfaces (“APIs”), to multiple e-commerce platforms. This allows us to automate the purchase of marketing, automate various parts of our fulfillment and logistics operations and to automate pricing changes on product listings. We generate revenue primarily through the online sales of our various digital native consumer products and a substantial percentage of our sales are made through the Amazon U.S. marketplace.</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the sections contained within this Annual Report entitled “Management’s Discussion and Analysis of Financial Condition and Results of Operations” and “Risk Factors” for further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Corporate Information</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were incorporated in Delaware under the name Mohawk Group Holdings, Inc. in March 2018 and we changed our name to Aterian, Inc. in April 2021. We have a single direct operating subsidiary, Aterian Group, Inc., a Delaware corporation, which was incorporated in Delaware in April 2014 as Mohawk Group, Inc. As of December 31, 2021, we have multiple operating subsidiaries located in the U.S., Canada, Ireland, the Philippines and China and conduct various aspects of our business in a number of other geographic locations including Israel, Poland, France and Ukraine.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Our principal executive offices are located at 37 East 18th Street, 7th Floor, New York, NY 10003, and our telephone number is (347) 676-1681. Our website address is </w:t>
      </w:r>
      <w:r>
        <w:rPr>
          <w:rFonts w:ascii="Arial" w:cs="Arial" w:eastAsia="Arial" w:hAnsi="Arial"/>
          <w:sz w:val="18"/>
          <w:szCs w:val="18"/>
          <w:i w:val="1"/>
          <w:iCs w:val="1"/>
          <w:color w:val="auto"/>
        </w:rPr>
        <w:t>www.aterian.io.</w:t>
      </w:r>
      <w:r>
        <w:rPr>
          <w:rFonts w:ascii="Arial" w:cs="Arial" w:eastAsia="Arial" w:hAnsi="Arial"/>
          <w:sz w:val="18"/>
          <w:szCs w:val="18"/>
          <w:color w:val="auto"/>
        </w:rPr>
        <w:t xml:space="preserve"> We do not incorporate the information on, or accessible through, our website into this Annual Report, and you should not consider any information on, or accessible through, our website as part of this Annual Report. We have included our website address in this Annual Report solely as an inactive textual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AIMEE, our proprietary technology, is a cloud-based modular platform incorporating a multi-tenant architecture. Our platform is highly configurable and designed to provide flexibility in implementing critical business processes. AIMEE connects to multiple e-commerce platforms and other internet based sources through application program interfaces (“APIs”) in order to ingest data.</w:t>
      </w:r>
    </w:p>
    <w:p>
      <w:pPr>
        <w:spacing w:after="0" w:line="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At its core, AIMEE ingests data used in product research, analysis and performance and provides the automation of numerous sales, marketing and fulfillment tasks and functions. AIMEE helps us automate and manage the life-cycle of our consumer product portfolio and provides us with the ability to scale our business efficiently. AIMEE, along with our people, allows us to perform the following key business functions: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 w:name="page7"/>
    <w:bookmarkEnd w:id="6"/>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specific product and market opportunities;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and manage certain online marketing strategies;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automate portions of the fulfillment processes;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inventory visibility;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individual product operational and financial performance.</w:t>
      </w:r>
    </w:p>
    <w:p>
      <w:pPr>
        <w:spacing w:after="0" w:line="1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AIMEE is comprised of three modules that are in various stages of development and that operate today in combination with human judgment and oversight:</w:t>
      </w:r>
    </w:p>
    <w:p>
      <w:pPr>
        <w:spacing w:after="0" w:line="166" w:lineRule="exact"/>
        <w:rPr>
          <w:sz w:val="20"/>
          <w:szCs w:val="20"/>
          <w:color w:val="auto"/>
        </w:rPr>
      </w:pPr>
    </w:p>
    <w:p>
      <w:pPr>
        <w:ind w:left="740" w:hanging="368"/>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Market Research module: </w:t>
      </w:r>
      <w:r>
        <w:rPr>
          <w:rFonts w:ascii="Arial" w:cs="Arial" w:eastAsia="Arial" w:hAnsi="Arial"/>
          <w:sz w:val="18"/>
          <w:szCs w:val="18"/>
          <w:color w:val="auto"/>
        </w:rPr>
        <w:t>AIMEE ingests, analyzes and filters millions of shopping-related data points (e.g., product rankings, average review</w:t>
      </w:r>
      <w:r>
        <w:rPr>
          <w:rFonts w:ascii="Arial" w:cs="Arial" w:eastAsia="Arial" w:hAnsi="Arial"/>
          <w:sz w:val="18"/>
          <w:szCs w:val="18"/>
          <w:b w:val="1"/>
          <w:bCs w:val="1"/>
          <w:color w:val="auto"/>
        </w:rPr>
        <w:t xml:space="preserve"> </w:t>
      </w:r>
      <w:r>
        <w:rPr>
          <w:rFonts w:ascii="Arial" w:cs="Arial" w:eastAsia="Arial" w:hAnsi="Arial"/>
          <w:sz w:val="18"/>
          <w:szCs w:val="18"/>
          <w:color w:val="auto"/>
        </w:rPr>
        <w:t>score and number of reviews). We use this module to research and analyze data, along with outside data points (e.g., manufacturer and supply chain information) to determine what product and market opportunities may exist for us to pursue. Some of the core functions under this module are:</w:t>
      </w:r>
    </w:p>
    <w:p>
      <w:pPr>
        <w:spacing w:after="0" w:line="2" w:lineRule="exact"/>
        <w:rPr>
          <w:rFonts w:ascii="Arial" w:cs="Arial" w:eastAsia="Arial" w:hAnsi="Arial"/>
          <w:sz w:val="18"/>
          <w:szCs w:val="18"/>
          <w:color w:val="auto"/>
        </w:rPr>
      </w:pPr>
    </w:p>
    <w:p>
      <w:pPr>
        <w:ind w:left="1500" w:right="80" w:hanging="372"/>
        <w:spacing w:after="0" w:line="250" w:lineRule="auto"/>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Idea Generator - allows users to conduct research based on various marketplace data points and consumer path to purchase in order to help determine what product opportunities may exist.</w:t>
      </w:r>
    </w:p>
    <w:p>
      <w:pPr>
        <w:ind w:left="1500" w:right="40" w:hanging="372"/>
        <w:spacing w:after="0" w:line="250" w:lineRule="auto"/>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Keyword Research - allows users to research and understand search trends, seasonality and the most frequently searched words and/or phrases being searched on marketplaces.</w:t>
      </w:r>
    </w:p>
    <w:p>
      <w:pPr>
        <w:ind w:left="1500" w:right="140" w:hanging="372"/>
        <w:spacing w:after="0" w:line="260" w:lineRule="auto"/>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Product Search - allows users to research and understand, through actual data and estimates, how competing products are performing on marketplaces.</w:t>
      </w:r>
    </w:p>
    <w:p>
      <w:pPr>
        <w:spacing w:after="0" w:line="181" w:lineRule="exact"/>
        <w:rPr>
          <w:rFonts w:ascii="Arial" w:cs="Arial" w:eastAsia="Arial" w:hAnsi="Arial"/>
          <w:sz w:val="18"/>
          <w:szCs w:val="18"/>
          <w:color w:val="auto"/>
        </w:rPr>
      </w:pPr>
    </w:p>
    <w:p>
      <w:pPr>
        <w:jc w:val="both"/>
        <w:ind w:left="740" w:right="180" w:hanging="368"/>
        <w:spacing w:after="0" w:line="29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Marketing and Fulfillment module: </w:t>
      </w:r>
      <w:r>
        <w:rPr>
          <w:rFonts w:ascii="Arial" w:cs="Arial" w:eastAsia="Arial" w:hAnsi="Arial"/>
          <w:sz w:val="16"/>
          <w:szCs w:val="16"/>
          <w:color w:val="auto"/>
        </w:rPr>
        <w:t>AIMEE provides operational efficiency and certain automation of various portions of our marketing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fulfillment tasks. We use this module to efficiently scale our business and product portfolio. Some of the core functions under this module are:</w:t>
      </w:r>
    </w:p>
    <w:p>
      <w:pPr>
        <w:spacing w:after="0" w:line="1" w:lineRule="exact"/>
        <w:rPr>
          <w:rFonts w:ascii="Arial" w:cs="Arial" w:eastAsia="Arial" w:hAnsi="Arial"/>
          <w:sz w:val="16"/>
          <w:szCs w:val="16"/>
          <w:color w:val="auto"/>
        </w:rPr>
      </w:pPr>
    </w:p>
    <w:p>
      <w:pPr>
        <w:ind w:left="1500" w:right="200" w:hanging="365"/>
        <w:spacing w:after="0" w:line="265" w:lineRule="auto"/>
        <w:rPr>
          <w:rFonts w:ascii="Arial" w:cs="Arial" w:eastAsia="Arial" w:hAnsi="Arial"/>
          <w:sz w:val="16"/>
          <w:szCs w:val="16"/>
          <w:color w:val="auto"/>
        </w:rPr>
      </w:pPr>
      <w:r>
        <w:rPr>
          <w:rFonts w:ascii="Arial" w:cs="Arial" w:eastAsia="Arial" w:hAnsi="Arial"/>
          <w:sz w:val="17"/>
          <w:szCs w:val="17"/>
          <w:color w:val="auto"/>
        </w:rPr>
        <w:t>● Marketing engine - allows users to run processes and tasks, including certain automated functions, as part of the management of our product sales and contribution margin performance on marketplaces. These tasks can include but are not limited to assisting in evaluating price, media buying, product listing health, search engine optimization and inventory levels. AIMEE’s architecture continues to be developed to implement new skills and to execute tactics and strategies.</w:t>
      </w:r>
    </w:p>
    <w:p>
      <w:pPr>
        <w:ind w:left="1500" w:right="20" w:hanging="365"/>
        <w:spacing w:after="0" w:line="253" w:lineRule="auto"/>
        <w:rPr>
          <w:rFonts w:ascii="Arial" w:cs="Arial" w:eastAsia="Arial" w:hAnsi="Arial"/>
          <w:sz w:val="16"/>
          <w:szCs w:val="16"/>
          <w:color w:val="auto"/>
        </w:rPr>
      </w:pPr>
      <w:r>
        <w:rPr>
          <w:rFonts w:ascii="Arial" w:cs="Arial" w:eastAsia="Arial" w:hAnsi="Arial"/>
          <w:sz w:val="18"/>
          <w:szCs w:val="18"/>
          <w:color w:val="auto"/>
        </w:rPr>
        <w:t>● Fulfillment engine - allows our operations team to automate various logistical tasks, allowing us to ingest and continually confirm orders between us, various marketplaces and our warehouse partners. This allows our fulfillment and logistics operations to ensure our consumer products are being fulfilled and picked up for timely delivery. This module also provides us with data on our inventory across our various warehouse locations.</w:t>
      </w:r>
    </w:p>
    <w:p>
      <w:pPr>
        <w:spacing w:after="0" w:line="188" w:lineRule="exact"/>
        <w:rPr>
          <w:rFonts w:ascii="Arial" w:cs="Arial" w:eastAsia="Arial" w:hAnsi="Arial"/>
          <w:sz w:val="16"/>
          <w:szCs w:val="16"/>
          <w:color w:val="auto"/>
        </w:rPr>
      </w:pPr>
    </w:p>
    <w:p>
      <w:pPr>
        <w:ind w:left="740" w:right="60" w:hanging="368"/>
        <w:spacing w:after="0" w:line="26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Financial Planning &amp; Analysis module: </w:t>
      </w:r>
      <w:r>
        <w:rPr>
          <w:rFonts w:ascii="Arial" w:cs="Arial" w:eastAsia="Arial" w:hAnsi="Arial"/>
          <w:sz w:val="18"/>
          <w:szCs w:val="18"/>
          <w:color w:val="auto"/>
        </w:rPr>
        <w:t>AIMEE provides product-level financial information on various timely intervals. This module allows</w:t>
      </w:r>
      <w:r>
        <w:rPr>
          <w:rFonts w:ascii="Arial" w:cs="Arial" w:eastAsia="Arial" w:hAnsi="Arial"/>
          <w:sz w:val="18"/>
          <w:szCs w:val="18"/>
          <w:b w:val="1"/>
          <w:bCs w:val="1"/>
          <w:color w:val="auto"/>
        </w:rPr>
        <w:t xml:space="preserve"> </w:t>
      </w:r>
      <w:r>
        <w:rPr>
          <w:rFonts w:ascii="Arial" w:cs="Arial" w:eastAsia="Arial" w:hAnsi="Arial"/>
          <w:sz w:val="18"/>
          <w:szCs w:val="18"/>
          <w:color w:val="auto"/>
        </w:rPr>
        <w:t>our users to create forecasts with data from within AIMEE and from other outside data points to provide estimated product performance projections which can be compared to actual results.</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part of using AIMEE consistently, we oversee and improve the data and automation driven by our AIMEE platform. Here are some examples for each module of how our team validates the accuracy of the information we use in part in making our business decisions:</w:t>
      </w:r>
    </w:p>
    <w:p>
      <w:pPr>
        <w:spacing w:after="0" w:line="170"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Research Module.</w:t>
      </w:r>
    </w:p>
    <w:p>
      <w:pPr>
        <w:spacing w:after="0" w:line="23" w:lineRule="exact"/>
        <w:rPr>
          <w:rFonts w:ascii="Arial" w:cs="Arial" w:eastAsia="Arial" w:hAnsi="Arial"/>
          <w:sz w:val="18"/>
          <w:szCs w:val="18"/>
          <w:color w:val="auto"/>
        </w:rPr>
      </w:pPr>
    </w:p>
    <w:p>
      <w:pPr>
        <w:ind w:left="740"/>
        <w:spacing w:after="0" w:line="250" w:lineRule="auto"/>
        <w:rPr>
          <w:rFonts w:ascii="Arial" w:cs="Arial" w:eastAsia="Arial" w:hAnsi="Arial"/>
          <w:sz w:val="18"/>
          <w:szCs w:val="18"/>
          <w:color w:val="auto"/>
        </w:rPr>
      </w:pPr>
      <w:r>
        <w:rPr>
          <w:rFonts w:ascii="Arial" w:cs="Arial" w:eastAsia="Arial" w:hAnsi="Arial"/>
          <w:sz w:val="18"/>
          <w:szCs w:val="18"/>
          <w:color w:val="auto"/>
        </w:rPr>
        <w:t>To verify our market research module’s ability to measure competitor product performance and other metrics, we frequently look at its ability to do so on our own products using only publicly available data. Since we also have accurate inside data for the products we sell, we can verify how close the research module’s estimates of sales are based on limited information.</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Automation and Fulfillment Modules.</w:t>
      </w:r>
    </w:p>
    <w:p>
      <w:pPr>
        <w:spacing w:after="0" w:line="9" w:lineRule="exact"/>
        <w:rPr>
          <w:rFonts w:ascii="Arial" w:cs="Arial" w:eastAsia="Arial" w:hAnsi="Arial"/>
          <w:sz w:val="18"/>
          <w:szCs w:val="18"/>
          <w:color w:val="auto"/>
        </w:rPr>
      </w:pPr>
    </w:p>
    <w:p>
      <w:pPr>
        <w:ind w:left="740" w:right="80"/>
        <w:spacing w:after="0" w:line="281" w:lineRule="auto"/>
        <w:rPr>
          <w:rFonts w:ascii="Arial" w:cs="Arial" w:eastAsia="Arial" w:hAnsi="Arial"/>
          <w:sz w:val="18"/>
          <w:szCs w:val="18"/>
          <w:color w:val="auto"/>
        </w:rPr>
      </w:pPr>
      <w:r>
        <w:rPr>
          <w:rFonts w:ascii="Arial" w:cs="Arial" w:eastAsia="Arial" w:hAnsi="Arial"/>
          <w:sz w:val="16"/>
          <w:szCs w:val="16"/>
          <w:color w:val="auto"/>
        </w:rPr>
        <w:t>To verify the accuracy of the decisions we make based on our marketing automation and fulfillment modules, we consistently track the daily performance of each product. Tracking daily performance includes the improvement or deterioration of the product’s sales, including but not limited to, marketing programs being executed, and fulfillment costs over time as well as the on-time performance metrics of last mile shipping.</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Planning &amp; Analysis Modules.</w:t>
      </w:r>
    </w:p>
    <w:p>
      <w:pPr>
        <w:spacing w:after="0" w:line="9" w:lineRule="exact"/>
        <w:rPr>
          <w:rFonts w:ascii="Arial" w:cs="Arial" w:eastAsia="Arial" w:hAnsi="Arial"/>
          <w:sz w:val="18"/>
          <w:szCs w:val="18"/>
          <w:color w:val="auto"/>
        </w:rPr>
      </w:pPr>
    </w:p>
    <w:p>
      <w:pPr>
        <w:ind w:left="740" w:right="60"/>
        <w:spacing w:after="0" w:line="255" w:lineRule="auto"/>
        <w:rPr>
          <w:rFonts w:ascii="Arial" w:cs="Arial" w:eastAsia="Arial" w:hAnsi="Arial"/>
          <w:sz w:val="18"/>
          <w:szCs w:val="18"/>
          <w:color w:val="auto"/>
        </w:rPr>
      </w:pPr>
      <w:r>
        <w:rPr>
          <w:rFonts w:ascii="Arial" w:cs="Arial" w:eastAsia="Arial" w:hAnsi="Arial"/>
          <w:sz w:val="18"/>
          <w:szCs w:val="18"/>
          <w:color w:val="auto"/>
        </w:rPr>
        <w:t>To verify the accuracy of the decisions we make in conjunction with our Financial Planning &amp; Analysis modules, we consistently spot check the reporting accuracy manually as well as cross-reference the sales results in our dashboards against the reports received from our sales channels, such as Amazon, Walmart, etc.</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continue to develop AIMEE’s capabilities. This includes forecasting, inventory management, online marketing and other aspects, which require human judgment and oversight. At its core, AIMEE is designed to intelligently automate many of our business tasks and provides us with the ability to scale our business.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year-ended December 31, 2021 and December 31, 2020, we spent approximately $9.8 million and $8.2 million, respectively, on research and development expenses, of which the majority are related to AIMEE. Included in the year-ended December 31,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 w:name="page8"/>
    <w:bookmarkEnd w:id="7"/>
    <w:p>
      <w:pPr>
        <w:jc w:val="both"/>
        <w:ind w:right="140"/>
        <w:spacing w:after="0" w:line="263" w:lineRule="auto"/>
        <w:rPr>
          <w:sz w:val="20"/>
          <w:szCs w:val="20"/>
          <w:color w:val="auto"/>
        </w:rPr>
      </w:pPr>
      <w:r>
        <w:rPr>
          <w:rFonts w:ascii="Arial" w:cs="Arial" w:eastAsia="Arial" w:hAnsi="Arial"/>
          <w:sz w:val="18"/>
          <w:szCs w:val="18"/>
          <w:color w:val="auto"/>
        </w:rPr>
        <w:t>and December 31, 2020 research and development expenses were approximately $5.3 million and $3.9 million, respectively, of stock-based compensation expenses, primarily for executives and senior management. We continue to expect to spend more than $4.0 million annually in research and development expenses, exclusive of stock-based compensation charges.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believe the digital disruption of retail, namely the consumer shift to e-commerce, will continue for decades to come. As this digital disruption continues, we believe the products consumers purchase, and the places they purchase them, will index more towards function, value, and ease / speed of delivery and less towards the historical dominance of brand recognition. The ubiquity of data on the internet has empowered consumers to make data driven choices when it comes to nearly every consumer choice. In this data rich world, we believe that digital marketplaces offer both brands and consumers the best value when it comes to buying and selling consumer products.</w:t>
      </w:r>
    </w:p>
    <w:p>
      <w:pPr>
        <w:spacing w:after="0" w:line="8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For the consumer, digital marketplaces offer nearly endless product choice, competitive pricing and easy delivery options. For brands and manufacturers, digital marketplaces not only offer the ability to instantly connect with millions of customers across the world, but also provide a real-time data stream of purchase behavior to decide against. The data that digital marketplaces provide, in addition to consumer trends data that exists outside of these marketplaces, creates an opportunity for software to change the way products are ideated, merchandised, marketed, analyzed and fulfilled.</w:t>
      </w:r>
    </w:p>
    <w:p>
      <w:pPr>
        <w:spacing w:after="0" w:line="1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AIMEE, our software platform, infuses technology throughout the consumer product value chain, generally allowing us to create and sell products and brands with a more customer centric value proposition than the legacy incumbents’ products.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platform makes it possible for us to launch and automates the sales of evergreen products with features that customers have indicated are the most important to them and with profitable unit economics. With scale, we gain purchasing power both at the product level and at the overall fulfillment level, which improves our operating results. We also believe that our platform provides us with substantial leverage such that we can acquire already existing products and utilize AIMEE to optimize “make” versus “buy” decisions. Our technology also gives us the ability to track unit economics on an individual SKU basis, which we believe, combined with the automation of our fixed costs, will allow us to disrupt and scale the consumer product business model.</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believe our platform makes it possible for us to launch and automate the sales of evergreen products with features that customers have indicated are important to them and with profitable unit economics. We also believe that our platform provides us with substantial leverage such that we can acquire already existing products and utilize AIMEE to optimize “make” versus “buy” decisions. Our technology also gives us the ability to track unit economics on an individual SKU basis, which we believe, combined with the automation of our fixed costs, will allow us to disrupt and scale the consumer product business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product lifecycle can be summarized as follows:</w:t>
      </w:r>
    </w:p>
    <w:p>
      <w:pPr>
        <w:spacing w:after="0" w:line="117" w:lineRule="exact"/>
        <w:rPr>
          <w:sz w:val="20"/>
          <w:szCs w:val="20"/>
          <w:color w:val="auto"/>
        </w:rPr>
      </w:pPr>
    </w:p>
    <w:p>
      <w:pPr>
        <w:ind w:left="1020" w:right="180" w:hanging="378"/>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use AIMEE to analyze shopping-related data points, assist in performing product cash flow projections at the product level and to assist in determining product opportunities in e-commerce markets on which we sell, primarily the US Amazon marketplace.</w:t>
      </w:r>
    </w:p>
    <w:p>
      <w:pPr>
        <w:spacing w:after="0" w:line="38" w:lineRule="exact"/>
        <w:rPr>
          <w:rFonts w:ascii="Arial" w:cs="Arial" w:eastAsia="Arial" w:hAnsi="Arial"/>
          <w:sz w:val="17"/>
          <w:szCs w:val="17"/>
          <w:color w:val="auto"/>
        </w:rPr>
      </w:pPr>
    </w:p>
    <w:p>
      <w:pPr>
        <w:ind w:left="1020" w:right="80" w:hanging="37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contract manufacture products under our owned and operated brands based on the data analyzed by AIMEE and other sources and aim to commercially launch such products roughly within six to eight months after an idea has been identified.</w:t>
      </w:r>
    </w:p>
    <w:p>
      <w:pPr>
        <w:spacing w:after="0" w:line="62" w:lineRule="exact"/>
        <w:rPr>
          <w:rFonts w:ascii="Arial" w:cs="Arial" w:eastAsia="Arial" w:hAnsi="Arial"/>
          <w:sz w:val="18"/>
          <w:szCs w:val="18"/>
          <w:color w:val="auto"/>
        </w:rPr>
      </w:pPr>
    </w:p>
    <w:p>
      <w:pPr>
        <w:ind w:left="1020" w:right="280" w:hanging="342"/>
        <w:spacing w:after="0" w:line="277" w:lineRule="auto"/>
        <w:tabs>
          <w:tab w:leader="none" w:pos="988"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62" w:lineRule="exact"/>
        <w:rPr>
          <w:rFonts w:ascii="Arial" w:cs="Arial" w:eastAsia="Arial" w:hAnsi="Arial"/>
          <w:sz w:val="18"/>
          <w:szCs w:val="18"/>
          <w:color w:val="auto"/>
        </w:rPr>
      </w:pPr>
    </w:p>
    <w:p>
      <w:pPr>
        <w:ind w:left="1020" w:firstLine="443"/>
        <w:spacing w:after="0" w:line="257" w:lineRule="auto"/>
        <w:tabs>
          <w:tab w:leader="none" w:pos="2200" w:val="left"/>
        </w:tabs>
        <w:numPr>
          <w:ilvl w:val="2"/>
          <w:numId w:val="7"/>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marketing opportunities identified using AIMEE (Artificial Intelligence Marketplace e-Commerce Engine) and other sources. During this period of time, due to the combination of discounts and investment in marketing, our net margin for a product could be as low as approximately negative 35%. Net margin is calculated by taking net revenue less the cost of goods sold, less fulfillment, online advertising and selling expenses. These costs primarily reflect the estimated variable costs related to the sale of a product.</w:t>
      </w:r>
    </w:p>
    <w:p>
      <w:pPr>
        <w:spacing w:after="0" w:line="79" w:lineRule="exact"/>
        <w:rPr>
          <w:rFonts w:ascii="Arial" w:cs="Arial" w:eastAsia="Arial" w:hAnsi="Arial"/>
          <w:sz w:val="18"/>
          <w:szCs w:val="18"/>
          <w:color w:val="auto"/>
        </w:rPr>
      </w:pPr>
    </w:p>
    <w:p>
      <w:pPr>
        <w:ind w:left="1020" w:right="220" w:firstLine="442"/>
        <w:spacing w:after="0" w:line="286" w:lineRule="auto"/>
        <w:tabs>
          <w:tab w:leader="none" w:pos="2249" w:val="left"/>
        </w:tabs>
        <w:numPr>
          <w:ilvl w:val="2"/>
          <w:numId w:val="7"/>
        </w:numPr>
        <w:rPr>
          <w:rFonts w:ascii="Arial" w:cs="Arial" w:eastAsia="Arial" w:hAnsi="Arial"/>
          <w:sz w:val="17"/>
          <w:szCs w:val="17"/>
          <w:color w:val="auto"/>
        </w:rPr>
      </w:pPr>
      <w:r>
        <w:rPr>
          <w:rFonts w:ascii="Arial" w:cs="Arial" w:eastAsia="Arial" w:hAnsi="Arial"/>
          <w:sz w:val="17"/>
          <w:szCs w:val="17"/>
          <w:color w:val="auto"/>
        </w:rPr>
        <w:t>Sustain phase: Our goal is for every product we launch to enter the sustain phase and become profitable, with a target of positive 15% net margin for most products, within approximately three months of launch on average. Over time, our products benefit from economies of scale stemming from purchasing power both with manufacturers and with fulfillment providers.</w:t>
      </w:r>
    </w:p>
    <w:p>
      <w:pPr>
        <w:spacing w:after="0" w:line="57" w:lineRule="exact"/>
        <w:rPr>
          <w:rFonts w:ascii="Arial" w:cs="Arial" w:eastAsia="Arial" w:hAnsi="Arial"/>
          <w:sz w:val="17"/>
          <w:szCs w:val="17"/>
          <w:color w:val="auto"/>
        </w:rPr>
      </w:pPr>
    </w:p>
    <w:p>
      <w:pPr>
        <w:ind w:left="1020" w:right="260" w:firstLine="442"/>
        <w:spacing w:after="0" w:line="277" w:lineRule="auto"/>
        <w:tabs>
          <w:tab w:leader="none" w:pos="2299" w:val="left"/>
        </w:tabs>
        <w:numPr>
          <w:ilvl w:val="2"/>
          <w:numId w:val="7"/>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through the remaining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left="1020" w:right="80"/>
        <w:spacing w:after="0" w:line="259" w:lineRule="auto"/>
        <w:rPr>
          <w:sz w:val="20"/>
          <w:szCs w:val="20"/>
          <w:color w:val="auto"/>
        </w:rPr>
      </w:pPr>
      <w:r>
        <w:rPr>
          <w:rFonts w:ascii="Arial" w:cs="Arial" w:eastAsia="Arial" w:hAnsi="Arial"/>
          <w:sz w:val="18"/>
          <w:szCs w:val="18"/>
          <w:color w:val="auto"/>
        </w:rPr>
        <w:t>inventory. In order to enter the milk phase,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date, our operating results have included a mix of products in the launch, sustain and liquidate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net revenue and profitability at the company level while we continue to invest in growth and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Products - Make versus Buy</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used AIMEE to internally develop our product portfolio for our owned and operated consumer product brands and have hundreds of SKUs available for sale. AIMEE’s idea generator has been developed to be product agnostic and we believe can generate product opportunities in most product categories. We have also leveraged AIMEE to assist in decision-making and diligence to buy (acquire through acquisition) consumer product brands and related products. During 2021, we acquired the brands Healing Solutions, Squatty Potty and Photo Paper Direct; during 2020, we acquired the brands Truweo, Mueller, Pursteam, Pohl and Schmitt, and Spriralizer and their related products; during 2019, we acquired the brand Aussie Health.</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While we intend to pursue growth from our existing product portfolio and from new product launches, we also intend to pursue growth through strategic acquisitions of digital native brands that we believe will integrate well with our business. When looking at new potential product categories and potential acquisition targets, we typically apply a make-or-buy analysis based in part on the data provided from our AIMEE technology platform and other sources of data combined with our assessment of the risks and costs of successfully launching products in the new product category. We intend to pursue acquisitions when the target meets our financial and other criteria, including revenue and profit sustainability. We expect that these consumer product businesses will typically have built a significant presence on at least one e-commerce marketplace around one or more product categories. We expect that the products of these businesses will have strong unit economics, high product quality and stable supply chains, have developed significant social proof in the form of customer reviews and high search ranking for relevant keywords and are in product categories where frequent product improvement is not required. They also tend to have significant concentration risk due to limited product offerings, have limited ability to scale as they do not have a technology platform enabling automation and have limited working capital to further enable growth.</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ability to complete any acquisition typically depends on a number of factors such as the successful completion of confirmatory due diligence, negotiation of definitive agreements, the seller providing seller financing, our ability to use debt and equity financing, and permission from our existing lenders.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as a Service (Managed PaaS)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While our core focus is currently on our organic consumer product and acquired business, we believe that as we scale and unlock more resources to invest in it, our Managed PAAS offering could in the long term become a substantial part of our business. We believe that this solution, which includes combined access to our team’s expertise and portions of the AIMEE platform, could provide an advantage over other competitors in this industry. We believe this is because many incumbent companies have historically operated as business-to-businesses and have not invested sufficiently to succeed on online marketplaces. With our Managed PaaS solution, we believe we can bridge this operational gap by offering our technology combined with our substantial know-how in managing business-to-consumer supply chains, marketing, and customer service, among other things.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currently structure our offering as a standalone service or, in cases where the client’s third-party’s logistics do not allow for fulfillment direct-to-consumer, as a service suite which includes a standard reseller agreement that leverages our integrated direct-to-consumer fulfillment program. Managed PaaS is currently a nominal part of our business and will remain so while we are focusing our resources on scaling our consumer business. We believe that in the short to medium term the consumer business opportunity is larger.</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rely primarily on a combination of trade secrets, trademarks, employee and third-party nondisclosure agreements and licensing arrangements (including open source software) to protect our intellectual property in the U.S. and internationally. We generally do not pursue patent applications as a means of protecting our intellectual property. We have applied to register or have registered certain of our trademarks in the U.S. and other jurisdictions, and we will pursue additional trademark registrations to the extent we believe they would be beneficial and cost-effective.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customers are mainly individual online consumers who purchase our products primarily on Amazon US, and to a lesser extent on our owned and operated websites and other marketplaces. In 2021, approximately 93% of our revenue was through the Amazon sales platform and in 2020, 88% of our revenue was through the Amazon sales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heating, cooling and air quality,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sales and marketing strategy and approach is driven by our people, who substantially leverage AIMEE. AIMEE is being developed to allow price automatization, media buying and search engine optimization leveraging our proprietary technology software and algorithms we have built into AIMEE. We believe this automation will bring significant competitive advantages for our products and PaaS customers alike. For our SKUs, our advertising investment is focused on online channels and e-commerce platforms. Currently our primary focus on advertising spend is online across Amazon, Google and Facebook. Our spend and approach on advertising is different depending on the life cycle of products on our platform. We view and classify products into categories such as launch, sustain, milk or liquidate.</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launch phase is where we classify new products being introduced into the marketplace. The advertising spend during this stage is aggressive and can last for a number of months on average to ensure the product launch is successful, with a focus on search optimization and the development of social proof that our products are meeting customer needs. Once our products reach the sustain phase, our sales and marketing strategy then focuses primarily on managing price and pay-per-click optimization, along with a corresponding reduction in spending on search optimization and social proof.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Manufacturing &amp; Logistics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2021, we contract, through purchase orders, with approximately 148 manufacturers, predominately in China, for a substantial percentage of our consumer products. As of December 31, 2021, we have an operations team of approximately 26 people in Shenzhen, China, 10 people in our Philippines office, and 14 people across the U.S. that perform sourcing, product testing, manufacturer qualification, quality assurance and control and purchasing, among other things. In general, we do not use master agreements with vendors and aim to have flexibility in our supply chain to match our forecasting needs.</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use a combination of Amazon warehouses, other third-party warehouse and logistics partners to fulfill direct-to-consumer orders, through agreements or terms of services. In addition to fulfillment by Amazon warehouses, in 2018 we began utilizing three geographically distributed third-party warehouses to allow us to deliver orders within two days through ground shipment to approximately 99% of the U.S. market. Warehouse selection for any particular product depends on the size and other aspects of the products to be warehoused, with a focus on optimizing storage and fulfillment costs. We are focused on driving manufacturing and logistics costs down as we grow, scale and improve our purchasing power. We have expanded our third-party warehouse network to provide fulfillment by merchant One Day Prime delivery. This expansion covered approximately 76% of the U.S. market in 2021, based on our sales history. We believe that the increase in warehouse costs associated with this expansion will be more than offset by the decrease in shipping costs to customers as the average last mile shipping zones will decrease due to our increased reach.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consumer goods and e-commerce markets are highly competitive, including the market for potential merger and acquisition opportunities where there are many aggregators with substantial access to capital focused on acquiring Amazon third party sellers. Our competitors include traditional and non-traditional consumer good companies, discount stores, traditional retailers, the online platforms of these traditional retail competitors, independent retail stores and e-commerce companies. The market for PaaS services relating to e-commerce, and the U.S. Amazon marketplace in particular, is also very competitive </w:t>
      </w:r>
      <w:r>
        <w:rPr>
          <w:rFonts w:ascii="Arial" w:cs="Arial" w:eastAsia="Arial" w:hAnsi="Arial"/>
          <w:sz w:val="17"/>
          <w:szCs w:val="17"/>
          <w:color w:val="222222"/>
        </w:rPr>
        <w:t>with a variety of well-funded entrants in the space. The market landscape is diverse, with competitors selling into brands, agencies,</w:t>
      </w:r>
      <w:r>
        <w:rPr>
          <w:rFonts w:ascii="Arial" w:cs="Arial" w:eastAsia="Arial" w:hAnsi="Arial"/>
          <w:sz w:val="17"/>
          <w:szCs w:val="17"/>
          <w:color w:val="auto"/>
        </w:rPr>
        <w:t xml:space="preserve"> </w:t>
      </w:r>
      <w:r>
        <w:rPr>
          <w:rFonts w:ascii="Arial" w:cs="Arial" w:eastAsia="Arial" w:hAnsi="Arial"/>
          <w:sz w:val="17"/>
          <w:szCs w:val="17"/>
          <w:color w:val="222222"/>
        </w:rPr>
        <w:t>manufacturers and retailers alike. The services offered by these competitors vary, with some offering point solutions for specific aspects related to selling on Amazon, including research and business intelligence, Amazon services and listing management, while others focus on a more holistic approach. Some of these competitors leverage proprietary software to execute their services, while others offer personnel with relevant expertise. In addition, Amazon also offers its sellers a variety of tools that are generally free.</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222222"/>
        </w:rPr>
        <w:t>We believe that our owned and operated products business gives us an advantage as we are able to quickly develop new algorithms and test them on our own products to ensure their efficacy before delivering them to Managed PaaS clients. By having our owned and operated businesses, we are able to better predict and develop features that we believe will deliver results for Managed PaaS clients.</w:t>
      </w:r>
    </w:p>
    <w:p>
      <w:pPr>
        <w:spacing w:after="0" w:line="2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With regard to our consumer product business, we believe our competitors are Amazon, Helen of Troy, Newell Brands, Frigidaire, Trademark Global and any other consumer product company that sells products similar to ours in the e-commerce space. There has also been an increase in the number of sellers who are based in China that sell products similar to ours. For our acquisition growth strategy, we believe our competitors are Thrasio, HeyDay, SellerX, Perch, Boosted Commerce and Heroes, among numerous other aggregators in the U.S. and Europe. For our Managed PaaS business, we believe our competitors are </w:t>
      </w:r>
      <w:r>
        <w:rPr>
          <w:rFonts w:ascii="Arial" w:cs="Arial" w:eastAsia="Arial" w:hAnsi="Arial"/>
          <w:sz w:val="17"/>
          <w:szCs w:val="17"/>
          <w:color w:val="222222"/>
        </w:rPr>
        <w:t>Feedvisor, CommerceIQ, Channel Advisor, Teikametrics, Jungle Scout, Helium10 and numerous others</w:t>
      </w:r>
      <w:r>
        <w:rPr>
          <w:rFonts w:ascii="Arial" w:cs="Arial" w:eastAsia="Arial" w:hAnsi="Arial"/>
          <w:sz w:val="17"/>
          <w:szCs w:val="17"/>
          <w:color w:val="auto"/>
        </w:rPr>
        <w:t>. We believe that we are able to compete effectively because of our expertise, platform, data science and other automation.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Matters/Governmental Regulations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products sold by us are also subject to regulation by U.S. governmental agencies, including the U.S. Consumer Product Safety Commission, the Federal Trade Commission, United States Food and Drug Administration, the U.S. Environmental Protection Agency,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Substantially most of our products are currently manufactured in China, which may result in additional costs, if laws related to international trade result in additional tariffs on our products.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Although we have not suffered any material restrictions from doing business in the past due to government regulations, significant impediments may arise in the future as we expand product offerings.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dispose or donate of obsolete inventory, which is disposed of or destroyed in compliance with applicable laws and regulations.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human capital objectives we focus on in managing our business include attracting, developing, and retaining key personnel. Our employees are critical to the success of our organization and we are committed to supporting our employees’ professional development. We believe our management team has the experience necessary to effectively implement our growth strategy and continue to drive stockholder value. We provide competitive compensation, which includes a focus on stock-based compensation, and benefits to attract and retain key personnel, while also providing a safe, inclusive and respectful workplace. As of December 31, 2021, we had 159 employees, of which 156 were full-time, and 60 independent contractors. Of our employees and contractors, 37 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engaged in research and development, 156 are engaged in sales, marketing and operations and 26 are in general corporate and administrative positions.</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2021, our employees and contractors are based in seven offices (including shared workspaces) and remote work locations. Of our employees and contractors, 26 are in research and development, sales, marketing, operations, general corporate and administration in New York, 25 are in operations and revenue across remote roles in the U.S., 32 are in China where we perform operations and manufacturer inspections, one is in the U.K. in finance, 79 are in the Philippines where we perform customer service, sales and marketing and other logistics functions and 26 are in Poland where we perform research and development. We also contract with 21 consultants, predominantly for research and development functions in Ukraine, Poland, Israel and Montreal.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employees are not represented by any collective bargaining agreements or labor unions.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Below is a summary of the principal factors that make an investment in shares of our common stock speculative or risky. These factors, along with other general risk factors, are described in further detail under the heading “Risk Factors”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020" w:right="18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growth strategy is capital dependent and due to the impact of the COVID-19 pandemic and related global supply chain disruption, our management has expressed substantial doubt about our ability to continue as a going concern.</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have a short operating history in a rapidly evolving industry and increasingly competitive environment.</w:t>
      </w:r>
    </w:p>
    <w:p>
      <w:pPr>
        <w:spacing w:after="0" w:line="144" w:lineRule="exact"/>
        <w:rPr>
          <w:rFonts w:ascii="Arial" w:cs="Arial" w:eastAsia="Arial" w:hAnsi="Arial"/>
          <w:sz w:val="18"/>
          <w:szCs w:val="18"/>
          <w:color w:val="auto"/>
        </w:rPr>
      </w:pPr>
    </w:p>
    <w:p>
      <w:pPr>
        <w:ind w:left="1020" w:right="6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have significant operational exposure relating to the COVID-19 pandemic and related supply chain issues and the impact from this could have a material adverse impact on our business, financial condition, operating results and prospects.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may not be able to sustain our revenue growth rate.</w:t>
      </w:r>
    </w:p>
    <w:p>
      <w:pPr>
        <w:spacing w:after="0" w:line="144" w:lineRule="exact"/>
        <w:rPr>
          <w:rFonts w:ascii="Arial" w:cs="Arial" w:eastAsia="Arial" w:hAnsi="Arial"/>
          <w:sz w:val="18"/>
          <w:szCs w:val="18"/>
          <w:color w:val="auto"/>
        </w:rPr>
      </w:pPr>
    </w:p>
    <w:p>
      <w:pPr>
        <w:ind w:left="1020" w:right="18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may be limited by our ability to raise the funding we need to support our growth or to maintain our existing business. Also such funding may be available only by diluting existing stockholders.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If we are unable to manage our inventory effectively, our operating results and financial condition could be adversely affected.</w:t>
      </w:r>
    </w:p>
    <w:p>
      <w:pPr>
        <w:spacing w:after="0" w:line="144" w:lineRule="exact"/>
        <w:rPr>
          <w:rFonts w:ascii="Arial" w:cs="Arial" w:eastAsia="Arial" w:hAnsi="Arial"/>
          <w:sz w:val="18"/>
          <w:szCs w:val="18"/>
          <w:color w:val="auto"/>
        </w:rPr>
      </w:pPr>
    </w:p>
    <w:p>
      <w:pPr>
        <w:ind w:left="1020" w:right="60" w:hanging="37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rely on our technology, including AIMEE, to operate our business and to maintain our competitiveness, and any failure or reduction in the capability of our technology or reduction in the amount of data provided by third parties, the loss of which could limit the functionality of our technology, could harm our business.</w:t>
      </w:r>
    </w:p>
    <w:p>
      <w:pPr>
        <w:spacing w:after="0" w:line="75" w:lineRule="exact"/>
        <w:rPr>
          <w:rFonts w:ascii="Arial" w:cs="Arial" w:eastAsia="Arial" w:hAnsi="Arial"/>
          <w:sz w:val="18"/>
          <w:szCs w:val="18"/>
          <w:color w:val="auto"/>
        </w:rPr>
      </w:pPr>
    </w:p>
    <w:p>
      <w:pPr>
        <w:ind w:left="1020" w:hanging="37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 significant majority of our revenue is from sales of products on Amazon’s U.S. Marketplace and any change, limitation or restriction on our ability to operate on Amazon’s platform could have a material adverse impact to our business, results of operations, financial condition and prospects.</w:t>
      </w:r>
    </w:p>
    <w:p>
      <w:pPr>
        <w:spacing w:after="0" w:line="75" w:lineRule="exact"/>
        <w:rPr>
          <w:rFonts w:ascii="Arial" w:cs="Arial" w:eastAsia="Arial" w:hAnsi="Arial"/>
          <w:sz w:val="18"/>
          <w:szCs w:val="18"/>
          <w:color w:val="auto"/>
        </w:rPr>
      </w:pPr>
    </w:p>
    <w:p>
      <w:pPr>
        <w:ind w:left="1020" w:right="60" w:hanging="37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business depends on our ability to build and maintain strong product listings on e-commerce platforms and to receive favorable customer reviews. If we receive negative reviews, customer complaints, negative publicity or otherwise fail to live up to expectations, it could materially adversely affect our business, results of operations and growth prospects.</w:t>
      </w:r>
    </w:p>
    <w:p>
      <w:pPr>
        <w:spacing w:after="0" w:line="75" w:lineRule="exact"/>
        <w:rPr>
          <w:rFonts w:ascii="Arial" w:cs="Arial" w:eastAsia="Arial" w:hAnsi="Arial"/>
          <w:sz w:val="18"/>
          <w:szCs w:val="18"/>
          <w:color w:val="auto"/>
        </w:rPr>
      </w:pPr>
    </w:p>
    <w:p>
      <w:pPr>
        <w:ind w:left="1020" w:right="16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may be unable to retain or motivate key personnel or hire, retain and motivate qualified personnel, in part due to our use of stock-based compensation and the volatility of our common stock, and our business could be harmed.</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terms of our Credit Facility contain restrictive covenants that may limit our operating flexibility.</w:t>
      </w:r>
    </w:p>
    <w:p>
      <w:pPr>
        <w:spacing w:after="0" w:line="144" w:lineRule="exact"/>
        <w:rPr>
          <w:rFonts w:ascii="Arial" w:cs="Arial" w:eastAsia="Arial" w:hAnsi="Arial"/>
          <w:sz w:val="18"/>
          <w:szCs w:val="18"/>
          <w:color w:val="auto"/>
        </w:rPr>
      </w:pPr>
    </w:p>
    <w:p>
      <w:pPr>
        <w:ind w:left="1020" w:right="6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are evaluating acquisition targets in a challenging and evolving environment and, our ability to acquire targets at a low multiple may not be viable or such acquisitions could divert our management’s attention.</w:t>
      </w:r>
    </w:p>
    <w:p>
      <w:pPr>
        <w:spacing w:after="0" w:line="62" w:lineRule="exact"/>
        <w:rPr>
          <w:rFonts w:ascii="Arial" w:cs="Arial" w:eastAsia="Arial" w:hAnsi="Arial"/>
          <w:sz w:val="18"/>
          <w:szCs w:val="18"/>
          <w:color w:val="auto"/>
        </w:rPr>
      </w:pPr>
    </w:p>
    <w:p>
      <w:pPr>
        <w:ind w:left="1020" w:right="360" w:hanging="37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may acquire other companies or technologies, which could divert our management’s attention, result in additional dilution to our stockholders, may decline in financial performance post closing and otherwise disrupt our operations and adversely affect our operating results.</w:t>
      </w:r>
    </w:p>
    <w:p>
      <w:pPr>
        <w:spacing w:after="0" w:line="75" w:lineRule="exact"/>
        <w:rPr>
          <w:rFonts w:ascii="Arial" w:cs="Arial" w:eastAsia="Arial" w:hAnsi="Arial"/>
          <w:sz w:val="18"/>
          <w:szCs w:val="18"/>
          <w:color w:val="auto"/>
        </w:rPr>
      </w:pPr>
    </w:p>
    <w:p>
      <w:pPr>
        <w:ind w:left="1020" w:right="40" w:hanging="37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 failure to successfully integrate our acquired businesses or to maintain the same level or better financial performance may adversely affect our business and operations.</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are dependent on third-party manufacturers, most of which are located in China.</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 and Cyber Security</w:t>
      </w:r>
    </w:p>
    <w:p>
      <w:pPr>
        <w:spacing w:after="0" w:line="229" w:lineRule="exact"/>
        <w:rPr>
          <w:sz w:val="20"/>
          <w:szCs w:val="20"/>
          <w:color w:val="auto"/>
        </w:rPr>
      </w:pPr>
    </w:p>
    <w:p>
      <w:pPr>
        <w:ind w:left="1020" w:hanging="37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use of open source software may pose particular risks to our proprietary software and systems.</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We rely on data provided by third parties, the loss or reduction of which could limit the functionality of our platforms or disrupt our business.</w:t>
      </w:r>
    </w:p>
    <w:p>
      <w:pPr>
        <w:spacing w:after="0" w:line="167" w:lineRule="exact"/>
        <w:rPr>
          <w:rFonts w:ascii="Arial" w:cs="Arial" w:eastAsia="Arial" w:hAnsi="Arial"/>
          <w:sz w:val="16"/>
          <w:szCs w:val="16"/>
          <w:color w:val="auto"/>
        </w:rPr>
      </w:pPr>
    </w:p>
    <w:p>
      <w:pPr>
        <w:jc w:val="both"/>
        <w:ind w:left="1020" w:right="40" w:hanging="378"/>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left="1020" w:right="320" w:hanging="378"/>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5" w:lineRule="exact"/>
        <w:rPr>
          <w:rFonts w:ascii="Arial" w:cs="Arial" w:eastAsia="Arial" w:hAnsi="Arial"/>
          <w:sz w:val="16"/>
          <w:szCs w:val="16"/>
          <w:color w:val="auto"/>
        </w:rPr>
      </w:pPr>
    </w:p>
    <w:p>
      <w:pPr>
        <w:ind w:left="1020" w:right="320" w:hanging="37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Assertions by third parties of infringement or misappropriation by us of their intellectual property rights or confidential know-how could result in significant costs and substantially harm our business and results of operations.</w:t>
      </w:r>
    </w:p>
    <w:p>
      <w:pPr>
        <w:spacing w:after="0" w:line="62" w:lineRule="exact"/>
        <w:rPr>
          <w:rFonts w:ascii="Arial" w:cs="Arial" w:eastAsia="Arial" w:hAnsi="Arial"/>
          <w:sz w:val="18"/>
          <w:szCs w:val="18"/>
          <w:color w:val="auto"/>
        </w:rPr>
      </w:pPr>
    </w:p>
    <w:p>
      <w:pPr>
        <w:ind w:left="1020" w:right="600" w:hanging="37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Litigation and Government Regulation</w:t>
      </w:r>
    </w:p>
    <w:p>
      <w:pPr>
        <w:spacing w:after="0" w:line="229" w:lineRule="exact"/>
        <w:rPr>
          <w:sz w:val="20"/>
          <w:szCs w:val="20"/>
          <w:color w:val="auto"/>
        </w:rPr>
      </w:pPr>
    </w:p>
    <w:p>
      <w:pPr>
        <w:ind w:left="1020" w:right="60" w:hanging="37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Risks associated with the suppliers from whom our products are sourced could materially adversely affect our financial performance as well as our reputation and brand.</w:t>
      </w:r>
    </w:p>
    <w:p>
      <w:pPr>
        <w:spacing w:after="0" w:line="62" w:lineRule="exact"/>
        <w:rPr>
          <w:rFonts w:ascii="Arial" w:cs="Arial" w:eastAsia="Arial" w:hAnsi="Arial"/>
          <w:sz w:val="18"/>
          <w:szCs w:val="18"/>
          <w:color w:val="auto"/>
        </w:rPr>
      </w:pPr>
    </w:p>
    <w:p>
      <w:pPr>
        <w:ind w:left="1020" w:hanging="37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our products experience any recalls, product liability claims, or government, customer or consumer concerns about product safety or other consumer protection issues, our reputation, financial condition and operating results could be harmed.</w:t>
      </w:r>
    </w:p>
    <w:p>
      <w:pPr>
        <w:spacing w:after="0" w:line="62" w:lineRule="exact"/>
        <w:rPr>
          <w:rFonts w:ascii="Arial" w:cs="Arial" w:eastAsia="Arial" w:hAnsi="Arial"/>
          <w:sz w:val="18"/>
          <w:szCs w:val="18"/>
          <w:color w:val="auto"/>
        </w:rPr>
      </w:pPr>
    </w:p>
    <w:p>
      <w:pPr>
        <w:ind w:left="1020" w:right="320" w:hanging="37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further tariffs or other restrictions are placed on imports from China or any negative trade measures are taken by China, our business, financial condition and results of operations could be materially and adversely affected.</w:t>
      </w:r>
    </w:p>
    <w:p>
      <w:pPr>
        <w:spacing w:after="0" w:line="62" w:lineRule="exact"/>
        <w:rPr>
          <w:rFonts w:ascii="Arial" w:cs="Arial" w:eastAsia="Arial" w:hAnsi="Arial"/>
          <w:sz w:val="18"/>
          <w:szCs w:val="18"/>
          <w:color w:val="auto"/>
        </w:rPr>
      </w:pPr>
    </w:p>
    <w:p>
      <w:pPr>
        <w:jc w:val="both"/>
        <w:ind w:left="1020" w:right="20" w:hanging="378"/>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We are subject to U.S. governmental regulation and other legal obligations related to privacy, data protection and information security. If we are unable to comply with these, we may be subject to governmental enforcement actions, litigation, fines and penalties or adverse publicity.</w:t>
      </w:r>
    </w:p>
    <w:p>
      <w:pPr>
        <w:spacing w:after="0" w:line="15" w:lineRule="exact"/>
        <w:rPr>
          <w:rFonts w:ascii="Arial" w:cs="Arial" w:eastAsia="Arial" w:hAnsi="Arial"/>
          <w:sz w:val="16"/>
          <w:szCs w:val="16"/>
          <w:color w:val="auto"/>
        </w:rPr>
      </w:pPr>
    </w:p>
    <w:p>
      <w:pPr>
        <w:ind w:left="1020" w:hanging="378"/>
        <w:spacing w:after="0" w:line="28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handle credit card and other personal information, and, as such, are subject to governmental regulation and other legal obligations related to the protection of personal data, privacy and information security in certain countries where we do business and there has been and will continue to be a significant increase globally in such laws that restrict or control the use of personal data.</w:t>
      </w:r>
    </w:p>
    <w:p>
      <w:pPr>
        <w:spacing w:after="0" w:line="57" w:lineRule="exact"/>
        <w:rPr>
          <w:rFonts w:ascii="Arial" w:cs="Arial" w:eastAsia="Arial" w:hAnsi="Arial"/>
          <w:sz w:val="17"/>
          <w:szCs w:val="17"/>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 Europe, the data privacy and information security regime continues to evolve and is subject to increasing regulatory scrutiny.</w:t>
      </w:r>
    </w:p>
    <w:p>
      <w:pPr>
        <w:spacing w:after="0" w:line="144" w:lineRule="exact"/>
        <w:rPr>
          <w:rFonts w:ascii="Arial" w:cs="Arial" w:eastAsia="Arial" w:hAnsi="Arial"/>
          <w:sz w:val="18"/>
          <w:szCs w:val="18"/>
          <w:color w:val="auto"/>
        </w:rPr>
      </w:pPr>
    </w:p>
    <w:p>
      <w:pPr>
        <w:ind w:left="1020" w:hanging="37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are subject to stringent privacy regulations in China that are broader than those of our other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121" w:lineRule="exact"/>
        <w:rPr>
          <w:sz w:val="20"/>
          <w:szCs w:val="20"/>
          <w:color w:val="auto"/>
        </w:rPr>
      </w:pPr>
    </w:p>
    <w:p>
      <w:pPr>
        <w:ind w:left="1020" w:right="900" w:hanging="378"/>
        <w:spacing w:after="0" w:line="34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5" w:lineRule="exact"/>
        <w:rPr>
          <w:rFonts w:ascii="Arial" w:cs="Arial" w:eastAsia="Arial" w:hAnsi="Arial"/>
          <w:sz w:val="16"/>
          <w:szCs w:val="16"/>
          <w:color w:val="auto"/>
        </w:rPr>
      </w:pPr>
    </w:p>
    <w:p>
      <w:pPr>
        <w:ind w:left="1020" w:right="160" w:hanging="378"/>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share price has been very volatile. Market volatility may affect the value of an investment in our common stock and could subject us to litigation.</w:t>
      </w:r>
    </w:p>
    <w:p>
      <w:pPr>
        <w:spacing w:after="0" w:line="62" w:lineRule="exact"/>
        <w:rPr>
          <w:rFonts w:ascii="Arial" w:cs="Arial" w:eastAsia="Arial" w:hAnsi="Arial"/>
          <w:sz w:val="18"/>
          <w:szCs w:val="18"/>
          <w:color w:val="auto"/>
        </w:rPr>
      </w:pPr>
    </w:p>
    <w:p>
      <w:pPr>
        <w:ind w:left="1020" w:right="60" w:hanging="378"/>
        <w:spacing w:after="0" w:line="30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212529"/>
        </w:rPr>
        <w:t>As a result of our failure to timely file certain financial statements relating to the Smash Assets, we are currently ineligible to file new short form registration statements on Form S-3 or to have resale registration statements declared effective in a timely manner, which may impair our ability to raise capital on terms favorable to us, in a timely manner or at all, or in the case of resale registration statements, could result in an event of default under our credit facilities or a breach of existing obligations to stockholders with registration rights.</w:t>
      </w:r>
    </w:p>
    <w:p>
      <w:pPr>
        <w:spacing w:after="0" w:line="49" w:lineRule="exact"/>
        <w:rPr>
          <w:rFonts w:ascii="Arial" w:cs="Arial" w:eastAsia="Arial" w:hAnsi="Arial"/>
          <w:sz w:val="16"/>
          <w:szCs w:val="16"/>
          <w:color w:val="auto"/>
        </w:rPr>
      </w:pPr>
    </w:p>
    <w:p>
      <w:pPr>
        <w:ind w:left="1020" w:right="460" w:hanging="378"/>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212529"/>
        </w:rPr>
        <w:t>A “short squeeze” due to a sudden increase in demand for shares of our common stock that largely exceeds supply has led to, and may continue to lead to, extreme price volatility in shares of our common stock.</w:t>
      </w:r>
    </w:p>
    <w:p>
      <w:pPr>
        <w:spacing w:after="0" w:line="62" w:lineRule="exact"/>
        <w:rPr>
          <w:rFonts w:ascii="Arial" w:cs="Arial" w:eastAsia="Arial" w:hAnsi="Arial"/>
          <w:sz w:val="18"/>
          <w:szCs w:val="18"/>
          <w:color w:val="auto"/>
        </w:rPr>
      </w:pPr>
    </w:p>
    <w:p>
      <w:pPr>
        <w:ind w:left="1020" w:hanging="378"/>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Future sales and issuances of our capital stock, or the perception that such sales may occur, could cause our stock price to decline.</w:t>
      </w:r>
    </w:p>
    <w:p>
      <w:pPr>
        <w:spacing w:after="0" w:line="155" w:lineRule="exact"/>
        <w:rPr>
          <w:rFonts w:ascii="Arial" w:cs="Arial" w:eastAsia="Arial" w:hAnsi="Arial"/>
          <w:sz w:val="17"/>
          <w:szCs w:val="17"/>
          <w:color w:val="auto"/>
        </w:rPr>
      </w:pPr>
    </w:p>
    <w:p>
      <w:pPr>
        <w:ind w:left="1020" w:hanging="37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ability to use our net operating losses to offset future taxable income may be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Our growth strategy is capital dependent and due to the impact of the COVID-19 pandemic and related global supply chain disruption, our management has expressed substantial doubt about our ability to continue as a going concern.</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mergers and acquisitions (“M&amp;A strategy”). In addition, our recent financial performance has been adversely impacted by the COVID-19 global pandemic and related global shipping disruption, in particular with respect to substantial increases in supply chain costs for shipping containers. As a result, we have incurred significant losses and will remain dependent on outside capital for the foreseeable future until such time that we can realize our strategy of growth by generating profits through our organic growth and M&amp;A strategy, and reduce our reliance on outside capital.</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been affected by the COVID-19 pandemic and related global supply chain disruption. Together, these have led to substantial increases in the costs of our supply chain, specifically, the costs of shipping containers, which we rely on to import our goods. The COVID-19 pandemic and related supply chain disruption have also reduced the reliability and timely delivery of shipping containers, which has in turn negatively impacted our shipping times and substantially increased our shipping costs. These delays and cost increases have been particularly substantial for oversized goods, which are a material part of our business. The increased costs of our supply chain negatively impacted us in the fiscal year ended December 31, 2021, and we believe it will continue to negatively impact us for at least the next six to nine months. There can be no assurances that the costs of our supply chain will ever return to pre-pandemic levels and if that is the case our long-term operating results and financial condition could be adversely impacted.</w:t>
      </w:r>
    </w:p>
    <w:p>
      <w:pPr>
        <w:spacing w:after="0" w:line="19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Due to the reduced reliability and delivery of shipping containers we have had to spend more on premium shipping to ensure space on board of the vessels that carry our goods, if at all, and the general lack of reliability and timely delivery of shipping containers has had further down supply chain impacts as it takes longer for containers to be offloaded and returned. Further, this global supply chain disruption is forcing us to take steps to increase our inventory on-hand, including advance ordering and taking possession of inventory earlier than expected, which negatively impacts our working capital.</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end consumers as their delivery networks continue to be impacted by the COVID-19 pandemic. In addition, we may be adversely impacted by rising costs of the commodity raw materials used to produce our products.</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COVID-19 pandemic also continues to bring uncertainty to consumer demand as price increases related to raw materials, the importing of goods, including tariffs, and the cost of delivering goods to consumers has led to inflation across the globe, and in the U.S. in particular. We have serious concerns about the effect of inflation on all aspects of our business, including its impact on the supply chain and our consumers. Increasing inflation, coupled with the reopening of the country, have resulted in changes to consumer buying habits, which may have reduced demand for our products. Further, we have increased the sale prices for our products to offset the increased supply chain costs, which has also led to reduced demand for our goods. Reduced demand for our products and increased prices affecting consumer demand generally have also made forecasting and budgeting more difficult.</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been taking, and plan to continue to take, various actions to help improve our financial forecasts and allow us to navigate through the continuing global supply chain disruption. These actions include, but are not limited to, obtaining new third party vendors for shipping containers, renegotiating rates with third party last mile providers, postponing or canceling some or all of our product launches, and reducing fixed costs and increasing our inventory on-hand to ensure products are available on time to sell. More specifically, due to our need to increase our inventory on-hand to ensure products are available on time to sell and to secure inventory earlier than normal, we may experience working capital tightness based on our forecasts during the first half of 2022 and the first quarter of 2023.</w:t>
      </w: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inherent uncertainties associated with executing our growth strategy, as well as the uncertainty associated with the ongoing COVID-19 global pandemic and related global supply chain disruption, we can provide no assurance that we will be able to obtain sufficient outside capital or generate sufficient cash from operations to fund our obligations for the twelve months following the issuance of the accompanying consolidated financial statements. Further, there can be no assurance that these actions around the supply chain along with our operating forecast for the twelve months following the issuance of the accompanying consolidated financial statements will be attained such that we will be able to maintain compliance with our financial covenants with our lender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meet our obligations as they become due. These negative financial conditions raise substantial doubt about our ability to continue as a going concern.</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plans to continue to closely monitor our operating forecast and may pursue additional sources of financing and/or capital to fund our operations or to continue our merger and acquisition strategy. If we are unable to improve our operating results, secure any necessary waivers from our lender, and/or obtain additional sources of financing and capital on acceptable terms (if at all) for our planned operations, including our merger and acquisition strategy, we may have to make significant changes to our operating plan, such as delay expenditures, reduce investments in new products, delay the further development of, and upgrades and updates to, our software, reduce our sale and distribution infrastructure, limit or postpone our merger and acquisition strategy or otherwise significantly reduce the scope of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in a rapidly evolving industry and increasingly competitive environment.</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25"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and efficiently integrate new product offerings;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navigate the global supply chain disruption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anticipate and respond to macroeconomic changes;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addition, there continues to be increased competition in all aspects of our industry. We continue to see money raised by competitors in our space. We are also seeing manufacturers selling products that compete with ours and such manufacturers typically have a pricing advantage over us.</w:t>
      </w:r>
    </w:p>
    <w:p>
      <w:pPr>
        <w:spacing w:after="0" w:line="25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related supply chain issues and the impact from this in combination with the impact of Russia’s invasion of Ukraine could have a material adverse impact on our business, financial condition, operating results and prospects.</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COVID-19 pandemic has impacted us in numerous ways since the first quarter of 2020 and we believe it will continue to affect our business moving forward.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Amongst other things, it has affected our efficiency and ability to launch new products, replenish inventory for existing products, forecast demand for our products, ship into or receive inventory in our third-party warehouses, and to ship or sell products to customers. In addition, the majority of our personnel are currently working remotely, which creates challenges in the way we operate our business, including with respect to the manner in which we monitor the quality of our products.</w:t>
      </w:r>
    </w:p>
    <w:p>
      <w:pPr>
        <w:spacing w:after="0" w:line="7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If any of our key personnel contracts COVID-19, this could affect our ability to execute our operations. In addition, our operations rely on third-parties to manufacture our products, to provide logistics and warehousing services and to facilitate sales of our products, and accordingly we rely on the business continuity plans of these third parties to continue to operate during the pandemic and have limited to no ability to influence their plans.</w:t>
      </w:r>
    </w:p>
    <w:p>
      <w:pPr>
        <w:spacing w:after="0" w:line="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Furthermore, global financial markets could be significantly affected as a result of Russia’s invasion of Ukraine. The U.S., U.K., and the EU governments, among others, have developed coordinated sanctions and export control measure packages including comprehensive financial sanctions against major Russian banks (including SWIFT cut off).</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Due to the uncertainty as to the severity and duration of the pandemic, and the impact and extent of Russian aggressiveness the impact on our future revenues, profitability, liquidity, financial condition, business and results of operations is uncertain at this time. We continue to take steps to preserve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jc w:val="both"/>
        <w:ind w:right="240"/>
        <w:spacing w:after="0" w:line="263" w:lineRule="auto"/>
        <w:rPr>
          <w:sz w:val="20"/>
          <w:szCs w:val="20"/>
          <w:color w:val="auto"/>
        </w:rPr>
      </w:pPr>
      <w:r>
        <w:rPr>
          <w:rFonts w:ascii="Arial" w:cs="Arial" w:eastAsia="Arial" w:hAnsi="Arial"/>
          <w:sz w:val="18"/>
          <w:szCs w:val="18"/>
          <w:color w:val="auto"/>
        </w:rPr>
        <w:t>had resulted in a temporary loss of availability of export credit insurance from the China Export &amp; Credit Insurance Corporation (“Sinosure”), a Chinese state-owned enterprise, that provides export credit insurance to our manufacturing vendors. As of the date of this Annual Report, Sinosure has reinstated this insurance to levels that we believe are sufficient to fund our operations.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Sales and operating results have become more difficult to forecast due to the pandemic and we may suffer from future inventory shortages. This makes it more difficult for us to appropriately plan our expenses. We base our current and future expense levels primarily on our operating forecasts and estimates of sales. We may be unable to adjust our spending in a timely manner to compensate for any unexpected shortfall in sales, whether due to lack of inventory or otherwise, and if actual results differ from our estimates, our operating results and financial condition could be adversely impacted.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growth rate.</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recent revenue growth should not be considered indicative of our future performance. Specifically, our net revenue increased by 33.4% for the year ended December 31, 2021 compared to the year ended December 31, 2020. As we grow our business, our revenue growth rates may slow in future periods due to a number of reasons, which may include our inability to successfully launch new products that reach our sustain phase and to keep those products in the sustain phase, as well as the maturation of our business. In fact, we have paused the launch of new products. Our revenue growth rates may also slow in future periods to the extent we are unable to identify and complete acquisitions, or are unable to maintain or grow revenues from such businesses after closing an acquisition. We can provide no assurance that we will continue to be able to maintain or sustain the same levels of historic revenue growth.</w:t>
      </w:r>
    </w:p>
    <w:p>
      <w:pPr>
        <w:spacing w:after="0" w:line="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decide to delay certain investments in order to more quickly achieve profitability, and while such decisions may accelerate net revenue and profitability on a short-term basis, we can provide no assurance that we will continue to be able to maintain or sustain the same levels of historic revenue growth. In addition, we may focus on product opportunities that have larger addressable markets but require increased levels of marketing investment and we can provide no assurances that such a shift will be successful.</w:t>
      </w:r>
    </w:p>
    <w:p>
      <w:pPr>
        <w:spacing w:after="0" w:line="7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in the year ended December 31, 2021,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limited by our ability to raise the funding we need to support our growth or to maintain our existing business. Also such funding may be available only by diluting existing stockholders.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success of our business depends, in part, on our ability to invest significant resources in research, development of our proprietary technology platform, and product development, including through acquisitions. To support our business growth we may require additional funds to maintain, grow and respond to business challenges. Accordingly, we need to engage in equity or debt financings to secure additional funds. If we raise additional funds through issuances of equity or convertible debt securities, we expect our existing stockholders to suffer significant dilution, and any new equity securities we issue could have rights, preferences and privileges superior to those of holders of our common stock. The debt we may incur in order to obtain these funds may negatively impact our financial conditions or operating results.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debt financing secured by us in the future would require the consent of our existing lenders, and also could involve restrictive covenants relating to our capital-raising activities and other financial and operational matters, which may make it more difficult for us to obtain additional capital and to pursue business opportunities. In addition, we may not be able to continue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also may not be able to obtain additional financing on terms favorable to us, if at all. If we are unable to obtain adequate financing or financing on terms satisfactory to us, when we require it, our ability to continue to maintain, grow and respond to business challenges would be significantly limited, and our business and prospects could fail or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100"/>
        <w:spacing w:after="0" w:line="257" w:lineRule="auto"/>
        <w:rPr>
          <w:sz w:val="20"/>
          <w:szCs w:val="20"/>
          <w:color w:val="auto"/>
        </w:rPr>
      </w:pPr>
      <w:r>
        <w:rPr>
          <w:rFonts w:ascii="Arial" w:cs="Arial" w:eastAsia="Arial" w:hAnsi="Arial"/>
          <w:sz w:val="18"/>
          <w:szCs w:val="18"/>
          <w:color w:val="auto"/>
        </w:rPr>
        <w:t>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accurately predict demand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Given the long lasting effects of the COVID-19 pandemic, we expect to continue experiencing inventory shortages and our operating results and financial condition could be adversely affected.</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Risks associated with the suppliers from whom our products are sourced could materially adversely affect our financial performance as well as our reputation and brand.</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ability to develop and maintain relationships with reputable suppliers and offer high quality products to our customers is critical to our success. If we are unable to develop and maintain relationships with suppliers that would allow us to offer a sufficient amount and variety of quality products on acceptable commercial terms, our ability to satisfy our customers’ needs, and therefore our growth prospects and financial performance, would be materially adversely affected.</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If our supplies are faced with severe negative economic effects of the COVID-19 pandemic as discussed elsewhere in these Risk Factors they may be forced to reject our purchase orders or only accept a smaller portion of such purchase orders.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we are unable to predict whether any of the countries in which our suppliers’ products are currently manufactured or may be manufactured in the future will be subject to trade 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In addition, we may not be able to shift production for our products to other countries not subject to tariffs or other disruptions or be able to obtain competitive pricing and sufficient quality.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178"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b w:val="1"/>
          <w:bCs w:val="1"/>
          <w:i w:val="1"/>
          <w:iCs w:val="1"/>
          <w:color w:val="auto"/>
        </w:rPr>
        <w:t>We rely on our technology, including AIMEE, to operate our business and to maintain our competitiveness, and any failure or reduction in the capability of our technology or reduction in the amount of data provided by third parties, the loss of which could limit the functionality of our technology, could harm our business.</w:t>
      </w:r>
    </w:p>
    <w:p>
      <w:pPr>
        <w:spacing w:after="0" w:line="7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depend on the use of our proprietary technology platform named AIMEE and other sophisticated information technologies and systems, including technology and systems used for websites and apps, customer service, logistics and fulfillment, supplier connectivity, communications and administration. Artificial intelligence and machine learning technologies are subject to rapid changes and our technology is yet to be fully automated. As our operations grow in size, scope and complexity, we will need to continuously improve and upgrade our systems and infrastructure to offer an increasing number of consumer-enhanced services, features and functionalities, while maintaining and improving the reliability and integrity of our systems and infrastructure.</w:t>
      </w:r>
    </w:p>
    <w:p>
      <w:pPr>
        <w:spacing w:after="0" w:line="16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future success also depends on our ability to adapt our technology, our services and infrastructure, including our research, sales and marketing, and logistics and fulfillment platform, which leverages our technology, to meet rapidly evolving e-commerce trends and demands while continuing to improve our software’s performance, features and reliability. The emergence of alternative platforms may require us to continue to invest in new and costly technology. We may not be successful, or we may be less successful than our competitors, in developing technologies that operate effectively across multiple e-commerce platforms, which would negatively impact our business and financial performance. New developments in other areas, such as cloud computing providers, could also make it easier for competitors to enter our markets due to lower up-front technology costs. In addition, we may not be able to maintain our existing systems, replace or upgrade our current systems or introduce new technologies and systems as quickly or cost effectively as we would like. We expect to incur significant costs in the continued development of our technology’s functionality, and any failure to invest in and adapt to technological developments and industry trends may have a material adverse effect on our business, results of operations, financial condition and prospects.</w:t>
      </w:r>
    </w:p>
    <w:p>
      <w:pPr>
        <w:spacing w:after="0" w:line="29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A significant majority of our revenue is from sales of products on Amazon’s U.S. Marketplace and any change, limitation or restriction on our ability to operate on Amazon’s platform could have a material adverse impact to our business, results of operations, financial condition and prospects.</w:t>
      </w:r>
    </w:p>
    <w:p>
      <w:pPr>
        <w:spacing w:after="0" w:line="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substantial percentage of our revenue is driven by sales on Amazon’s U.S. marketplace and we are subject to Amazon’s terms of service and various other Amazon seller policies and services that apply to third parties selling products on Amazon’s marketplace.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200"/>
        <w:spacing w:after="0" w:line="259" w:lineRule="auto"/>
        <w:rPr>
          <w:sz w:val="20"/>
          <w:szCs w:val="20"/>
          <w:color w:val="auto"/>
        </w:rPr>
      </w:pPr>
      <w:r>
        <w:rPr>
          <w:rFonts w:ascii="Arial" w:cs="Arial" w:eastAsia="Arial" w:hAnsi="Arial"/>
          <w:sz w:val="18"/>
          <w:szCs w:val="18"/>
          <w:color w:val="auto"/>
        </w:rPr>
        <w:t>Amazon has the right to terminate or suspend its agreement with us at any time and for any reason. Amazon may take other actions against us such as suspending or terminating a seller account or product listing and withholding payments owed to us indefinitely. While we endeavor to materially comply with the terms of services of Amazon’s marketplace, we can provide no assurances that Amazon will have the same determination with respect to our compliance.</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addition, Amazon can make changes to its platform that could require us to change the manner in which we operate, limit our ability to successfully launch new products or increase our costs to operate and such changes could have an adverse effect on our business, results of operations, financial condition and prospects. Examples of changes that could impact us relate to platform fee charges (i.e., selling commissions), exclusivity, inventory warehouse availability, excluded products and limitations on sales and marketing. Any change, limitation or restriction on our ability to sell on Amazon’s platform, even if temporary, could have a material impact on our business, results of operations, financial condition and prospects.</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do significant diligence for all of our acquisitions it is difficult to uncover all actions taken by previous owners, some of which may be against the terms of service of Amazon’s platforms and this could impact our ability to operate on Amazon and affect the benefit of the bargain we receive. For example, we have dealt with an issue from the Smash acquisition whereby the former owner's actions have caused us to lose reviews and access to certain inventory. While we are working with Amazon to resolve this issue, there can be no assurances any such actions will be successful and our financial operation conditions could be materially impacted.</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rely on services provided by Amazon’s fulfillment platform, including Prime Certification, which provides for expedited shipping to the consumer, an important aspect in the buying decision for consumers. For products that we fulfill ourselves, we are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 Failure to remain compliant with the best fulfillment practices on Amazon’s platform could have a material impact on our business, results of operations, financial condition and prospects. In addition, due to the COVID-19 pandemic, Amazon has changed the amount of inventory it accepts per product for a period of time. If this were to continue it could cause us to miss sales and/or pay additional shipping costs which would harm our business operations and financial conditions.</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build and maintain strong product listings on e-commerce platforms and to receive favorable customer reviews. If we receive negative reviews, customer complaints, negative publicity or otherwise fail to live up to expectations, it could materially adversely affect our business, results of operations and growth prospects.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Customer complaints or negative publicity about our sites, products, delivery times, customer data handling and security practices, customer support or marketing strategies, even if not accurate, especially on Amazon’s marketplace, blogs, and social media websites could diminish consumers’ views of our product listings and result in harm to our brands. Even a small decrease in any of our product’s ratings on the Amazon marketplace could cause such product to suffer substantial harm. Customers may also make safety-related or other claims regarding a product sold through our online retail partners, such as Amazon, which may result in any such online retail partner removing the product from its marketplace. We have from time to time experienced such removals and such removals may materially impact our financial results depending on the product that is removed and length of time that it is removed.</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Unfortunately, a significant portion of our perceived performance by each customer depends on third parties outside of our control, including suppliers and logistics providers who deliver our products. In addition to issues related to the COVID-19 pandemic as addressed above, we may be subject to manufacturing or shipping delays or disruptions caused by a number of factors, including inclement weather, earthquakes, blizzards, tornadoes, floods, power outages and other natural or man-made disasters, including those caused by climate change, labor or social justice activism, health epidemics, bioterrorism, acts of war or other political hostilities. Because we rely on national, regional and local transportation companies for the delivery of some of our products, we are also subject to risks of breakage or other damage to our products during delivery by any of these third parties. We also use and rely on other services from third parties, such as our telecommunications services, and those services may be subject to outages and interruptions that are not within our control. If any of the foregoing occurs, it may impact our perceived performance and related reviews of our products, which could materially adversely affect our business, results of operations and growth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merchandise returns could harm our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allow our customers to return products, subject to our return policy. If merchandise returns are significant, our business, prospects, financial condition and results of operations could be harmed. Further, we may modify our policies relating to returns from time to time, which may result in customer dissatisfaction or an increase in the number of product returns. From time to time our products are damaged in transit, which can increase return rates and harm our brand. Our refund liability for sales returns was $0.5 million, and $0.6 million for the years ended December 31, 2020 and December 31, 2021, respectively, which is included in accrued liabilities and represents the expected value of refunds that may be due to our customers. We have seen increased returns on certain SKUs and the 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right="80"/>
        <w:spacing w:after="0" w:line="277" w:lineRule="auto"/>
        <w:rPr>
          <w:sz w:val="20"/>
          <w:szCs w:val="20"/>
          <w:color w:val="auto"/>
        </w:rPr>
      </w:pPr>
      <w:r>
        <w:rPr>
          <w:rFonts w:ascii="Arial" w:cs="Arial" w:eastAsia="Arial" w:hAnsi="Arial"/>
          <w:sz w:val="18"/>
          <w:szCs w:val="18"/>
          <w:color w:val="auto"/>
        </w:rPr>
        <w:t>commerce economy globally has seen increased returns since the start of the COVID-19 pandemic. If we experience significant product returns, we would incur significant expenses and our results of operations and financial condition would be adversely affected.</w:t>
      </w:r>
    </w:p>
    <w:p>
      <w:pPr>
        <w:spacing w:after="0" w:line="38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may be unable to retain or motivate key personnel or hire, retain and motivate qualified personnel, in part due to our use of stock-based compensation and the volatility of our common stock, and our business could be harmed.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future success depends on our continuing ability to attract, develop, motivate and retain highly qualified and skilled employees. The loss of one or more of our key personnel or the inability to promptly identify a suitable successor to a key role could have an adverse effect on our business. We do not currently maintain key-person life insurance policies on any member of our senior management team and other key employees, except for our Founder and Chief Executive Officer, Yaniv Sarig.</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Competition for well-qualified employees in all aspects of our business, including senior executives, software engineers and other technology professionals, is intense globally. We do not have long-term employment or non-competition agreements with any of our personnel. Our continued ability to compete effectively depends on our ability to attract new employees and to retain and motivate existing employees. In particular, our software engineers and technology professionals are key to designing, maintaining and improving code and algorithms necessary to our business. In addition,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use stock-based compensation as a method to attract, retain and motivate our employees, and if our common stock continues to be volatile, we may be unable to attract well-qualified employees or retain and motivate existing employees and key senior management at cost-effective compensation levels, and if this occurs, our business, results of operations, financial condition and prospects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Credit Facility contain restrictive covenants that may limit our operating flexibility.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22, 2021, we entered into Credit and Security Agreement with Midcap Funding IV Trust, pursuant to which we received access to a $40.0 million revolving credit facility (the “Credit Facility”). The Credit Facility contains affirmative and restrictive covenants that limit our operating ability including to, among other things, transfer or dispose of assets, merge with other companies or consummate certain changes of control, pay dividends, incur additional indebtedness and liens and enter into new businesses. The Credit Facility also contains affirmative and restrictive covenants that limit our ability including to, among other things, acquire other companies and modify organizational documents. We therefore may not be able to engage in any of the foregoing transactions unless we obtain the consent of our lenders. In addition, the Credit Facility is secured by all of our inventory, and the Credit Facility requires us to satisfy certain covenants, including maintaining either a minimum amount of liquidity or a minimum amount of availability under the Credit Facility.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Facility would adversely affect our business. Further, at any time, if we violate the terms of the Credit Facility or otherwise fail to meet our covenants, we may not be able to obtain a waiver from the lenders under satisfactory terms, if at all, which would limit our operating flexibility and/or liquidity and which would have an adverse effect on our business and prospects.</w:t>
      </w: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evaluating acquisition targets in a challenging and evolving environment and, our ability to acquire targets at a low multiple may not be viable or such acquisitions could divert our management’s attention.</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Acquisitions are important to the success of our business and overall corporate strategy, and the inherent risks associated with these transactions have increased due to the global disruption of the COVID-19 pandemic which has affected our potential acquisition targets similarly to how it has affected us, as described elsewhere in this “Risk Factors” section.</w:t>
      </w:r>
    </w:p>
    <w:p>
      <w:pPr>
        <w:spacing w:after="0" w:line="18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Acquisitions of early stage brands may have benefits, such as smaller upfront purchase prices, but also have risks such as limited operating history, less experienced management teams and under-developed systems. As we continue to expand our business and invest in businesses of increasing size with higher performance levels and growing product portfolios, we may face increasing competition in our efforts. As a result of increased competition within the industry we operate, our ability to buy companies at a low multiple may not be viable. Through increased competition, the possibility that the cost of acquisitions may be driven up may adversely affect our long-term business strategy, financial condition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jc w:val="both"/>
        <w:ind w:right="100"/>
        <w:spacing w:after="0" w:line="255" w:lineRule="auto"/>
        <w:rPr>
          <w:sz w:val="20"/>
          <w:szCs w:val="20"/>
          <w:color w:val="auto"/>
        </w:rPr>
      </w:pPr>
      <w:r>
        <w:rPr>
          <w:rFonts w:ascii="Arial" w:cs="Arial" w:eastAsia="Arial" w:hAnsi="Arial"/>
          <w:sz w:val="18"/>
          <w:szCs w:val="18"/>
          <w:color w:val="auto"/>
        </w:rPr>
        <w:t>As our business continues to face changing technologies, shifting consumer demands, and frequent introduction of rival products, our success depends on our ability to invest in and adapt to new businesses. Our growth strategy may be adversely affected if we fail to identify, or face increased competition for, suitable acquisition targets.</w:t>
      </w:r>
    </w:p>
    <w:p>
      <w:pPr>
        <w:spacing w:after="0" w:line="3"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In addition, pursuing or completing any such acquisitions could divert our management’s attention, and otherwise disrupt our operations and adversely affect our operating results and our financial condition.</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efforts to expand our business into new brands, products, services, technologies, and geographic regions will subject us to additional business, legal, financial and competitive risks and may not be successful.</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success depends to some extent on our ability to expand our customer offerings by launching new brands, products and services and by expanding our existing offerings into new geographies. Our strategy is to use our proprietary software to determine which markets to enter and optimize the mix of products that we offer. Launching new brands, products and services requires significant upfront investments, including investments in marketing, information technology and additional personnel. We operate in highly competitive industries with relatively low barriers to entry and must compete successfully in order to grow our business. As our business expands into new industries, we may not be able to generate satisfactory revenue from these efforts to offset these upfront investments. Any lack of market acceptance of our efforts to launch new brands, products and services or to expand our existing offerings could have a material adverse effect on our business, prospects, financial condition and results of operations. Further, as we continue to expand our fulfillment capability or add new brands, products and services with different requirements, our logistics networks will become increasingly complex and operating them will become more challenging. There can be no assurance that we will be able to operate our networks effectively. We have also entered and may continue to enter new markets and provide product offerings in which we have limited or no experience, which may not be successful or appealing to our customers. In addition, as we enter new markets certain employees are developing specific product level expertise. As discussed elsewhere in this “Risk Factors” section, we may have difficulty retaining such employees and if any of these employees with specific product level expertise leave us, we may face difficulties in maintaining or replacing such specific expertise.</w:t>
      </w:r>
    </w:p>
    <w:p>
      <w:pPr>
        <w:spacing w:after="0" w:line="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existing features, pinpoint new markets and introduce new products. We expend significant resources on research and development of our products in order to meet our customers’ rapidly evolving demands. The success of any enhancements or new features depends on several factors, including timely completion, adequate quality testing, actual performance quality, market-accepted pricing levels and overall market acceptance. We may not be successful in these efforts, which could result in significant expenditures that could impact our revenue or distract management’s attention from current offerings.</w:t>
      </w:r>
    </w:p>
    <w:p>
      <w:pPr>
        <w:spacing w:after="0" w:line="16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Increased emphasis on the sale of new products or on acquisitions could distract us from focusing on sales of our existing products in existing markets, negatively affecting our overall sales. We have invested and expect to continue to invest in new businesses, products, features, services and technologies. Such endeavors may involve significant risks and uncertainties, including insufficient revenue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Because these new strategies and offerings are inherently risky, no assurance can be given that they will be successful. Our new features or enhancements could fail to attain sufficient market acceptance for many reasons, including: delays in introducing products in new or current markets; failure to accurately predict market demand or end consumer preferences; defects, errors or failures in our manufacturing; introduction of competing products; poor financial conditions for our customers or poor general macroeconomic conditions; changes in legal or regulatory requirements, or increased legal or regulatory scrutiny, adversely affecting our products; failure of our brand promotion activities or negative publicity about the performance or effectiveness of our existing features and products; and disruptions or delays in the online retailers and, or in addition to, logistics providers distributing our products.</w:t>
      </w:r>
    </w:p>
    <w:p>
      <w:pPr>
        <w:spacing w:after="0" w:line="17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There is no assurance that we will successfully identify new opportunities or develop and bring new products to market on a timely basis, which could materially and adversely affect our business, financial condition and operating results and compromise our ability to generate revenue.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operations internationally requires management attention and resources, involves additional risks and may be unsuccessful.</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limited experience with operating internationally or selling our merchandise outside of the U.S., and as we expand internationally, we will need to adapt to different local cultures, standards and policies. The business model and technology we employ and the merchandise we currently offer may not be successful with consumers outside of the U.S. Furthermore, to succeed with consumers and clients in international locations, it may be necessary to locate fulfillment centers in foreign markets and hire local employees in those international centers, and we may have to invest in these facilities and personnel before proving we can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t>successfully run foreign operations. We may not be successful in expanding into international markets or in generating revenue from foreign operations for a variety of reasons, including: localization of our merchandise offerings and technology, including translation into foreign languages and adaptation for local practices; availability of certain technology features and availability of data, including at reasonable costs; different consumer demand dynamics, which may make our business model, technology and the products we offer less successful compared to in the U.S.; competition from local incumbents that understand the local market and may operate more effectively; regulatory requirements, taxes, trade laws, trade sanctions and economic embargoes, tariffs, import and export quotas, custom duties or other trade restrictions or any unexpected changes thereto; laws and regulations regarding anti-bribery and anti-corruption compliance; differing labor regulations where labor laws may be more advantageous to employees as compared to the U.S. and increased labor costs; more stringent regulations relating to privacy and data security and access to, or use of, commercial and personal information; changes in a specific country’s or region’s political or economic conditions, including changes to or limits on access to internet connectivity; and risks resulting from changes in currency exchange rates.</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7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additional dilution to our stockholders, may decline in financial performance post closing and otherwise disrupt our operations and adversely affect our operating results.</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in the future seek to acquire or invest in businesses, features or technologies that we believe could complement or expand our market,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to the extent that we enter into any term sheets or otherwise announce any intention to acquire any additional businesses, features or technologies, any such acquisition would generally be subject to completion of due diligence and required approvals, and would likely require additional financing, and there can be no assurance that any such acquisition will occur or be completed in a timely manner, or at all. There can also be no assurances that any acquired companies or technologies will maintain the same level of financial performance as prior to the acquisition and if that were to occur our business, financial condition and operations could be adversely affected.</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failure to successfully integrate our acquired businesses or any failure to maintain the same level or better financial performance may adversely affect our business and operations.</w:t>
      </w:r>
    </w:p>
    <w:p>
      <w:pPr>
        <w:spacing w:after="0" w:line="62"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Over the past years, we have completed several acquisitions, and plan to continue making acquisitions in the future. We believe that acquisitions may further our growth strategy. In order to obtain the anticipated benefits associated with these acquisitions, we will need to successfully integrate these businesses in an effective and efficient manner. If we acquire additional businesses, we may not be able to integrate the acquired personnel, operations, existing contracts and technologies successfully or effectively manage the combined business following the acquisition. We also may not achieve the anticipated benefits from any acquired business, due to a number of factors, including:</w:t>
      </w:r>
    </w:p>
    <w:p>
      <w:pPr>
        <w:spacing w:after="0" w:line="68" w:lineRule="exact"/>
        <w:rPr>
          <w:sz w:val="20"/>
          <w:szCs w:val="20"/>
          <w:color w:val="auto"/>
        </w:rPr>
      </w:pPr>
    </w:p>
    <w:p>
      <w:pPr>
        <w:jc w:val="both"/>
        <w:ind w:left="1000" w:hanging="35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or technology and cybersecurity, including issues related to intellectual property, regulatory compliance practices, product quality and safety, supply chain integration, revenue recognition or other accounting practices, or employee or client issues;</w:t>
      </w:r>
    </w:p>
    <w:p>
      <w:pPr>
        <w:spacing w:after="0" w:line="75" w:lineRule="exact"/>
        <w:rPr>
          <w:rFonts w:ascii="Arial" w:cs="Arial" w:eastAsia="Arial" w:hAnsi="Arial"/>
          <w:sz w:val="18"/>
          <w:szCs w:val="18"/>
          <w:color w:val="auto"/>
        </w:rPr>
      </w:pPr>
    </w:p>
    <w:p>
      <w:pPr>
        <w:ind w:left="1000" w:right="600" w:hanging="35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incorporating acquired technology and rights into our proprietary software while maintaining quality and security standards consistent with our brands;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acquisition-related costs or any equity dilution associated with funding the acquisition;</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55" w:lineRule="exact"/>
        <w:rPr>
          <w:rFonts w:ascii="Arial" w:cs="Arial" w:eastAsia="Arial" w:hAnsi="Arial"/>
          <w:sz w:val="17"/>
          <w:szCs w:val="17"/>
          <w:color w:val="auto"/>
        </w:rPr>
      </w:pPr>
    </w:p>
    <w:p>
      <w:pPr>
        <w:ind w:left="1000" w:hanging="35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new markets or new product categories in which we have limited or no experience;</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converting the customers of the acquired business into our customers;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our management’s attention from other business concerns;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as a result of the acquisition;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left="1000" w:hanging="35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loss of key employees, clients, vendors and suppliers from either our current business or an acquired company’s business;</w:t>
      </w:r>
    </w:p>
    <w:p>
      <w:pPr>
        <w:spacing w:after="0" w:line="155" w:lineRule="exact"/>
        <w:rPr>
          <w:rFonts w:ascii="Arial" w:cs="Arial" w:eastAsia="Arial" w:hAnsi="Arial"/>
          <w:sz w:val="17"/>
          <w:szCs w:val="17"/>
          <w:color w:val="auto"/>
        </w:rPr>
      </w:pPr>
    </w:p>
    <w:p>
      <w:pPr>
        <w:ind w:left="1000" w:hanging="35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write offs or impairment charges relating to acquired businesses;</w:t>
      </w:r>
    </w:p>
    <w:p>
      <w:pPr>
        <w:spacing w:after="0" w:line="144" w:lineRule="exact"/>
        <w:rPr>
          <w:rFonts w:ascii="Arial" w:cs="Arial" w:eastAsia="Arial" w:hAnsi="Arial"/>
          <w:sz w:val="18"/>
          <w:szCs w:val="18"/>
          <w:color w:val="auto"/>
        </w:rPr>
      </w:pPr>
    </w:p>
    <w:p>
      <w:pPr>
        <w:ind w:left="1000" w:right="540" w:hanging="35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unforeseen or undisclosed previous issues relating to the acquired businesses’ compliance with all regulatory requirements or marketplace terms of service;</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regulatory matters covering the products of the acquired business; and</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or the need to seek or obtain additional financing to consummate the acquisition.</w:t>
      </w:r>
    </w:p>
    <w:p>
      <w:pPr>
        <w:spacing w:after="0" w:line="2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a significant portion of the purchase price of any business we acquire may be allocated to acquired goodwill and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 There can also be no assurances that any acquired companies or technologies will maintain the same level of financial performance as prior to the acquisition and if that were to occur our business, financial condition and operations could be adversely affected.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If an acquired business fails to meet our expectations, our business, operating results and financial condition may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third-party manufacturers, most of which are located in China.</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substantial portion of our products are manufactured by unaffiliated companies that are located in China. This concentration of manufacturers in a single country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and other nations is continuously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manufacture of several of our products, including our dehumidifiers. If we were no longer able to maintain that relationship for any reason, we may not be able to timely find another manufacturer, specifically one that provides the same quality, which would negatively affect our business, sales and results of operations.</w:t>
      </w:r>
    </w:p>
    <w:p>
      <w:pPr>
        <w:spacing w:after="0" w:line="18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understanding with most of our suppliers do not provide for the long-term availability of merchandise or the continuation of particular pricing practices, nor do they usually restrict such suppliers from selling products to other buyers or directly to consumers themselves. There can be no assurance that our current suppliers will continue to sell us products on current terms or that we will be able to establish new or otherwise extend current supply relationships to ensure product acquisitions in a timely and efficient manner and on acceptable commercial terms.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 and Cyber Security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use open source software in our proprietary software AIMEE, and other of our sophisticated information technologies and systems, and we expect to continue to use open source software in the future. We may use open source software that may require that source code that is developed using such open source software be made available to the public and that any modifications or derivative works to such open source software continue to be licensed under open source licenses. From time to time, we may face claims from third parties claiming infringement. These claims could result in litigation and could require us to purchase a costly license, publicly release the affected portions of our source code, limit our use of or cease using the implicated software unless and until we can re-engineer such software to avoid infringement or change the use of the implicated open source software. These claims could also lead to deactivation of portions of our technology.</w:t>
      </w:r>
    </w:p>
    <w:p>
      <w:pPr>
        <w:spacing w:after="0" w:line="17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In addition to risks related to license requirements, use of certain open source software can lead to greater risks than use of third-party commercial software, as open source licensors generally do not provide warranties, indemnities or other contractual protections with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color w:val="auto"/>
        </w:rPr>
        <w:t>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 Any of these risks could be difficult to eliminate or manage, and, if not addressed, could have a material adverse effect on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data provided by third parties, the loss or reduction of which could limit the functionality of our platforms or disrupt our business.</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our technology to determine market trends and what markets to enter into. Our ability to successfully use our technology depends on our ability to analyze and utilize data, including search engine results, provided by unaffiliated third parties, primarily, Google and Amazon. Some of this data is provided to us pursuant to third-party data sharing policies and terms of use, under data sharing agreements by third-party providers or by customer consent. The majority of this data is sourced for free or for de minimis amounts. Our technology sources significant amounts of data through application program interfaces (“APIs”) or through other standard data upload/download methods. This source of data allows us, leveraging our technology, to determine trends, performance and consumer sentiment on products and searches within e-commerce platforms. This functionality allows us to help determine which products to market, manufacture through contract manufacturers, import and sell on e-commerce marketplaces. The connection to multiple e-commerce platforms through APIs allows us to develop the automation of the purchase of marketing and to automate pricing changes on product listings on those e-commerce platforms.</w:t>
      </w:r>
    </w:p>
    <w:p>
      <w:pPr>
        <w:spacing w:after="0" w:line="19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future, any of these third parties could change its data sharing policies, including making them more restrictive, charging fees or altering its algorithms that determine the placement, display and accessibility of search results and social media updates, any of which could result in the loss of, or significant impairment to, our ability to collect useful data. These third parties could also interpret our, or our service providers’, data collection policies or practices as being inconsistent with their policies, which could result in the loss of our ability to collect this data. Privacy concerns may cause end users to resist providing the personal data necessary to allow our proprietary software to determine market trends as well as our ability to effectively retain existing customers. Privacy advocacy groups and the technology and other industries are considering various new, additional or different self-regulatory standards that may place additional burdens on us. Any such changes could impair our ability to use data and could adversely impact select functionality of our proprietary software, impairing the ability to use this data to anticipate customer demand and market trends, as well as adversely affecting our business and our ability to generate revenue.</w:t>
      </w:r>
    </w:p>
    <w:p>
      <w:pPr>
        <w:spacing w:after="0" w:line="18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sell and market our products relies on the performance and continued development of our technology. Our technology’s functionality, including its continued development, relies upon a number of third-party related services, including those relating to cloud infrastructure, technology services, servers, open source libraries and vendor APIs. Any disruption or loss of any of these third-party services could have a negative effect on our business, results of operations, financial condition and prospects. We may experience interruptions in our systems, including server failures that temporarily slow down or interfere with the performance of our platforms and the ability to sell on e-commerce marketplaces. Interruptions in these systems, whether due to system failures, human input errors, computer viruses, physical or electronic break-ins, or denial-of-service attacks on us, third-party vendors or communications infrastructure, could affect the availability of our services on our platform and prevent or inhibit our ability to sell our products. The volume of traffic and activity on e-commerce marketplaces spikes on certain days, such as on Amazon Prime Day, Black Friday and Cyber Monday, and any such interruption would be particularly problematic if it were to occur on such a high-volume day. Problems with the reliability of our systems or third-party marketplaces could prevent us from earning revenue and could harm our reputation. Damage to our reputation, any resulting loss of customers and e-commerce confidence and the cost of remedying these problems could negatively affect our business, results of operations, financial condition and prospects.</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maintain communications, network and computer hardware in the countries in which they are used may be subject to regulatory review and licensing in the future, and the failure to obtain any required licenses could negatively affect our business. Our systems and infrastructure are predominately reliant on third parties. Problems faced by our third-party service providers with the telecommunications network providers with whom they contract or with the systems by which they allocate capacity among their users, including us, could adversely affect the experience of our consumers.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340"/>
        <w:spacing w:after="0" w:line="277" w:lineRule="auto"/>
        <w:rPr>
          <w:sz w:val="20"/>
          <w:szCs w:val="20"/>
          <w:color w:val="auto"/>
        </w:rPr>
      </w:pPr>
      <w:r>
        <w:rPr>
          <w:rFonts w:ascii="Arial" w:cs="Arial" w:eastAsia="Arial" w:hAnsi="Arial"/>
          <w:sz w:val="18"/>
          <w:szCs w:val="18"/>
          <w:color w:val="auto"/>
        </w:rPr>
        <w:t>have an adverse effect on our business. Any errors, defects, disruptions or other performance problems with our services could harm our reputation and may have a material adverse effect on our business, results of operations, financial condition and prospects.</w:t>
      </w:r>
    </w:p>
    <w:p>
      <w:pPr>
        <w:spacing w:after="0" w:line="19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and may allow transaction data or other confidential and sensitive information to be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or disruptions that may jeopardize the security of information stored in or transmitted by our websites, networks and systems that we or such third party service providers otherwise maintain, including payment card systems, which may subject us to fines or higher transaction fees or limit or terminate our access to certain payment methods. We and such third party service providers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unintentional breaches by our employees or by third parties. These risks may increase over time as the complexity and number of technical systems and applications we use also increases.</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Breaches of our security measures or those of our third-party service providers or other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been the target of social engineering, phishing, malware and similar attacks and threats of denial-of-service attacks. While we have yet to experience any material adverse effects from these attempted attacks, such attacks in the future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increased costs, including costs to deploy additional personnel and protection technologies, train employees and engage third-party experts and consultants.</w:t>
      </w:r>
    </w:p>
    <w:p>
      <w:pPr>
        <w:spacing w:after="0" w:line="18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may experience periodic system interruptions from time to time. In addition, continued growth in our transaction volume, and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such increases, if any, in the use of our sites and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1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140"/>
        <w:spacing w:after="0" w:line="263" w:lineRule="auto"/>
        <w:rPr>
          <w:sz w:val="20"/>
          <w:szCs w:val="20"/>
          <w:color w:val="auto"/>
        </w:rPr>
      </w:pPr>
      <w:r>
        <w:rPr>
          <w:rFonts w:ascii="Arial" w:cs="Arial" w:eastAsia="Arial" w:hAnsi="Arial"/>
          <w:sz w:val="18"/>
          <w:szCs w:val="18"/>
          <w:color w:val="auto"/>
        </w:rPr>
        <w:t>security breaches, and we may need to devote significant resources in the future to address problems caused by breaches, including notifying affected subscribers and responding to any resulting litigation, which in turn, may divert resources from the growth and expansion of our business. To date, we are not aware of any material compromises or breaches of our networks or systems.</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misappropriation by us of their intellectual property rights or confidential know-how could result in significant costs and substantially harm our business and results of operations.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Third parties have asserted, and may in the future assert, that we have infringed or misappropriated their trademarks, copyrights, confidential know-how, trade secrets, patents or other intellectual property rights. We cannot predict whether any such assertions or claims arising from such assertions will substantially harm our business and results of operations, whether or not they are successful. If we are forced to defend against any infringement or other claims relating to the trademarks, copyright, confidential know how, trade secrets, patents or other intellectual property rights of third parties, whether they are with or without merit or are determined in our favor, we may face costly litigation or diversion of technical and management personnel. Furthermore, the outcome of a dispute may be that we would need to cease selling a product or use of some portion of our technology, develop non-infringing technology, pay damages, costs or monetary settlements or enter into royalty or licensing agreements. Royalty or licensing agreements, if required, may be unavailable on terms acceptable to us, or at all, and we may be unable to successfully develop non-infringing technology. In addition, Amazon and other marketplaces may remove a product listing if they determine, whether or not accurate, that we are infringing on the intellectual property of others. Any assertions or litigation could materially adversely affect our business, results of operations, financial condition and prospects.</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e-commerce industry is characterized by vigorous protection and pursuit of intellectual property rights, which has resulted in protracted and expensive litigation for many companies. Some companies, including some of our competitors, own large numbers of patents, copyrights and trademarks, which they may use to assert claims against us. In addition, because patent applications can take years to issue and are often afforded confidentiality for some period of time, there may currently be pending applications, unknown to us, that later result in issued patents that could cover one or more of our technologies. For example, </w:t>
      </w:r>
      <w:r>
        <w:rPr>
          <w:rFonts w:ascii="Arial" w:cs="Arial" w:eastAsia="Arial" w:hAnsi="Arial"/>
          <w:sz w:val="18"/>
          <w:szCs w:val="18"/>
          <w:color w:val="222222"/>
        </w:rPr>
        <w:t>the Company has received informal notice from a third-party alleging patent infringement with respect to certain paper transfer</w:t>
      </w:r>
      <w:r>
        <w:rPr>
          <w:rFonts w:ascii="Arial" w:cs="Arial" w:eastAsia="Arial" w:hAnsi="Arial"/>
          <w:sz w:val="17"/>
          <w:szCs w:val="17"/>
          <w:color w:val="auto"/>
        </w:rPr>
        <w:t xml:space="preserve"> </w:t>
      </w:r>
      <w:r>
        <w:rPr>
          <w:rFonts w:ascii="Arial" w:cs="Arial" w:eastAsia="Arial" w:hAnsi="Arial"/>
          <w:sz w:val="18"/>
          <w:szCs w:val="18"/>
          <w:color w:val="222222"/>
        </w:rPr>
        <w:t>products sold by the Company. The Company is in discussions with representatives of the third party to resolve the matter, does not believe it is infringing any active patents of the third party and intends to defend itself vigorously.</w:t>
      </w:r>
    </w:p>
    <w:p>
      <w:pPr>
        <w:spacing w:after="0" w:line="1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Certain third parties have substantially greater resources than we have and may be able to sustain the costs of intellectual property litigation for longer periods of time than we can. Even if we were to prevail in such a dispute, any litigation regarding our intellectual property could be costly and time-consuming and divert the attention of our management and key personnel from our business operations.</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success depends, in part, on our ability to protect our proprietary methods, trademarks, domain names, copyrights, patents, trade dress, trade secrets, proprietary technology and similar intellectual property, and we rely on trademark, copyright and patent law, trade secret protection, agreements and other methods with our employees and others to protect our proprietary rights. There can be no assurance that the particular forms of intellectual property protection that we seek and implement, including business decisions about when to file trademark applications and patent applications, will be adequate to protect our business. We intend to continue to file and prosecute patent applications when appropriate to attempt to protect our rights in our proprietary technologies. However, there can be no assurance that our patent applications will be approved, that any patents issued will adequately protect our intellectual property, that the scope of the claims in our issued patents will be sufficient or have the coverage originally sought, that our issued patents will provide us with any competitive advantages, or that such patents will not be challenged by third parties or found by a judicial authority to be invalid or unenforceable.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may fail, and even if successful, could be costly, time-consuming and distracting to management and could result in a diversion of significant resources. Our efforts to enforce our intellectual property rights may be met with defenses, counterclaims and countersuits attacking the validity and enforceability of our intellectual property rights or alleging that we infringe the counterclaimant’s own intellectual property. An adverse determination of any litigation or defense proceedings could put our intellectual property at risk of being invalidated or interpreted narrowly and could put our related pending patent applications at risk of not being issued. Furthermore, because of the substantial amount of discovery required in connection with intellectual property litigation, there is a risk that some of our confidential or sensitive information could be compromised by disclosure in the event of litigation. During the course of litigation, there could be public announcements of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200"/>
        <w:spacing w:after="0" w:line="277" w:lineRule="auto"/>
        <w:rPr>
          <w:sz w:val="20"/>
          <w:szCs w:val="20"/>
          <w:color w:val="auto"/>
        </w:rPr>
      </w:pPr>
      <w:r>
        <w:rPr>
          <w:rFonts w:ascii="Arial" w:cs="Arial" w:eastAsia="Arial" w:hAnsi="Arial"/>
          <w:sz w:val="18"/>
          <w:szCs w:val="18"/>
          <w:color w:val="auto"/>
        </w:rPr>
        <w:t>results of hearings, motions or other interim proceedings or developments. If securities analysts or investors perceive these results to be negative, it could have a substantial adverse effect on the price of our common stock.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of our intellectual property rights could be challenged by others or invalidated through administrative processes or litigation. Furthermore, there can be no guarantee that others will not independently develop similar products, duplicate any of our products or design around our patents. Despite our efforts, we may be unable to prevent third parties from infringing upon, misappropriating or otherwise violating our intellectual property rights and other proprietary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Litigation and Government Regulation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subject to general litigation, regulatory disputes and government inquiries. Any failure to comply with current laws, rules and regulations or changes to such laws, rules and regulations and other legal uncertainties may adversely affect our business, financial performance, results of operations or business growth.</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a party to various actions and claims arising in the normal course of business, certain of which are indicated below:</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12529"/>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copy of the energy-efficiency report and certification that were issued for the dehumidifier model at the time of production. We believe this product is compliant, and we, in conjunction with our manufacturing partner, have disputed the Test Notice received from the DOE.</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12529"/>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12529"/>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had placed a hold on the sale of certain of our dehumidifier inventory while it reviewed the matter with us. As of October 2020, we are able to resume selling the products identified by the EPA, and discussions are continuing with the EPA. No penalty has been assessed by the EPA or communicated to us. If we receive a similar notice from the EPA in the future with regards to regulatory compliance of any of our other products, the EPA may place a hold on the sale of our products while it reviews an open matter with us.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On May 13, 2021, a securities class action complaint was filed in the U.S. District Court for the Southern District of New York by Andrew Tate naming our company, Yaniv Sarig and Fabrice </w:t>
      </w:r>
      <w:r>
        <w:rPr>
          <w:rFonts w:ascii="Arial" w:cs="Arial" w:eastAsia="Arial" w:hAnsi="Arial"/>
          <w:sz w:val="16"/>
          <w:szCs w:val="16"/>
          <w:color w:val="222222"/>
        </w:rPr>
        <w:t>Hamaide as defendants. On June 10, 2021, a substantially similar securities class action complaint was filed in the same</w:t>
      </w:r>
      <w:r>
        <w:rPr>
          <w:rFonts w:ascii="Arial" w:cs="Arial" w:eastAsia="Arial" w:hAnsi="Arial"/>
          <w:sz w:val="16"/>
          <w:szCs w:val="16"/>
          <w:color w:val="auto"/>
        </w:rPr>
        <w:t xml:space="preserve"> </w:t>
      </w:r>
      <w:r>
        <w:rPr>
          <w:rFonts w:ascii="Arial" w:cs="Arial" w:eastAsia="Arial" w:hAnsi="Arial"/>
          <w:sz w:val="16"/>
          <w:szCs w:val="16"/>
          <w:color w:val="222222"/>
        </w:rPr>
        <w:t>court by Jeff Coon against the same defendants. Thereafter, other stockholders asserted similar claims. On August 10, 2021, the court appointed Joseph Nolff as the lead plaintiff of the putative class action, and on October 12, 2021, he filed an amended complaint, (i) adding Arturo Rodriguez as a defendant,</w:t>
      </w:r>
    </w:p>
    <w:p>
      <w:pPr>
        <w:spacing w:after="0" w:line="1" w:lineRule="exact"/>
        <w:rPr>
          <w:sz w:val="20"/>
          <w:szCs w:val="20"/>
          <w:color w:val="auto"/>
        </w:rPr>
      </w:pPr>
    </w:p>
    <w:p>
      <w:pPr>
        <w:ind w:right="100" w:firstLine="8"/>
        <w:spacing w:after="0" w:line="271" w:lineRule="auto"/>
        <w:tabs>
          <w:tab w:leader="none" w:pos="265" w:val="left"/>
        </w:tabs>
        <w:numPr>
          <w:ilvl w:val="0"/>
          <w:numId w:val="16"/>
        </w:numPr>
        <w:rPr>
          <w:rFonts w:ascii="Arial" w:cs="Arial" w:eastAsia="Arial" w:hAnsi="Arial"/>
          <w:sz w:val="17"/>
          <w:szCs w:val="17"/>
          <w:color w:val="222222"/>
        </w:rPr>
      </w:pPr>
      <w:r>
        <w:rPr>
          <w:rFonts w:ascii="Arial" w:cs="Arial" w:eastAsia="Arial" w:hAnsi="Arial"/>
          <w:sz w:val="17"/>
          <w:szCs w:val="17"/>
          <w:color w:val="222222"/>
        </w:rPr>
        <w:t>asserting violations of Sections 10(b) and 20(a) of the Securities Exchange Act of 1934, as amended (the “Exchange Act”), and Rule 10b-5 promulgated thereunder and (iii) claiming that the defendants made false and materially misleading statements and failed to disclose material adverse facts regarding our business, operations, and prospects and that this was revealed on May 4, 2021, when Culper Research published a report allegedly exposing these alleged misrepresentations and omissions. The lead plaintiff has since filed two further amended complaints repeating substantively the same allegations. The Company recently reached an agreement in principle to resolve this action on March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640"/>
        <w:spacing w:after="0" w:line="277" w:lineRule="auto"/>
        <w:rPr>
          <w:sz w:val="20"/>
          <w:szCs w:val="20"/>
          <w:color w:val="auto"/>
        </w:rPr>
      </w:pPr>
      <w:r>
        <w:rPr>
          <w:rFonts w:ascii="Arial" w:cs="Arial" w:eastAsia="Arial" w:hAnsi="Arial"/>
          <w:sz w:val="18"/>
          <w:szCs w:val="18"/>
          <w:color w:val="222222"/>
        </w:rPr>
        <w:t>10, 2022 for $1.3 million, subject to negotiation of a formal memorandum of understanding, the execution of final settlement documents, and court approval. If that process does not succeed, the Company is prepared to continue the full defense of this action.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October 21, October 25 and November 10, 2021, three </w:t>
      </w:r>
      <w:r>
        <w:rPr>
          <w:rFonts w:ascii="Arial" w:cs="Arial" w:eastAsia="Arial" w:hAnsi="Arial"/>
          <w:sz w:val="17"/>
          <w:szCs w:val="17"/>
          <w:color w:val="222222"/>
        </w:rPr>
        <w:t>shareholder derivative actions</w:t>
      </w:r>
      <w:r>
        <w:rPr>
          <w:rFonts w:ascii="Arial" w:cs="Arial" w:eastAsia="Arial" w:hAnsi="Arial"/>
          <w:sz w:val="17"/>
          <w:szCs w:val="17"/>
          <w:color w:val="auto"/>
        </w:rPr>
        <w:t xml:space="preserve"> were filed on behalf of our company by Shaoxuan Zhang, </w:t>
      </w:r>
      <w:r>
        <w:rPr>
          <w:rFonts w:ascii="Arial" w:cs="Arial" w:eastAsia="Arial" w:hAnsi="Arial"/>
          <w:sz w:val="17"/>
          <w:szCs w:val="17"/>
          <w:color w:val="222222"/>
        </w:rPr>
        <w:t xml:space="preserve">Michael Sheller and Tyler Magnus in the </w:t>
      </w:r>
      <w:r>
        <w:rPr>
          <w:rFonts w:ascii="Arial" w:cs="Arial" w:eastAsia="Arial" w:hAnsi="Arial"/>
          <w:sz w:val="17"/>
          <w:szCs w:val="17"/>
          <w:color w:val="000000"/>
        </w:rPr>
        <w:t>U.S. District Court for the Southern District of New York. These actions, collectively, name</w:t>
      </w:r>
      <w:r>
        <w:rPr>
          <w:rFonts w:ascii="Arial" w:cs="Arial" w:eastAsia="Arial" w:hAnsi="Arial"/>
          <w:sz w:val="17"/>
          <w:szCs w:val="17"/>
          <w:color w:val="222222"/>
        </w:rPr>
        <w:t xml:space="preserve"> Yaniv Sarig, Fabrice Hamaide, Arturo Rodriguez, Greg B. Petersen, Bari A. Harlam, Amy von Walter, </w:t>
      </w:r>
      <w:r>
        <w:rPr>
          <w:rFonts w:ascii="Arial" w:cs="Arial" w:eastAsia="Arial" w:hAnsi="Arial"/>
          <w:sz w:val="17"/>
          <w:szCs w:val="17"/>
          <w:color w:val="000000"/>
        </w:rPr>
        <w:t>William Kurtz, Roi Zion Zahut, Joseph A. Risico, Tomer Pascal and</w:t>
      </w:r>
      <w:r>
        <w:rPr>
          <w:rFonts w:ascii="Arial" w:cs="Arial" w:eastAsia="Arial" w:hAnsi="Arial"/>
          <w:sz w:val="17"/>
          <w:szCs w:val="17"/>
          <w:color w:val="222222"/>
        </w:rPr>
        <w:t xml:space="preserve"> </w:t>
      </w:r>
      <w:r>
        <w:rPr>
          <w:rFonts w:ascii="Arial" w:cs="Arial" w:eastAsia="Arial" w:hAnsi="Arial"/>
          <w:sz w:val="17"/>
          <w:szCs w:val="17"/>
          <w:color w:val="000000"/>
        </w:rPr>
        <w:t>Mihal Chaouat-Fix as individual defendants, and our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we are held liable in the shareholder derivative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We believe the allegations are without merit and intend to vigorously defend against these actions. The parties to these actions have agreed to stay this action pending resolution of the Securities Class Action and given the tentative resolution of the Securities Class Action the Company intends to engage with the parties for a resolution of these matters following finalization of that settlement. However, the outcome of these legal proceedings are currently uncertain.</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20, 2021, Sabby Volatility Warrant Master Fund Ltd. (“Sabby”) sued our company in the Supreme Court of the State of New York, New York County, alleging that we breached the Securities Purchase Agreement, dated June 10, 2021 (the “Purchase Agreement”), pursuant to which Sabby purchased 400,000 shares of our common stock, for an aggregate price of approximately $6 million. Sabby contends that certain of the representations and warranties made by us in the Purchase Agreement concerning our financial condition and the accuracy of our prior disclosures were untrue and that we breached the Purchase Agreement’s anti-dilution and use-of-proceeds covenants on both August 9, 2021 and September 23, 2021, when we resolved certain defaults with High Trail. We intend to vigorously defend against this action, and, on December 15, 2021, we filed a motion to dismiss, which was fully briefed as of February 11, 2022.</w:t>
      </w:r>
    </w:p>
    <w:p>
      <w:pPr>
        <w:spacing w:after="0" w:line="1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October 2021, the Company received a class action notification </w:t>
      </w:r>
      <w:r>
        <w:rPr>
          <w:rFonts w:ascii="Arial" w:cs="Arial" w:eastAsia="Arial" w:hAnsi="Arial"/>
          <w:sz w:val="17"/>
          <w:szCs w:val="17"/>
          <w:color w:val="222222"/>
        </w:rPr>
        <w:t>and pre-lawsuit demand letter demanding corrective action with respect to the</w:t>
      </w:r>
      <w:r>
        <w:rPr>
          <w:rFonts w:ascii="Arial" w:cs="Arial" w:eastAsia="Arial" w:hAnsi="Arial"/>
          <w:sz w:val="17"/>
          <w:szCs w:val="17"/>
          <w:color w:val="auto"/>
        </w:rPr>
        <w:t xml:space="preserve"> </w:t>
      </w:r>
      <w:r>
        <w:rPr>
          <w:rFonts w:ascii="Arial" w:cs="Arial" w:eastAsia="Arial" w:hAnsi="Arial"/>
          <w:sz w:val="17"/>
          <w:szCs w:val="17"/>
          <w:color w:val="222222"/>
        </w:rPr>
        <w:t xml:space="preserve">marketing, advertising and labeling ofcertain products under the Mueller Austria brand. The letter claims that Aterian marketed, advertised, and labeled the products with representations that create the false impression they are made in Austria. The Company intends to vigorously defend against this potential action, which has not reached the stage of litigation yet. The parties are proceeding to mediation in an attempt to reach a reasonable resolution, however the outcome is uncertain at this point. Based on information available to the Company at present, the Company cannot reasonably estimate a range of loss for this potential action </w:t>
      </w:r>
      <w:r>
        <w:rPr>
          <w:rFonts w:ascii="Arial" w:cs="Arial" w:eastAsia="Arial" w:hAnsi="Arial"/>
          <w:sz w:val="17"/>
          <w:szCs w:val="17"/>
          <w:color w:val="000000"/>
        </w:rPr>
        <w:t>We cannot predict the outcome of this dispute with certainty. Regardless of the outcome, these can have an adverse impact on us</w:t>
      </w:r>
      <w:r>
        <w:rPr>
          <w:rFonts w:ascii="Arial" w:cs="Arial" w:eastAsia="Arial" w:hAnsi="Arial"/>
          <w:sz w:val="17"/>
          <w:szCs w:val="17"/>
          <w:color w:val="222222"/>
        </w:rPr>
        <w:t xml:space="preserve"> </w:t>
      </w:r>
      <w:r>
        <w:rPr>
          <w:rFonts w:ascii="Arial" w:cs="Arial" w:eastAsia="Arial" w:hAnsi="Arial"/>
          <w:sz w:val="17"/>
          <w:szCs w:val="17"/>
          <w:color w:val="000000"/>
        </w:rPr>
        <w:t>because of legal costs, diversion of management resources and other factors.</w:t>
      </w:r>
    </w:p>
    <w:p>
      <w:pPr>
        <w:spacing w:after="0" w:line="1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22222"/>
        </w:rPr>
        <w:t>On February 24, 2022, the Company received a notice disputing the Company’s calculation of the earn-out payment to be paid to Josef Eitan and Ran Nir pursuant to the Stock Purchase Agreement (the “PPD Stock Purchase Agreement”), dated as of May 5, 2021, by and among the Company, Truweo, LLC, Photo Paper Direct Ltd, Josef Eitan and Ran Nir. The Company is in discussions with representatives of Josef Eitan and Ran Nir to resolve the matter as required pursuant to the terms of the PPD Stock Purchase Agreement, however the Company believes its calculations are accurate and intends to vigorously defend itself.</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22222"/>
        </w:rPr>
        <w:t>The Company has received informal notice from a third-party alleging patent infringement with respect to certain paper transfer products sold by the Company. The Company is in discussions with representatives of the third party to resolve the matter, does not believe it is infringing any active patents of the third party and intends to defend itself vigorously.</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16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200"/>
        <w:spacing w:after="0" w:line="259" w:lineRule="auto"/>
        <w:rPr>
          <w:sz w:val="20"/>
          <w:szCs w:val="20"/>
          <w:color w:val="auto"/>
        </w:rPr>
      </w:pPr>
      <w:r>
        <w:rPr>
          <w:rFonts w:ascii="Arial" w:cs="Arial" w:eastAsia="Arial" w:hAnsi="Arial"/>
          <w:sz w:val="18"/>
          <w:szCs w:val="18"/>
          <w:color w:val="auto"/>
        </w:rPr>
        <w:t>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products experience any recalls, product liability claims, or government, customer or consumer concerns about product safety or other consumer protection issues, our reputation, financial condition and operating results could be harmed.</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products are subject to regulation by the U.S. Consumer Product Safety Commission, the Federal Trade Commission (“FTC”) and similar state and international regulatory authorities, and such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may be subject to product liability claims if people or property are harmed by the products we sell. Some of the products we sell may expose us to product liability claims or other consumer protection issues and litigation (including class actions) or regulatory action relating to safety, personal injury, and death or environmental or property damage. Although we maintain liability insurance, we cannot be certain that our coverage will be adequate for liabilities actually incurred or that insurance will continue to be available to us on economically reasonable terms, or at all. In general, our agreements with members of our supply chain do not indemnify us from product liability for a particular product, and some members of our supply chain may not have sufficient resources or insurance to satisfy their indemnity and defense obligations.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further tariffs or other restrictions are placed on imports from China or any negative trade measures are taken by China, our business, financial condition and results of operations could be materially and adversely affected.</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purchase a substantial portion of our products from unaffiliated manufacturers that are located in China. This concentration exposes us to risks associated with doing business globally, including changes in tariffs. The Office of the United States Trade Representative previously identified certain Chinese imported goods for additional tariffs to address China’s trade policies and practices. These tariffs could have a material adverse effect on our business and results of operations. Additionally, the Biden administration has canceled tariff exclusions that provided tariff relief to certain products and has yet to signal whether it will reinstate such exclusions or further alter existing trade agreements and terms between China and the U.S., including limiting trade with China, adjusting the current tariffs on imports from China and potentially imposing other restrictions on exports from China to the U.S. Consequently, it is possible that tariffs may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274"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We are subject to U.S. governmental regulation and other legal obligations related to privacy, data protection and information security. If we are unable to comply with these, we may be subject to governmental enforcement actions, litigation, fines and penalties or adverse publicity.</w:t>
      </w:r>
    </w:p>
    <w:p>
      <w:pPr>
        <w:spacing w:after="0" w:line="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collect personally identifiable information and other data from our consumers and prospective consumers. We collect this info automatically through the automated sales processes with e-commerce marketplaces. We, at times, may use this information to provide, support, expand and improve our business, customer service and tailor our marketing and advertising efforts.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such as the FTC, and various state, local and foreign agencies. Our data handling also is subject to contractual obligations and industry standards.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The laws and regulations relating to privacy and data security are evolving, can be subject to significant change and may result in ever-increasing regulatory and public scrutiny and escalating levels of enforcement and sanctions.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60"/>
        <w:spacing w:after="0" w:line="269" w:lineRule="auto"/>
        <w:rPr>
          <w:sz w:val="20"/>
          <w:szCs w:val="20"/>
          <w:color w:val="auto"/>
        </w:rPr>
      </w:pPr>
      <w:r>
        <w:rPr>
          <w:rFonts w:ascii="Arial" w:cs="Arial" w:eastAsia="Arial" w:hAnsi="Arial"/>
          <w:sz w:val="17"/>
          <w:szCs w:val="17"/>
          <w:color w:val="auto"/>
        </w:rPr>
        <w:t>In the U.S., federal and various state governments have adopted or are considering laws, guidelines or rules for the collection, distribution, use and storage of information collected from or about consumers or their devices. For example, California recently passed the California Consumer Privacy Act (the “CCPA”), effective as of January 1, 2020, which introduced substantial changes to privacy law for businesses that collect personal information from California residents. The CCPA has been amended several times, and will be significantly updated from the California Privacy Rights Act (the “CPRA”), a ballot initiative that passed in November 2020. Effective in most material aspects starting on January 1, 2023, the CPRA’s amendments to the CCPA will expand California residents’ rights with respect to certain sensitive personal information and give California residents’ a right to opt out of the sharing of certain personal information for targeted online advertising. The CPRA also created a new state agency vested with authority to implement and enforce the CCPA and the CPRA. Virginia also recently enacted a CCPA/CPRA-like law, the Virginia Consumer Data Privacy Act, to provide its residents with similar rights. Additionally, the FTC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Many data protection regimes apply based on where a consumer is located, and as we expand and new laws are enacted or existing laws change, we may be subject to new laws, regulations or standards or new interpretations of existing laws, regulations or standards, which could require us to incur additional costs and restrict our business operations. Any failure or perceived failure by us to comply with rapidly evolving privacy or security laws, such as the Personal Information Security Specification in China (the “China Specification”), policies (including our own stated privacy policies), legal obligations or industry standards or any security incident that results in the unauthorized release or transfer of personally identifiable information or other consumer data may result in governmental enforcement actions, litigation (including consumer class actions), fines and penalties or adverse publicity and could cause our consumers to lose trust in us, which could have a material adverse effect on our business, results of operations, financial condition and prospects.</w:t>
      </w:r>
    </w:p>
    <w:p>
      <w:pPr>
        <w:spacing w:after="0" w:line="27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We handle credit card and other personal information, and, as such, are subject to governmental regulation and other legal obligations related to the protection of personal data, privacy and information security in certain countries where we do business and there has been and will continue to be a significant increase globally in such laws that restrict or control the use of personal data.</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sensitive nature of such information, we have implemented policies and procedures to preserve and protect our data and our customers’ data against loss, misuse, corruption, misappropriation caused by systems failures, unauthorized access or misuse. Notwithstanding these policies,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Europe, the data privacy and information security regime continues to evolve and is subject to increasing regulatory scrutiny.</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General Data Protection Regulation (“GDPR”) implements stringent operational requirements for our use of personal data. These stringent requirements include expansive disclosures to our consumers about how we may use their personal data, increased controls on profiling customers and increased rights for customers to access, control and delete their personal data. In addition, there are mandatory data breach notification requirements and significantly increased penalties of the greater of €20 million or 4% of our global turnover for the preceding financial year. The U.K.’s Network and Information Systems Regulations 2018 apply to us as an online marketplace and place additional network and information systems security obligations on us, as well as mandatory security incident notification in certain circumstances with penalties of up to £17 million.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To address these concerns, the GDPR set forth enumerated requirements as to how websites are meant to properly handle the collection and use of personal data gathered through cookies. Such regulations may have a negative effect on businesses, including ours, that collect and use online usage information for consumer acquisition and marketing, may increase the cost of operating a business that collects or uses such information and undertakes online marketing, may also increase regulatory scrutiny and may increase potential civil liability under data protection or consumer protection laws.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may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privacy regulations in China that are broader than those of our other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40"/>
        <w:spacing w:after="0" w:line="287" w:lineRule="auto"/>
        <w:rPr>
          <w:sz w:val="20"/>
          <w:szCs w:val="20"/>
          <w:color w:val="auto"/>
        </w:rPr>
      </w:pPr>
      <w:r>
        <w:rPr>
          <w:rFonts w:ascii="Arial" w:cs="Arial" w:eastAsia="Arial" w:hAnsi="Arial"/>
          <w:sz w:val="16"/>
          <w:szCs w:val="16"/>
          <w:color w:val="auto"/>
        </w:rPr>
        <w:t>Although the China Specification is not a mandatory regulation, it nonetheless has a key role in relation to China’s Cyber Security Law in respect of protecting personal information in China. Furthermore, it is likely that the China Specification will be relied on by Chinese government agencies as a standard to determine whether businesses have abided by China’s data protection rules. The China Specification introduced many concepts and protection rules for personal information in China, such as “Data Controller” from GDPR. From a consent perspective the China Specification and GDPR are similar, but the China Specification has broadened the scope of personal sensitive information as compared to GDPR (including but not limited to phone number, transaction record and purchase history, bank account, browser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17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risks related to climate change, including potentially increased legislative and regulatory burdens and changing customer preferences, and we may be subject to related lawsuits, all of which could have a material adverse effect on our business, prospects, financial condition and results of operations.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Climate change may increasingly drive change to existing or new legislation and regulations that may negatively impact our business and shape our customers’ preferences for the products we sell. Further, climate change may adversely impact the economy and changing economic conditions and consumer activity could reduce demand for our products. Fluctuations in weather can also affect demand for our products. For example, milder than normal weather can reduce demand for dehumidifiers and air conditioners. Severe weather or acts of nature, including hurricanes, winter storms, earthquakes, floods and other natural disasters can stress systems, disrupt our operations and cause service outages, production delays and property damage that require incurring additional expenses. All of these factors could have an adverse impact on our business, prospects, financial condition and results of operations.</w:t>
      </w:r>
    </w:p>
    <w:p>
      <w:pPr>
        <w:spacing w:after="0" w:line="27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may also be subject to climate change-related lawsuits and any defense associated with such litigation could be costly, time-consuming and distracting to management and could have a material adverse effect on our business, prospects,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1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intend to take advantage of exemptions from various reporting requirements applicable to other public companies but not to “emerging growth companies,” including:</w:t>
      </w:r>
    </w:p>
    <w:p>
      <w:pPr>
        <w:spacing w:after="0" w:line="62" w:lineRule="exact"/>
        <w:rPr>
          <w:sz w:val="20"/>
          <w:szCs w:val="20"/>
          <w:color w:val="auto"/>
        </w:rPr>
      </w:pPr>
    </w:p>
    <w:p>
      <w:pPr>
        <w:ind w:left="1000" w:right="640" w:hanging="35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permission to delay adopting new or revised accounting standards until such time as those standards apply to private companies;</w:t>
      </w:r>
    </w:p>
    <w:p>
      <w:pPr>
        <w:spacing w:after="0" w:line="155" w:lineRule="exact"/>
        <w:rPr>
          <w:rFonts w:ascii="Arial" w:cs="Arial" w:eastAsia="Arial" w:hAnsi="Arial"/>
          <w:sz w:val="17"/>
          <w:szCs w:val="17"/>
          <w:color w:val="auto"/>
        </w:rPr>
      </w:pPr>
    </w:p>
    <w:p>
      <w:pPr>
        <w:ind w:left="1000" w:hanging="35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44" w:lineRule="exact"/>
        <w:rPr>
          <w:rFonts w:ascii="Arial" w:cs="Arial" w:eastAsia="Arial" w:hAnsi="Arial"/>
          <w:sz w:val="18"/>
          <w:szCs w:val="18"/>
          <w:color w:val="auto"/>
        </w:rPr>
      </w:pPr>
    </w:p>
    <w:p>
      <w:pPr>
        <w:ind w:left="1000" w:right="40" w:hanging="35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intend to take advantage of these and other exemptions until we are no longer an “emerging growth company”. Under the Jumpstart Our Business Startups Act of 2012 (the “JOBS Act”), we will remain an emerging growth company until the earliest of:</w:t>
      </w:r>
    </w:p>
    <w:p>
      <w:pPr>
        <w:spacing w:after="0" w:line="62" w:lineRule="exact"/>
        <w:rPr>
          <w:sz w:val="20"/>
          <w:szCs w:val="20"/>
          <w:color w:val="auto"/>
        </w:rPr>
      </w:pPr>
    </w:p>
    <w:p>
      <w:pPr>
        <w:ind w:left="1180" w:hanging="423"/>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$1.07 billion or more;</w:t>
      </w:r>
    </w:p>
    <w:p>
      <w:pPr>
        <w:spacing w:after="0" w:line="117" w:lineRule="exact"/>
        <w:rPr>
          <w:rFonts w:ascii="Arial" w:cs="Arial" w:eastAsia="Arial" w:hAnsi="Arial"/>
          <w:sz w:val="18"/>
          <w:szCs w:val="18"/>
          <w:color w:val="auto"/>
        </w:rPr>
      </w:pPr>
    </w:p>
    <w:p>
      <w:pPr>
        <w:ind w:left="1180" w:hanging="423"/>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last day of the fiscal year following the fifth anniversary of the completion of our initial public offering, or December 31, 2024;</w:t>
      </w:r>
    </w:p>
    <w:p>
      <w:pPr>
        <w:spacing w:after="0" w:line="128" w:lineRule="exact"/>
        <w:rPr>
          <w:rFonts w:ascii="Arial" w:cs="Arial" w:eastAsia="Arial" w:hAnsi="Arial"/>
          <w:sz w:val="17"/>
          <w:szCs w:val="17"/>
          <w:color w:val="auto"/>
        </w:rPr>
      </w:pPr>
    </w:p>
    <w:p>
      <w:pPr>
        <w:ind w:left="1180" w:hanging="423"/>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on which we have issued, during the previous three-year period, more than $1.0 billion in non-convertible debt securities;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left="760" w:right="40" w:hanging="3"/>
        <w:spacing w:after="0" w:line="296" w:lineRule="auto"/>
        <w:tabs>
          <w:tab w:leader="none" w:pos="11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which we are deemed to be a “large accelerated filer” under the Securities Exchange Act of 1934, as amended (the “Exchange Act”), (i.e., the first day of the fiscal year after we have (1) more than $700.0 million in outstanding common equity held by our non-affiliates, measured each year on the last day of our second fiscal quarter, (2) been public for at least 12 months, and (3) are not eligible to be deemed a “smaller reporting company” because we do not meet the revenue test of the definition of “smaller reporting company”, which includes an initial determination that our annual revenues are more than $100.0 million for the most recently completed fiscal year).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by our reliance on any of the exemptions afforded emerging growth companies. If some investors find our common stock less attractive because we rely on these exemptions, there may be a less active trading market for our common stock and the market price of our common stock may be more volatile.</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26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(excluding the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share price has been very volatile. Market volatility may affect the value of an investment in our common stock and could subject us to litigation.</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approximately $2.15 to $47.66 per share from January 1, 2021 to March 15, 2022. The market price of our common stock could be subject to wide fluctuations in response to many risk factors listed in this section, and others beyond our control, including:</w:t>
      </w:r>
    </w:p>
    <w:p>
      <w:pPr>
        <w:spacing w:after="0" w:line="79" w:lineRule="exact"/>
        <w:rPr>
          <w:sz w:val="20"/>
          <w:szCs w:val="20"/>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impact on our business due to the COVID-19 pandemic;</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and any changes in projected operational and financial results;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offerings by us or our competitors;</w:t>
      </w:r>
    </w:p>
    <w:p>
      <w:pPr>
        <w:spacing w:after="0" w:line="144" w:lineRule="exact"/>
        <w:rPr>
          <w:rFonts w:ascii="Arial" w:cs="Arial" w:eastAsia="Arial" w:hAnsi="Arial"/>
          <w:sz w:val="18"/>
          <w:szCs w:val="18"/>
          <w:color w:val="auto"/>
        </w:rPr>
      </w:pPr>
    </w:p>
    <w:p>
      <w:pPr>
        <w:ind w:left="1000" w:right="520" w:hanging="35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capital-raising activities or commitments;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reaction to our press releases and filings with the SEC;</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operating performance and the valuation of companies perceived by investors to be comparable to us;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expiration of contractual lock-up periods;</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 and</w:t>
      </w:r>
    </w:p>
    <w:p>
      <w:pPr>
        <w:spacing w:after="0" w:line="144" w:lineRule="exact"/>
        <w:rPr>
          <w:rFonts w:ascii="Arial" w:cs="Arial" w:eastAsia="Arial" w:hAnsi="Arial"/>
          <w:sz w:val="18"/>
          <w:szCs w:val="18"/>
          <w:color w:val="auto"/>
        </w:rPr>
      </w:pPr>
    </w:p>
    <w:p>
      <w:pPr>
        <w:ind w:left="1000" w:hanging="35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12529"/>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212529"/>
        </w:rPr>
        <w:t>As of March 8, 2022, our executive officers, directors and the holders of more than 5% of our outstanding common stock in the aggregate beneficially own approximately 11.6%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 In addition, as further described below, we have entered into voting agreements with a number of parties in connection with our initial public offering and in connection with acquisition transactions. We may elect to release one or more parties from voting agreements which could also limit your ability to influence corporate matters for the foreseeable future.</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12529"/>
        </w:rPr>
        <w:t>MV II, LLC, Dr. Larisa Storozhenko and Mr. Maximus Yaney (collectively, the “Designating Parties”) have entered into a voting agreement with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12529"/>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160"/>
        <w:spacing w:after="0" w:line="257" w:lineRule="auto"/>
        <w:rPr>
          <w:sz w:val="20"/>
          <w:szCs w:val="20"/>
          <w:color w:val="auto"/>
        </w:rPr>
      </w:pPr>
      <w:r>
        <w:rPr>
          <w:rFonts w:ascii="Arial" w:cs="Arial" w:eastAsia="Arial" w:hAnsi="Arial"/>
          <w:sz w:val="18"/>
          <w:szCs w:val="18"/>
          <w:color w:val="212529"/>
        </w:rPr>
        <w:t>however, a Deemed Liquidation Event shall not include any transaction effected primarily to raise capital for us or a spin-off or similar divestiture of our product or platform as a service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third-party that is not a Designating Party, an affiliate of a Designating Party or any other individual or party that has a direct or indirect familial relationship with any Designating Party.</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212529"/>
        </w:rPr>
        <w:t>On December 1, 2020, 9830 Macarthur LLC (“9830”), one of the sellers of the assets of the e-commerce business under the brands Mueller, Pursteam, Pohl and Schmitt and Spiralizer (the “Smash Assets”), entered into a lock-up, voting and standstill agreement with us, pursuant to which 9830 agreed that until December 1, 2025, 9830 will, among other things, vote at each annual or special meeting of our stockholders all shares of common stock held by 9830 in accordance with the recommendations of our board of directors on each matter presented to our stockholders at such meeting.</w:t>
      </w:r>
    </w:p>
    <w:p>
      <w:pPr>
        <w:spacing w:after="0" w:line="26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i w:val="1"/>
          <w:iCs w:val="1"/>
          <w:color w:val="212529"/>
        </w:rPr>
        <w:t>As a result of our failure to timely file certain financial statements relating to the Smash Assets, we are currently ineligible to file new short form registration statements on Form S-3 or to have resale registration statements declared effective in a timely manner, which may impair our ability to raise capital on terms favorable to us, in a timely manner or at all, or in the case of resale registration statements, could result in an event of default under our credit facilities or a breach of existing obligations to stockholders with registration rights.</w:t>
      </w:r>
    </w:p>
    <w:p>
      <w:pPr>
        <w:spacing w:after="0" w:line="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12529"/>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30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12529"/>
        </w:rPr>
        <w:t>The Securities and Exchange Commission rules required us to file certain financial statements relating to the Smash Assets (the “Smash Financial Statements”) no later than February 16, 2021, and we filed such financial statements on May 14, 2021. As a result of our failure to timely file the Smash Financial Statements, we are not currently permitted to use our existing registration statement on Form S-3. As a consequence, absent a waiver of the Form S-3 eligibility requirements, we are not permitted to sell all of the amount of our common stock or other securities we could otherwise sell until at least June 1, 2022, which could adversely affect our ability to run our operations and progress our product development programs. We also will not be permitted to conduct an “at the market offering” absent an effective primary registration statement on Form S-3.</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12529"/>
        </w:rPr>
        <w:t>A “short squeeze” due to a sudden increase in demand for shares of our common stock that largely exceeds supply has led to, and may continue to lead to, extreme price volatility in shares of our common stock.</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12529"/>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12529"/>
        </w:rPr>
        <w:t>A large proportion of our common stock has been and may continue to be traded by short sellers which may increase the likelihood that our common stock will be the target of a short squeeze. A short squeeze has previously led and could in the future lead to volatile price movements in shares of our common stock that are unrelated or disproportionate to our operating performance or prospects. Stockholders that purchase shares of our common stock during a short squeeze may lose a significant portion of their investment.</w:t>
      </w:r>
    </w:p>
    <w:p>
      <w:pPr>
        <w:spacing w:after="0" w:line="29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market size and forecasts of market growth included in our publicly-filed documents may prove to be inaccurate, and even if the market in which we compete achieves the forecasted growth, our business could fail to grow at similar rates, if at all.</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opportunity, size estimates and growth forecasts included in our publicly-filed documents are subject to significant uncertainty and are based on assumptions and estimates that may not prove to be accurate. For example, several of the reports and data on which our estimates and forecasts are based rely on projections of consumer adoption and incorporate data from secondary sources such as company websites as well as industry, trade and government publications.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40"/>
        <w:spacing w:after="0" w:line="288" w:lineRule="auto"/>
        <w:rPr>
          <w:sz w:val="20"/>
          <w:szCs w:val="20"/>
          <w:color w:val="auto"/>
        </w:rPr>
      </w:pPr>
      <w:r>
        <w:rPr>
          <w:rFonts w:ascii="Arial" w:cs="Arial" w:eastAsia="Arial" w:hAnsi="Arial"/>
          <w:sz w:val="16"/>
          <w:szCs w:val="16"/>
          <w:color w:val="auto"/>
        </w:rPr>
        <w:t>Net revenue and operating results are difficult to forecast because they generally depend on the volume, timing and type of orders we receive, all of which are uncertain. We base our expense levels and investment plans on our estimates of total net revenue and gross margins using human judgment combined with our machine learning, natural language processing and data analytics. We cannot be sure the same growth rates, trends and other key performance metrics are meaningful predictors of future growth. If our assumptions and calculations prove to be wrong, we may spend more than we anticipate acquiring and retaining customers or may generate less net revenue than anticipated, any of which could have a negative impact on our business and results of operations. In addition, as we enter a new consumer product market, we may initially provide discounts to customers to gain market traction, and the amount and effect of these discounts may vary greatly. Finally, we are evaluating our total addressable market with respect to new product offerings and new markets. These estimates of total addressable market and growth forecasts are subject to significant uncertainty, are based on assumptions and estimates that may not prove to be accurate and are based on data published by third parties that we have not independently verified. Even if the market in which we compete meets the size estimates and growth forecasted in our publicly-filed documents, our business could fail to grow at similar rates, if at all.</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is also affected by general economic and business conditions in the U.S., and we anticipate that it will be increasingly affected by conditions in international markets. In addition, we experience seasonal trends in our business, and our mix of product offerings is highly variable from day-to-day and quarter-to-quarter. Specifically, we have realized a disproportionate amount of our net revenue and earnings for prior fiscal years during warmer weather and summer seasons. If we experience lower than expected net revenue during these periods, it may have a disproportionately large impact on our operating results and financial condition for that year. In anticipation of increased sales activity during the third and fourth quarter, we may incur significant additional expenses, including additional marketing and additional staffing in our customer support operations. In addition, we may experience an increase in our net shipping costs due to complimentary upgrades, split-shipments and additional long-zone shipments necessary to ensure timely delivery for the holiday season. This variability makes it difficult to predict sales and could result in significant fluctuations in our net revenue from period-to-period. A significant portion of our expenses is fixed, and as a result, we may be unable to adjust our spending in a timely manner to compensate for any unexpected shortfall in net revenue. Any failure to accurately predict net revenue or gross margins could cause our operating results to be lower than expected, which could materially adversely affect our financial condition and stock price.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and issuances of our capital stock, or the perception that such sales may occur, could cause our stock price to decline.</w:t>
      </w:r>
    </w:p>
    <w:p>
      <w:pPr>
        <w:spacing w:after="0" w:line="1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issue additional securities following the date of this Annual Report on Form 10-K.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the Exchange Act or any other claim for which the federal courts have exclusive jurisdiction. These choices of forum provisions may limit a stockholder’s ability to bring a claim in a judicial forum that it finds favorable for disputes with us or our directors, officers or other employees, which may discourage such lawsuits against us and our directors, officers and other employees. In addition, stockholders who do bring a claim in the Court of Chancery of the State of Delaware could face additional litigation costs in pursuing any such claim, particularly if they do not reside in or near Delaware. Furthermore, the enforceability of similar choice of forum provisions in other companies’ certificates of incorporation has been challenged in legal proceedings, and it is possible that a court could find these types of provisions to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line="263" w:lineRule="auto"/>
        <w:rPr>
          <w:sz w:val="20"/>
          <w:szCs w:val="20"/>
          <w:color w:val="auto"/>
        </w:rPr>
      </w:pPr>
      <w:r>
        <w:rPr>
          <w:rFonts w:ascii="Arial" w:cs="Arial" w:eastAsia="Arial" w:hAnsi="Arial"/>
          <w:sz w:val="18"/>
          <w:szCs w:val="18"/>
          <w:color w:val="auto"/>
        </w:rPr>
        <w:t>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8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the General Corporation Law of the State of Delaware (the “DGCL”) could make an acquisition of us more difficult and may prevent attempts by our stockholders to replace or remove our management.</w:t>
      </w:r>
    </w:p>
    <w:p>
      <w:pPr>
        <w:spacing w:after="0" w:line="3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because we are incorporated in Delaware, we are governed by the provisions of Section 203 of the DGCL, which prohibits stockholders owning in excess of 15% of the outstanding combined organization voting stock from merging or combining with the combined organization.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then-current management by making it more difficult for stockholders to replace members of our board of directors, which is responsible for appointing the members of management.</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us and may affect the trading price of our common stock.</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shares of our capital stock to a potential acquirer or delay or prevent changes in control or changes in our management without the consent of our board of directors. Our charter documents include the following provisions:</w:t>
      </w:r>
    </w:p>
    <w:p>
      <w:pPr>
        <w:spacing w:after="0" w:line="76" w:lineRule="exact"/>
        <w:rPr>
          <w:sz w:val="20"/>
          <w:szCs w:val="20"/>
          <w:color w:val="auto"/>
        </w:rPr>
      </w:pPr>
    </w:p>
    <w:p>
      <w:pPr>
        <w:ind w:left="760" w:right="180" w:hanging="3"/>
        <w:spacing w:after="0" w:line="277"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120" w:hanging="363"/>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760" w:right="220" w:hanging="3"/>
        <w:spacing w:after="0" w:line="263"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5" w:lineRule="exact"/>
        <w:rPr>
          <w:rFonts w:ascii="Arial" w:cs="Arial" w:eastAsia="Arial" w:hAnsi="Arial"/>
          <w:sz w:val="18"/>
          <w:szCs w:val="18"/>
          <w:color w:val="auto"/>
        </w:rPr>
      </w:pPr>
    </w:p>
    <w:p>
      <w:pPr>
        <w:ind w:left="760" w:right="260" w:hanging="3"/>
        <w:spacing w:after="0" w:line="277"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760" w:right="60" w:hanging="3"/>
        <w:spacing w:after="0" w:line="263"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stockholders or a hostile acquirer;</w:t>
      </w:r>
    </w:p>
    <w:p>
      <w:pPr>
        <w:spacing w:after="0" w:line="75" w:lineRule="exact"/>
        <w:rPr>
          <w:rFonts w:ascii="Arial" w:cs="Arial" w:eastAsia="Arial" w:hAnsi="Arial"/>
          <w:sz w:val="18"/>
          <w:szCs w:val="18"/>
          <w:color w:val="auto"/>
        </w:rPr>
      </w:pPr>
    </w:p>
    <w:p>
      <w:pPr>
        <w:ind w:left="1120" w:hanging="363"/>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760" w:right="460" w:hanging="3"/>
        <w:spacing w:after="0" w:line="342" w:lineRule="auto"/>
        <w:tabs>
          <w:tab w:leader="none" w:pos="11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required approval of at least two-thirds of the shares entitled to vote to adopt, amend or repeal our amended and restated bylaws or repeal the provisions of our amended and restated certificate of incorporation regarding the election and removal of directors;</w:t>
      </w:r>
    </w:p>
    <w:p>
      <w:pPr>
        <w:spacing w:after="0" w:line="15" w:lineRule="exact"/>
        <w:rPr>
          <w:rFonts w:ascii="Arial" w:cs="Arial" w:eastAsia="Arial" w:hAnsi="Arial"/>
          <w:sz w:val="16"/>
          <w:szCs w:val="16"/>
          <w:color w:val="auto"/>
        </w:rPr>
      </w:pPr>
    </w:p>
    <w:p>
      <w:pPr>
        <w:ind w:left="760" w:right="260" w:hanging="3"/>
        <w:spacing w:after="0" w:line="277"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760" w:right="160" w:hanging="3"/>
        <w:spacing w:after="0" w:line="277"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62" w:lineRule="exact"/>
        <w:rPr>
          <w:rFonts w:ascii="Arial" w:cs="Arial" w:eastAsia="Arial" w:hAnsi="Arial"/>
          <w:sz w:val="18"/>
          <w:szCs w:val="18"/>
          <w:color w:val="auto"/>
        </w:rPr>
      </w:pPr>
    </w:p>
    <w:p>
      <w:pPr>
        <w:ind w:left="760" w:right="80" w:hanging="3"/>
        <w:spacing w:after="0" w:line="263"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the chairperson of the board of directors, the chief executive officer or the president (in the absence of a chief executive officer)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760" w:right="60" w:hanging="3"/>
        <w:spacing w:after="0" w:line="263" w:lineRule="auto"/>
        <w:tabs>
          <w:tab w:leader="none" w:pos="11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80"/>
        <w:spacing w:after="0" w:line="342" w:lineRule="auto"/>
        <w:rPr>
          <w:sz w:val="20"/>
          <w:szCs w:val="20"/>
          <w:color w:val="auto"/>
        </w:rPr>
      </w:pPr>
      <w:r>
        <w:rPr>
          <w:rFonts w:ascii="Arial" w:cs="Arial" w:eastAsia="Arial" w:hAnsi="Arial"/>
          <w:sz w:val="16"/>
          <w:szCs w:val="16"/>
          <w:color w:val="auto"/>
        </w:rPr>
        <w:t>These provisions could discourage, delay or prevent a transaction involving a change in control of us. These provisions could also discourage proxy contests and make it more difficult for stockholders to elect directors of their choosing and cause us to take other corporate actions our stockholders desire.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$152.0 million net operating loss carryforwards as of December 31, 2021,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as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Accounting adjustments due to changes in circumstances or estimates may require us to write down intangible assets, such as goodwill and may have a material impact on our financial reporting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operate under one business component which is the same as our reporting unit based on the guidance in ASC Topic 350-20.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engaged a third-party valuation specialist to assist in performing our goodwill test in December 2021. For goodwill, impairment testing is based upon the best information available using a combination of the discounted cash flow method, a form of the income approach, and the guideline public company method, a form of the market approach.</w:t>
      </w:r>
    </w:p>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income approach, or discounted cash flow method, the significant assumptions used are projected net revenue, projected contribution margin (product operating margin before fixed costs), fixed costs, terminal growth rates and the cost of capital. Projected net revenue, projected contribution margin and terminal growth rates were determined to be significant assumptions because they are the three primary drivers of the projected cash flows in the discounted cash flow fair value model. Cost of capital is another significant assumption as the discount rate is used to calculate the current fair value of those projected cash flows. Under the guideline public company method, significant assumptions relate to the selection of appropriate guideline companies and the valuation multiples used in the market analysis.</w:t>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the assumptions and estimates made are reasonable and appropriate, and changes in our assumptions and estimates could have a material impact on our reported financial results. In addition, sustained declines in our stock price and related market capitalization could impact key assumptions in the overall estimated fair values of our reporting unit and could result in non-cash impairment charges that could be material to our consolidated balance sheet or results of operations. We began to experience improvement in our operating margins and additional improvement in our products performance before the inclusion of fixed costs. These improvements, coupled with our acquisitions, supported our conclusion that we would generate significant improvements in the operating results. However, even with a sensitivity analysis on projected operating results, we still had significant excess fair-value over our carrying value.</w:t>
      </w:r>
    </w:p>
    <w:p>
      <w:pPr>
        <w:spacing w:after="0" w:line="23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Since December 31, 2020, we had an additional increase in the amount of goodwill through acquisitions made in 2021. Although we have experienced volatility in our share price and short-term forecasts, impacting our going concern analysis due lender covenant risks, we believe we have had no triggering events as our overall long-term forecasts remain materially the same as of December 31, 2021. However, if we continue to experience downward share price volatility or there are material reductions in long-term forecasts the excess fair-value over our carrying value could be reduced significantly and could lead to a triggering event and ultimately to a goodwill impairment charge. We performed a full step one impairment test at 12/31/2021 and concluded no impairment and that our estimated fair-values exceeded our carrying values by 21% as of the year-ended December 31,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We will continue to closely monitor actual results versus expectations as well as whether and to what extent any significant changes in current events or conditions, including changes to the impacts of COVID-19 on our business, result in corresponding changes to our expectations about future estimated cash flows, discount rates and market multiples. If our adjusted expectations of the operating results do not materialize, if the discount rate increases (based on increases in interest rates, market rates of return or market volatility) or if market multiples decline, we may be required to record goodwill impairment charges, which may be material.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our conclusions regarding the estimates of fair value of our reporting units are appropriate, these estimates are subject to uncertainty and by nature include judgments and estimates regarding various factors. These factors include the rate and extent of growth in the markets that our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an ongoing basis, we evaluate whether facts and circumstances indicate any impairment of the value of intangible assets. As circumstances change, we cannot assure you that the value of these intangible assets will be realized. If we determine that a significant impairment has occurred, we will be required to write-off the impaired portion of goodwill, which could have a material adverse effect on our results of operations in the period in which the write-off occurs.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offices, including shared workspaces, in seven locations.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New York office with approximately 5,200 square feet of space is our corporate headquarters and is leased for a term of two years expiring April 2023. Our UK office is a building we own, our China office is leased for a term of three years expiring in May 2024 and our Poland office with approximately 5,000 square feet of space is leased through July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other offices are either shared workspaces or leases with a short-term commitment (month to month).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Capital Market under the symbol “ATER”.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there were approximately 152 holders of record of our common stock.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performance graph and related information shall not be deemed “soliciting material” nor to be “filed” with the SEC, nor shall such information be incorporated by reference into any future filings under the Securities Act of 1933, as amended, or the Securities Exchange Act of 1934, as amended, except to the extent we specifically incorporate it by reference into such filing.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graph shows a comparison of our cumulative total returns with those of the Russell 2000 Index and the Standard &amp; Poor’s (“S&amp;P”) 500 Index. At this time, we cannot reasonably identify a comparable peer group due to the fact that the companies we consider to be our competitors encompass a vast range of companies, including traditional and non-traditional consumer good companies, discount stores, traditional retailers, the online platforms of these traditional retail competitors, independent retail stores and e-commerce companies, and most of our competitors are not publicly traded or of a similar market capitalization to ours. During 2021, we joined the Russell 2000 Index and thus, we consider the Russell 2000 Index to be our most comparable peer group index as it is comprised of companies with market capitalizations similar to our own. The graph assumes that the value of an investment in our common stock and in each such index was $100 on June 12, 2019, the date of our initial public offering, and that all dividends have been reinvested. The comparison in the graph below is based on historical data and is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114300</wp:posOffset>
            </wp:positionV>
            <wp:extent cx="4980305" cy="2511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030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 Pursuant to the Credit Agreement, dated as of December 22, 2021, with Midcap Funding IV Trust as Agent (“MidCap”) and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lenders party thereto, we are restricted from declaring any dividends or other distributions, subject to exceptions for certain of our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See Item 12 of Part III of this Annual Report regarding information about securities authorized for issuance under our equity compensation plans.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29, 2021, we entered into a consulting agreement with an advisory firm, pursuant to which the advisory firm agreed to provide us with certain management consulting, business and advisory services. As partial consideration for $0.2 million of the services, we issued the advisory firm 500,000 shares of our restricted common stock.</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November 18, 2021, we issued an aggregate of 1,408,242 restricted shares of our common stock to Healing Solutions, LLC and related individuals to settle our earn-out obligations in connection with our acquisition of the Healing Solutions Assets.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December 30, 2021, we issued 15,000 restricted shares of our common stock to a consultant, Sam Appelbaum, as consideration for less than $0.1 million of services rendered.</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issuance of the foregoing securities was not registered under the Securities Act in reliance upon the exemption from registration provided by Section 4(a)(2) of the Securities Act and Rule 506 of Regulation D promulgated by the SEC, and in reliance on similar exemptions under applicable state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“Item 1A. Risk Factors” in this Annual Report. All forward-looking statements included in this Annual Report are based on information available to us as of the time we file this Annual Report and, except as required by law, we undertake no obligation to update publicly or revise any forward-looking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technology-enabled consumer products platform that uses “data science” (which includes but is not limited to, machine learning, natural language processing, and data analytics) to design, develop, market and sell products. We were founded on the premise that if a company selling consumer packaged goods was founded today, it would apply data science,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8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launched and sold hundreds of SKUs on e-commerce platforms. Through the success of a number of those products we have incubated our own brands. We also have purchased brands and products when we believe it is advantageous. Today, we own and operate fourteen brands that sell products in multiple categories, including home and kitchen appliances, kitchenware, heating, cooling and air quality appliances (dehumidifiers, humidifiers and air conditioners), health and beauty products and essential oils. Our fourteen brands include, hOmeLabs; Vremi; Squatty Potty; Xtava; RIF6; Aussie Health; Holonix; Truweo; Mueller; Pursteam; Pohl and Schmitt; Spiralizer; Healing Solutions; and Photo Paper Direct.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58"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w:t>
      </w:r>
      <w:r>
        <w:rPr>
          <w:rFonts w:ascii="Arial" w:cs="Arial" w:eastAsia="Arial" w:hAnsi="Arial"/>
          <w:sz w:val="18"/>
          <w:szCs w:val="18"/>
          <w:b w:val="1"/>
          <w:bCs w:val="1"/>
          <w:color w:val="auto"/>
        </w:rPr>
        <w:t>A</w:t>
      </w:r>
      <w:r>
        <w:rPr>
          <w:rFonts w:ascii="Arial" w:cs="Arial" w:eastAsia="Arial" w:hAnsi="Arial"/>
          <w:sz w:val="18"/>
          <w:szCs w:val="18"/>
          <w:color w:val="auto"/>
        </w:rPr>
        <w:t xml:space="preserve">rtificial </w:t>
      </w:r>
      <w:r>
        <w:rPr>
          <w:rFonts w:ascii="Arial" w:cs="Arial" w:eastAsia="Arial" w:hAnsi="Arial"/>
          <w:sz w:val="18"/>
          <w:szCs w:val="18"/>
          <w:b w:val="1"/>
          <w:bCs w:val="1"/>
          <w:color w:val="auto"/>
        </w:rPr>
        <w:t>I</w:t>
      </w:r>
      <w:r>
        <w:rPr>
          <w:rFonts w:ascii="Arial" w:cs="Arial" w:eastAsia="Arial" w:hAnsi="Arial"/>
          <w:sz w:val="18"/>
          <w:szCs w:val="18"/>
          <w:color w:val="auto"/>
        </w:rPr>
        <w:t>ntelligence</w:t>
      </w:r>
    </w:p>
    <w:p>
      <w:pPr>
        <w:spacing w:after="0" w:line="27" w:lineRule="exact"/>
        <w:rPr>
          <w:rFonts w:ascii="Arial" w:cs="Arial" w:eastAsia="Arial" w:hAnsi="Arial"/>
          <w:sz w:val="18"/>
          <w:szCs w:val="18"/>
          <w:color w:val="auto"/>
        </w:rPr>
      </w:pPr>
    </w:p>
    <w:p>
      <w:pPr>
        <w:ind w:left="880" w:right="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8"/>
          <w:szCs w:val="18"/>
          <w:color w:val="auto"/>
        </w:rPr>
        <w:t>arketplace</w:t>
      </w:r>
      <w:r>
        <w:rPr>
          <w:rFonts w:ascii="Arial" w:cs="Arial" w:eastAsia="Arial" w:hAnsi="Arial"/>
          <w:sz w:val="18"/>
          <w:szCs w:val="18"/>
          <w:b w:val="1"/>
          <w:bCs w:val="1"/>
          <w:color w:val="auto"/>
        </w:rPr>
        <w:t xml:space="preserve"> e</w:t>
      </w:r>
      <w:r>
        <w:rPr>
          <w:rFonts w:ascii="Arial" w:cs="Arial" w:eastAsia="Arial" w:hAnsi="Arial"/>
          <w:sz w:val="18"/>
          <w:szCs w:val="18"/>
          <w:color w:val="auto"/>
        </w:rPr>
        <w:t>-Commerce</w:t>
      </w:r>
      <w:r>
        <w:rPr>
          <w:rFonts w:ascii="Arial" w:cs="Arial" w:eastAsia="Arial" w:hAnsi="Arial"/>
          <w:sz w:val="18"/>
          <w:szCs w:val="18"/>
          <w:b w:val="1"/>
          <w:bCs w:val="1"/>
          <w:color w:val="auto"/>
        </w:rPr>
        <w:t xml:space="preserve"> E</w:t>
      </w:r>
      <w:r>
        <w:rPr>
          <w:rFonts w:ascii="Arial" w:cs="Arial" w:eastAsia="Arial" w:hAnsi="Arial"/>
          <w:sz w:val="18"/>
          <w:szCs w:val="18"/>
          <w:color w:val="auto"/>
        </w:rPr>
        <w:t>ngine) and other sources. During this period of time and due to the combination of discounts and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our net margin for a product could be as low as approximately negative 35%. Net margin is calculated by taking net revenue less the cost of goods sold, less fulfillment, online advertising and selling expenses. These costs primarily reflect the estimated variable costs related to the sale of a product.</w:t>
      </w:r>
    </w:p>
    <w:p>
      <w:pPr>
        <w:spacing w:after="0" w:line="84"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880" w:right="120" w:hanging="373"/>
        <w:spacing w:after="0" w:line="25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through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net revenue and profitability at the company level while we continue to invest in growth and technology. Due to the impact of the COVID-19 pandemic on the global supply chain, we have been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ind w:right="80"/>
        <w:spacing w:after="0" w:line="286" w:lineRule="auto"/>
        <w:rPr>
          <w:sz w:val="20"/>
          <w:szCs w:val="20"/>
          <w:color w:val="auto"/>
        </w:rPr>
      </w:pPr>
      <w:r>
        <w:rPr>
          <w:rFonts w:ascii="Arial" w:cs="Arial" w:eastAsia="Arial" w:hAnsi="Arial"/>
          <w:sz w:val="17"/>
          <w:szCs w:val="17"/>
          <w:color w:val="auto"/>
        </w:rPr>
        <w:t>forced to increase our inventory on hand to avoid disruption in sales. The unpredictability of container availability, space on vessels and shipping lead times, as well as associated manufacturing lead time, has forced us to secure more inventory upfront. Having more inventory on hand not only impacts our working capital but also requires us to increase our storage capacity (warehouse network) which of itself has a capital impact.</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shows the number of launches of new products included in our net revenue that have achieved, or are expected to achieve, more than approximately $0.5 million in net revenue per year on average.</w:t>
      </w:r>
    </w:p>
    <w:p>
      <w:pPr>
        <w:spacing w:after="0" w:line="200" w:lineRule="exact"/>
        <w:rPr>
          <w:sz w:val="20"/>
          <w:szCs w:val="20"/>
          <w:color w:val="auto"/>
        </w:rPr>
      </w:pP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Year-Ended December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114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600" w:type="dxa"/>
            <w:vAlign w:val="bottom"/>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130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1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growth in direct revenue can be impacted by the timing and the season in which products are launched as well as the impact of mergers and acquisitions.</w:t>
      </w:r>
    </w:p>
    <w:p>
      <w:pPr>
        <w:spacing w:after="0" w:line="170"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Further due to the COVID-19 pandemic’s impact on the global supply chain, we have paused the launch of new products. The sharp increase in shipping costs has made our target competitive pricing difficult to achieve and the current unpredictability of container availability makes it more difficult for us to maintain the required inventory levels, which in turn makes the potential and profitable success of product launches even more difficult to achieve in this current environment. Furthermore, we have concerns about the impact of Russia’s invasion of Ukraine on our business including its effects on the global economy, supply chain and financial markets. We will continue to evaluate the impacts of this, in addition to the impacts of the COVID-19 pandemic,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Net Revenue</w:t>
      </w:r>
      <w:r>
        <w:rPr>
          <w:rFonts w:ascii="Arial" w:cs="Arial" w:eastAsia="Arial" w:hAnsi="Arial"/>
          <w:sz w:val="18"/>
          <w:szCs w:val="18"/>
          <w:b w:val="1"/>
          <w:bCs w:val="1"/>
          <w:color w:val="auto"/>
        </w:rPr>
        <w:t>—</w:t>
      </w:r>
      <w:r>
        <w:rPr>
          <w:rFonts w:ascii="Arial" w:cs="Arial" w:eastAsia="Arial" w:hAnsi="Arial"/>
          <w:sz w:val="18"/>
          <w:szCs w:val="18"/>
          <w:color w:val="auto"/>
        </w:rPr>
        <w:t>We derive our revenue from the sale of consumer products, primarily in the U.S. We sell products directly to consumers through online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Cost of Goods Sold—</w:t>
      </w:r>
      <w:r>
        <w:rPr>
          <w:rFonts w:ascii="Arial" w:cs="Arial" w:eastAsia="Arial" w:hAnsi="Arial"/>
          <w:sz w:val="17"/>
          <w:szCs w:val="17"/>
          <w:color w:val="auto"/>
        </w:rPr>
        <w:t>Cost of goods sold consists of the book value of inventory sold to customers during the reporting period and the amortization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 The Office of the U.S. Trade Representative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We can provide no assurances that future tariff increases will not be enacted. These increases may affect the way we order products, as well as the amount of product we order. If tariff increases are enacted in the future, our pricing actions are expected to be intended to offset the full gross margin impact from such tariffs. Further, we have been affected by the COVID-19 pandemic and related global supply chain disruption. Together, these have led to substantial increases in the costs of our supply chain, specifically, the costs of shipping containers, which we rely on to import our goods. We have increased pricing, when possible, to offset the full gross margin impact which at times has led to reduced sales velocity on certain products at certain times of the year. There are no assurances that these pricing actions will not reduce customer orders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Sales and Distribution Expenses— </w:t>
      </w:r>
      <w:r>
        <w:rPr>
          <w:rFonts w:ascii="Arial" w:cs="Arial" w:eastAsia="Arial" w:hAnsi="Arial"/>
          <w:sz w:val="16"/>
          <w:szCs w:val="16"/>
          <w:color w:val="auto"/>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(“FBA”) or fulfilled by Walmart (“WFS”).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approximately 76% of the U.S., within one day and to over 99% of the U.S. within two days, based on our sales history.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64"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Interest Expense, Net</w:t>
      </w:r>
      <w:r>
        <w:rPr>
          <w:rFonts w:ascii="Arial" w:cs="Arial" w:eastAsia="Arial" w:hAnsi="Arial"/>
          <w:sz w:val="16"/>
          <w:szCs w:val="16"/>
          <w:color w:val="auto"/>
        </w:rPr>
        <w:t>— Interest expense, net includes the interest cost from our credit facility and term loans, and includes amortization of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costs and debt discounts from our credit facility (the “Credit Facility”) with MidCap Funding IV Trust (“MidCap”) and our term loans with High Trail Investments SA LLC (“High Trail SA”) and High Trail Investments ON LLC (“High Trail ON” and, together with High Trail SA, “High Trail”).</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5"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Years-Ended December 31, 2020 and 2021</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our results of operations for the years-ended December 31, 2020 and 2021, together with the changes in those items in dollars and percentage: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Year-Ended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7"/>
          </w:tcPr>
          <w:p>
            <w:pPr>
              <w:ind w:left="120"/>
              <w:spacing w:after="0"/>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247,767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125,904</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121,863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 (1)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127,369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Research and development expenses (1)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 (1)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Settlement of a contingent earnout liability</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(30,529)</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(43,260)</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155,940</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36,443</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(34,077)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INTEREST EXPENSE—net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138,859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LOSS ON INITIAL ISSUANCE OF WARRANTS</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(INCOME)—net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(235,492)</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(172,414)</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(63,126)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0"/>
              </w:rPr>
              <w:t>(236,024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(172,898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hanging="85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Years-Ended 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90"/>
              </w:rPr>
              <w:t>(in thousands, except percentages)</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w:t>
            </w:r>
          </w:p>
        </w:tc>
        <w:tc>
          <w:tcPr>
            <w:tcW w:w="1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168.8%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1,374</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34.7%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vMerge w:val="restart"/>
          </w:tcPr>
          <w:p>
            <w:pPr>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22,716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28,987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6,271</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595"/>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30"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Year-Ended</w:t>
      </w:r>
    </w:p>
    <w:p>
      <w:pPr>
        <w:jc w:val="center"/>
        <w:ind w:left="49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GOODS SOLD</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Settlement of a contingent earnout liability</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CHANGE IN FAIR VALUE OF DERIVATIVE LIABILITY</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LOSS ON INITIAL ISSUANCE OF WARRANTS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(INCOME)—net</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Arial" w:cs="Arial" w:eastAsia="Arial" w:hAnsi="Arial"/>
                <w:sz w:val="18"/>
                <w:szCs w:val="18"/>
                <w:color w:val="auto"/>
              </w:rPr>
              <w:t>LOSS BEFORE INCOME TAXES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(95.3)%</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gridSpan w:val="5"/>
          </w:tcPr>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5"/>
          </w:tcPr>
          <w:p>
            <w:pPr>
              <w:spacing w:after="0"/>
              <w:rPr>
                <w:sz w:val="20"/>
                <w:szCs w:val="20"/>
                <w:color w:val="auto"/>
              </w:rPr>
            </w:pPr>
            <w:r>
              <w:rPr>
                <w:rFonts w:ascii="Arial" w:cs="Arial" w:eastAsia="Arial" w:hAnsi="Arial"/>
                <w:sz w:val="18"/>
                <w:szCs w:val="18"/>
                <w:color w:val="auto"/>
                <w:w w:val="91"/>
              </w:rPr>
              <w:t>The following table sets forth our net revenue disaggregated by product categories: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Year-Ended</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6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gridSpan w:val="11"/>
          </w:tcPr>
          <w:p>
            <w:pPr>
              <w:jc w:val="right"/>
              <w:ind w:right="652"/>
              <w:spacing w:after="0" w:line="155" w:lineRule="exact"/>
              <w:rPr>
                <w:sz w:val="20"/>
                <w:szCs w:val="20"/>
                <w:color w:val="auto"/>
              </w:rPr>
            </w:pPr>
            <w:r>
              <w:rPr>
                <w:rFonts w:ascii="Arial" w:cs="Arial" w:eastAsia="Arial" w:hAnsi="Arial"/>
                <w:sz w:val="14"/>
                <w:szCs w:val="14"/>
                <w:color w:val="auto"/>
              </w:rPr>
              <w:t>(in thousands, except percentages)</w:t>
            </w:r>
          </w:p>
        </w:tc>
        <w:tc>
          <w:tcPr>
            <w:tcW w:w="220" w:type="dxa"/>
            <w:vAlign w:val="bottom"/>
            <w:gridSpan w:val="2"/>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44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164,218</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235,817</w:t>
            </w:r>
          </w:p>
        </w:tc>
        <w:tc>
          <w:tcPr>
            <w:tcW w:w="18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Wholesale</w:t>
            </w: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(8,622)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w w:val="87"/>
              </w:rPr>
              <w:t>Managed PaaS</w:t>
            </w:r>
          </w:p>
        </w:tc>
        <w:tc>
          <w:tcPr>
            <w:tcW w:w="20" w:type="dxa"/>
            <w:vAlign w:val="bottom"/>
            <w:shd w:val="clear" w:color="auto" w:fill="CFF0FC"/>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4060" w:type="dxa"/>
            <w:vAlign w:val="bottom"/>
            <w:gridSpan w:val="2"/>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60" w:type="dxa"/>
            <w:vAlign w:val="bottom"/>
            <w:gridSpan w:val="2"/>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185,704</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247,767</w:t>
            </w:r>
          </w:p>
        </w:tc>
        <w:tc>
          <w:tcPr>
            <w:tcW w:w="1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6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7"/>
          <w:szCs w:val="17"/>
          <w:color w:val="auto"/>
        </w:rPr>
        <w:t>Net revenue increased $62.1 million, or 33.4%, during the year-ended December 31, 2021 to $247.8 million, compared to $185.7 million for the year-ended December 31, 2020. The increase in net revenue was primarily attributable to an increase in direct net revenue of $71.6 million, or a 43.6% increase. Direct net revenue consists of both organic net revenue and net revenue from our mergers and acquisitions (“M&amp;A”). For the year-ended December 31, 2021, organic revenue was $118.4 million and revenue from our M&amp;A businesses was $120.9 million. For the year-ended December 31, 2020, organic revenue was $147.9 million and revenue from our M&amp;A businesses was $16.3 million. Our organic revenue decreased by $29.5 million, or 19.9%, during the year-ended December 31, 2021, as compared to the year-ended December 31, 2020. This decrease was primarily driven by reduced sales volume, which we attribute to both reduced demand due to the reopening of brick &amp; mortar retail, and increased sale prices due to global supply chain disruptions and inventory shorts due to delayed receipt of goods. Included in our organic net revenue for the year-ended December 31, 2021 is approximately $15.7 million of revenue for products launched in 2021. Included in our organic net revenue for the year-ended December 31, 2020 is approximately $23.6 million of revenue for products launched in 2020.</w:t>
      </w:r>
    </w:p>
    <w:p>
      <w:pPr>
        <w:spacing w:after="0" w:line="18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also saw a decrease in wholesale revenue of $8.6 million versus the prior year, primarily from a decrease in the sale of personal protective equipment (“PPE”) in the year-ended December 31, 2021. Finally, we saw a decrease in Managed PaaS revenue of $0.9 million in the year-ended December 31, 2021.</w:t>
      </w:r>
    </w:p>
    <w:p>
      <w:pPr>
        <w:spacing w:after="0" w:line="129"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Year-Ended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r>
      <w:tr>
        <w:trPr>
          <w:trHeight w:val="155"/>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73,685</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Kitchen appliances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29,711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43,180</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15,488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Home office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12,352</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33,951</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27,444</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12,148</w:t>
            </w:r>
          </w:p>
        </w:tc>
        <w:tc>
          <w:tcPr>
            <w:tcW w:w="8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184,368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247,345</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PaaS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FF0FC"/>
          </w:tcPr>
          <w:p>
            <w:pPr>
              <w:spacing w:after="0"/>
              <w:rPr>
                <w:sz w:val="19"/>
                <w:szCs w:val="19"/>
                <w:color w:val="auto"/>
              </w:rPr>
            </w:pPr>
          </w:p>
        </w:tc>
      </w:tr>
      <w:tr>
        <w:trPr>
          <w:trHeight w:val="224"/>
        </w:trPr>
        <w:tc>
          <w:tcPr>
            <w:tcW w:w="538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185,704</w:t>
            </w:r>
          </w:p>
        </w:tc>
        <w:tc>
          <w:tcPr>
            <w:tcW w:w="2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247,767</w:t>
            </w:r>
          </w:p>
        </w:tc>
        <w:tc>
          <w:tcPr>
            <w:tcW w:w="80" w:type="dxa"/>
            <w:vAlign w:val="bottom"/>
          </w:tcPr>
          <w:p>
            <w:pPr>
              <w:spacing w:after="0"/>
              <w:rPr>
                <w:sz w:val="19"/>
                <w:szCs w:val="19"/>
                <w:color w:val="auto"/>
              </w:rPr>
            </w:pPr>
          </w:p>
        </w:tc>
      </w:tr>
    </w:tbl>
    <w:p>
      <w:pPr>
        <w:spacing w:after="0" w:line="20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Heating, cooling and air quality accounted for $73.7 million in net revenue for the year-ended December 31, 2021 compared to $78.4 million for the year-ended December 31, 2020. This decrease was primarily driven by reduced sales volume, which we attribute to both reduced e-commerce demand due to the reopening of brick &amp; mortar retail, and increased sale prices due to global supply chain disruptions and inventory shorts due to delayed receipt of goods.</w:t>
      </w:r>
    </w:p>
    <w:p>
      <w:pPr>
        <w:spacing w:after="0" w:line="14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Kitchen appliances accounted for $43.2 million in net revenue for the year-ended December 31, 2021 compared to $29.7 million in net revenue for the corresponding period in 2020, an increase of $13.5 million from new products launched and growth in our existing products during the year-ended December 31, 2021, including M&amp;A businesses. Cookware, kitchen tools and gadgets accounted for approximately $22.9 million in net revenue for the year-ended December 31, 2021 compared to $14.9 million in net revenue for the corresponding period in 2020, an increase of $8.1 million from new products launched and growth in our existing products during the year-ended December 31, 2021, including M&amp;A businesses. Net revenue from housewares increased approximately $30.7 million from growth in our existing products and new products obtained through M&amp;A businesses. We started selling essential oils and related accessories in 2021 via M&amp;A, which generated $27.4 million in net revenue for the year-ended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4"/>
          </w:tcPr>
          <w:p>
            <w:pPr>
              <w:jc w:val="right"/>
              <w:ind w:right="539"/>
              <w:spacing w:after="0"/>
              <w:rPr>
                <w:sz w:val="20"/>
                <w:szCs w:val="20"/>
                <w:color w:val="auto"/>
              </w:rPr>
            </w:pPr>
            <w:r>
              <w:rPr>
                <w:rFonts w:ascii="Arial" w:cs="Arial" w:eastAsia="Arial" w:hAnsi="Arial"/>
                <w:sz w:val="14"/>
                <w:szCs w:val="14"/>
                <w:color w:val="auto"/>
                <w:w w:val="90"/>
              </w:rPr>
              <w:t>(in thousands, except percentages)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100,958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125,904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rPr>
              <w:t>24,946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Gross profit</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84,746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121,863</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99"/>
              <w:spacing w:after="0"/>
              <w:rPr>
                <w:sz w:val="20"/>
                <w:szCs w:val="20"/>
                <w:color w:val="auto"/>
              </w:rPr>
            </w:pPr>
            <w:r>
              <w:rPr>
                <w:rFonts w:ascii="Arial" w:cs="Arial" w:eastAsia="Arial" w:hAnsi="Arial"/>
                <w:sz w:val="18"/>
                <w:szCs w:val="18"/>
                <w:color w:val="auto"/>
              </w:rPr>
              <w:t>37,117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56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ind w:right="60"/>
        <w:spacing w:after="0" w:line="263" w:lineRule="auto"/>
        <w:rPr>
          <w:sz w:val="20"/>
          <w:szCs w:val="20"/>
          <w:color w:val="auto"/>
        </w:rPr>
      </w:pPr>
      <w:r>
        <w:rPr>
          <w:rFonts w:ascii="Arial" w:cs="Arial" w:eastAsia="Arial" w:hAnsi="Arial"/>
          <w:sz w:val="18"/>
          <w:szCs w:val="18"/>
          <w:color w:val="auto"/>
        </w:rPr>
        <w:t>Cost of goods sold increased by $24.9 million from $100.9 million for the year-ended December 20, 2020 to $125.9 million for the year-ended December 21, 2021. The increase in cost of goods sold was primarily attributable to an increase of $42.9 million from our M&amp;A businesses, offset by a $10.5 million decrease in cost of goods sold from our organic business and $7.5 million from PPE.</w:t>
      </w:r>
    </w:p>
    <w:p>
      <w:pPr>
        <w:spacing w:after="0" w:line="2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Gross profit improved from 45.6% for the year-ended December 31, 2020 to 49.2% for the year-ended December 31, 2021. The improvement in gross margin was due to a change of product mix as our net revenue from our M&amp;A businesses, which have a higher gross margin of 59.2% than our organic business of 40.9%. The majority of our M&amp;A businesses’ net revenue tends to be from smaller products that have higher gross margins versus our organic business, which tend to be oversized goods that have lower gross margins. We expect to see future impacts in our gross margin on both our M&amp;A and organic businesses as the international shipping container crisis continues to drive shipping container costs higher and cause reductions in delivery reliability and other, which also increases related shipping container delivery costs, and other inflationary pressures.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4"/>
          </w:tcPr>
          <w:p>
            <w:pPr>
              <w:jc w:val="right"/>
              <w:ind w:right="542"/>
              <w:spacing w:after="0"/>
              <w:rPr>
                <w:sz w:val="20"/>
                <w:szCs w:val="20"/>
                <w:color w:val="auto"/>
              </w:rPr>
            </w:pPr>
            <w:r>
              <w:rPr>
                <w:rFonts w:ascii="Arial" w:cs="Arial" w:eastAsia="Arial" w:hAnsi="Arial"/>
                <w:sz w:val="14"/>
                <w:szCs w:val="14"/>
                <w:color w:val="auto"/>
                <w:w w:val="90"/>
              </w:rPr>
              <w:t>(in thousands, except percentages)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68,005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59,364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87.3%</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Sales and distribution expenses which included e-commerce platform commissions, online advertising and logistics expenses (i.e., variable sales and distribution expense), increased to $127.4 million for the year-ended December 31, 2021 from $68.0 million for the year-ended December 31, 2020. This increase is primarily attributable to the increase in the volume of products sold in the year- ended December 31, 2021, of $43.1 million as our e-commerce platform commissions, online advertising, selling and logistics expenses increased to $103.3 million in the year- ended December 31, 2021 as compared to $60.2 million in the prior period.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sales and distribution fixed costs (e.g., salary and office expenses) increased to $17.3 million for the year- ended December 31, 2021 from $5.2 million for the year-ended December 31, 2020 primarily due to approximately $4.1 million of bad debt reserve from our dispute with a certain PPE supplier, approximately $2.0 million of professional fees from transition services charges from certain of our M&amp;A businesses, and headcount expenses of $5.2 million. Sales and distribution expenses for the year- ended December 31, 2021 included an increase in stock-based compensation expense of $4.3 million as the prior period included reversals of expense of certain restricted stock awards granted pursuant to the 2019 Equity Plan, which restricted stock awards were canceled upon termination of certain employees.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percentage of net revenue, sales and distribution expenses increased to 51.4% for the year-ended December 31, 2021 from 36.6% for the year-ended December 31, 2020 primarily from an increase in last mile shipping costs, bad debt reserve (1.7% as a percentage of net revenue), professional fees from transition services (0.8% as a percentage of net revenue) and stock-based compensation expense (1.7% as a percentage of net revenue). E-commerce platform commissions, online advertising, selling and logistics expenses included within sales and distribution expenses, as a percentage of net revenue, were 41.7% for the year-ended December 31, 2021 as compared to 32.4% for the year-ended December 31, 2020. This increase is predominantly due to product mix and to the increase in last mile shipping costs, specifically around oversized goods, due to the demand on those third-party providers’ delivery networks. We expect to see these cost increases continue in the near-term.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6"/>
          </w:tcPr>
          <w:p>
            <w:pPr>
              <w:jc w:val="right"/>
              <w:ind w:right="1042"/>
              <w:spacing w:after="0" w:line="155" w:lineRule="exact"/>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8,130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1,707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research and development expenses was primarily attributable to an increase of stock-based compensation expense of approximately $1.4 million from expenses of certain restricted stock awards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6"/>
          </w:tcPr>
          <w:p>
            <w:pPr>
              <w:jc w:val="right"/>
              <w:ind w:right="1042"/>
              <w:spacing w:after="0" w:line="155" w:lineRule="exact"/>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30,631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14,468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general and administrative expenses was primarily due to an increase of professional fees of approximately $4.1 million related to M&amp;A costs, including legal, audit and internal control related fees, an increase in intangibles amortization of approximately $6.0 million and $1.3 million reserve related to the litigation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Year-Ended December 31,</w:t>
            </w:r>
          </w:p>
        </w:tc>
        <w:tc>
          <w:tcPr>
            <w:tcW w:w="180" w:type="dxa"/>
            <w:vAlign w:val="bottom"/>
          </w:tcPr>
          <w:p>
            <w:pPr>
              <w:spacing w:after="0"/>
              <w:rPr>
                <w:sz w:val="14"/>
                <w:szCs w:val="14"/>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6"/>
          </w:tcPr>
          <w:p>
            <w:pPr>
              <w:jc w:val="right"/>
              <w:ind w:right="1039"/>
              <w:spacing w:after="0" w:line="155" w:lineRule="exact"/>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a contingent earn-out liability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rPr>
              <w:t>4,164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12,731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(30,529)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39"/>
              <w:spacing w:after="0"/>
              <w:rPr>
                <w:sz w:val="20"/>
                <w:szCs w:val="20"/>
                <w:color w:val="auto"/>
              </w:rPr>
            </w:pPr>
            <w:r>
              <w:rPr>
                <w:rFonts w:ascii="Arial" w:cs="Arial" w:eastAsia="Arial" w:hAnsi="Arial"/>
                <w:sz w:val="18"/>
                <w:szCs w:val="18"/>
                <w:color w:val="auto"/>
              </w:rPr>
              <w:t>(43,260)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r>
    </w:tbl>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settlement of a contingent earn-out liability was due to the difference of fair value of the shares issued on the settlement date versus the fair value of the earn-out on the date of the settlement.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increase in change in fair value of contingent earn-out liabilities was related to our M&amp;A, which includes re-assessment of the estimated fair value of contingent consideration as part of the purchase price, primarily driven by the fluctuation of our share price since the date of each acquisition and contribution margin projections.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6"/>
          </w:tcPr>
          <w:p>
            <w:pPr>
              <w:jc w:val="right"/>
              <w:ind w:right="1042"/>
              <w:spacing w:after="0" w:line="155" w:lineRule="exact"/>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4,979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7,676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154.2%</w:t>
            </w:r>
          </w:p>
        </w:tc>
      </w:tr>
    </w:tbl>
    <w:p>
      <w:pPr>
        <w:spacing w:after="0" w:line="31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increase in interest expense was primarily related to the increase in loan interest and related amortization of deferred financing fees and warrant discounts compared to the prior period’s credit facility and term loan, which had lower borrowings and less amortization of deferred financing fees and warrant discounts compared to this current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6"/>
          </w:tcPr>
          <w:p>
            <w:pPr>
              <w:jc w:val="right"/>
              <w:ind w:right="1042"/>
              <w:spacing w:after="0" w:line="155" w:lineRule="exact"/>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2,037</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136,822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6716.8%</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increase is attributable to the payment and termination of the December 2020 Note (as defined in Note 6 to our consolidated financial statements included in this Annual Report), the February 2021 Note (as defined in Note 6 to our consolidated financial statements included in this Annual Report) and our prior credit facility, which resulted in $29.8 million in loss on extinguishment of debt consisting of unamortized deferred finance costs, the extinguishment of the majority of the April 2021 Note loan, which resulted in $107.0 million in loss on extinguishment of debt and the extinguishment of the High Trail Note loan, which resulted in $2.1 million in loss on extinguishment of debt.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8" w:name="page49"/>
    <w:bookmarkEnd w:id="48"/>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6"/>
          </w:tcPr>
          <w:p>
            <w:pPr>
              <w:jc w:val="right"/>
              <w:ind w:right="1039"/>
              <w:spacing w:after="0" w:line="155" w:lineRule="exact"/>
              <w:rPr>
                <w:sz w:val="20"/>
                <w:szCs w:val="20"/>
                <w:color w:val="auto"/>
              </w:rPr>
            </w:pPr>
            <w:r>
              <w:rPr>
                <w:rFonts w:ascii="Arial" w:cs="Arial" w:eastAsia="Arial" w:hAnsi="Arial"/>
                <w:sz w:val="14"/>
                <w:szCs w:val="14"/>
                <w:color w:val="auto"/>
              </w:rPr>
              <w:t>(in thousands, except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21,338</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rPr>
              <w:t>5,117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Loss on initial issuance of warrants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20,147</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99"/>
              <w:spacing w:after="0"/>
              <w:rPr>
                <w:sz w:val="20"/>
                <w:szCs w:val="20"/>
                <w:color w:val="auto"/>
              </w:rPr>
            </w:pPr>
            <w:r>
              <w:rPr>
                <w:rFonts w:ascii="Arial" w:cs="Arial" w:eastAsia="Arial" w:hAnsi="Arial"/>
                <w:sz w:val="18"/>
                <w:szCs w:val="18"/>
                <w:color w:val="auto"/>
              </w:rPr>
              <w:t>20,147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increase is attributable to the change in the fair value of warrant liability from warrants in connection with the December 2020 Note and the February 2021 Note from the increase of our share price since the issuances of the warrants. The loss on initial issuance of warrants for the year-ended December 31, 2021 was primarily driven by the increase of our share price since the issuance of the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48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Year-Ended December 31,</w:t>
            </w: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5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gridSpan w:val="5"/>
          </w:tcPr>
          <w:p>
            <w:pPr>
              <w:jc w:val="right"/>
              <w:ind w:right="1082"/>
              <w:spacing w:after="0" w:line="155" w:lineRule="exact"/>
              <w:rPr>
                <w:sz w:val="20"/>
                <w:szCs w:val="20"/>
                <w:color w:val="auto"/>
              </w:rPr>
            </w:pPr>
            <w:r>
              <w:rPr>
                <w:rFonts w:ascii="Arial" w:cs="Arial" w:eastAsia="Arial" w:hAnsi="Arial"/>
                <w:sz w:val="14"/>
                <w:szCs w:val="14"/>
                <w:color w:val="auto"/>
                <w:w w:val="95"/>
              </w:rPr>
              <w:t>(in thousands, except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derivative liability</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3,254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is attributable to the term loan from High Trail as we fair-valued certain embedded derivatives within the term loan, primarily around default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333"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For a discussion regarding our financial condition and results of operations for the year ended December 31, 2020 as compared to the year ended December 31, 2019, please refer to the discussion under the heading “Results of Operations—Comparison of the Years Ended December 31, 2020 and 2019” in Item 7 </w:t>
      </w:r>
      <w:hyperlink r:id="rId67">
        <w:r>
          <w:rPr>
            <w:rFonts w:ascii="Arial" w:cs="Arial" w:eastAsia="Arial" w:hAnsi="Arial"/>
            <w:sz w:val="16"/>
            <w:szCs w:val="16"/>
            <w:color w:val="auto"/>
          </w:rPr>
          <w:t xml:space="preserve">of our </w:t>
        </w:r>
        <w:r>
          <w:rPr>
            <w:rFonts w:ascii="Arial" w:cs="Arial" w:eastAsia="Arial" w:hAnsi="Arial"/>
            <w:sz w:val="16"/>
            <w:szCs w:val="16"/>
            <w:u w:val="single" w:color="auto"/>
            <w:color w:val="0000EE"/>
          </w:rPr>
          <w:t>Annual Report on Form 10-K for the fiscal year ended December 31, 2020, filed with the SEC on March 16, 2021</w:t>
        </w:r>
        <w:r>
          <w:rPr>
            <w:rFonts w:ascii="Arial" w:cs="Arial" w:eastAsia="Arial" w:hAnsi="Arial"/>
            <w:sz w:val="16"/>
            <w:szCs w:val="16"/>
            <w:color w:val="auto"/>
          </w:rPr>
          <w:t xml:space="preserve">, as amended by </w:t>
        </w:r>
        <w:r>
          <w:rPr>
            <w:rFonts w:ascii="Arial" w:cs="Arial" w:eastAsia="Arial" w:hAnsi="Arial"/>
            <w:sz w:val="16"/>
            <w:szCs w:val="16"/>
            <w:u w:val="single" w:color="auto"/>
            <w:color w:val="0000EE"/>
          </w:rPr>
          <w:t>Amendment No.</w:t>
        </w:r>
      </w:hyperlink>
    </w:p>
    <w:p>
      <w:pPr>
        <w:spacing w:after="0" w:line="2" w:lineRule="exact"/>
        <w:rPr>
          <w:sz w:val="20"/>
          <w:szCs w:val="20"/>
          <w:color w:val="auto"/>
        </w:rPr>
      </w:pPr>
    </w:p>
    <w:p>
      <w:pPr>
        <w:spacing w:after="0"/>
        <w:rPr>
          <w:rFonts w:ascii="Arial" w:cs="Arial" w:eastAsia="Arial" w:hAnsi="Arial"/>
          <w:sz w:val="18"/>
          <w:szCs w:val="18"/>
          <w:color w:val="0000EE"/>
        </w:rPr>
      </w:pPr>
      <w:hyperlink r:id="rId67">
        <w:r>
          <w:rPr>
            <w:rFonts w:ascii="Arial" w:cs="Arial" w:eastAsia="Arial" w:hAnsi="Arial"/>
            <w:sz w:val="18"/>
            <w:szCs w:val="18"/>
            <w:u w:val="single" w:color="auto"/>
            <w:color w:val="0000EE"/>
          </w:rPr>
          <w:t>1 filed with the SEC on April 29, 2021</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Amendment No. 2 filed with the SEC on September 24, 2021</w:t>
        </w:r>
      </w:hyperlink>
      <w:hyperlink r:id="rId67">
        <w:r>
          <w:rPr>
            <w:rFonts w:ascii="Arial" w:cs="Arial" w:eastAsia="Arial" w:hAnsi="Arial"/>
            <w:sz w:val="18"/>
            <w:szCs w:val="18"/>
            <w:color w:val="000000"/>
          </w:rPr>
          <w:t>.</w:t>
        </w:r>
      </w:hyperlink>
    </w:p>
    <w:p>
      <w:pPr>
        <w:spacing w:after="0" w:line="315"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i w:val="1"/>
          <w:iCs w:val="1"/>
          <w:color w:val="auto"/>
        </w:rPr>
        <w:t>Cash Flows for Years-Ended December 31, 2020 and 2021</w:t>
      </w:r>
    </w:p>
    <w:p>
      <w:pPr>
        <w:spacing w:after="0" w:line="117"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The following table provides information regarding our cash flows for the years-ended December 31, 2020 and 2021:</w:t>
      </w:r>
    </w:p>
    <w:p>
      <w:pPr>
        <w:spacing w:after="0" w:line="325" w:lineRule="exact"/>
        <w:rPr>
          <w:rFonts w:ascii="Arial" w:cs="Arial" w:eastAsia="Arial" w:hAnsi="Arial"/>
          <w:sz w:val="18"/>
          <w:szCs w:val="18"/>
          <w:color w:val="0000EE"/>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56"/>
        </w:trPr>
        <w:tc>
          <w:tcPr>
            <w:tcW w:w="5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(used) by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6,091</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(41,969)</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(44,905)</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32,319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w:t>
            </w:r>
          </w:p>
        </w:tc>
        <w:tc>
          <w:tcPr>
            <w:tcW w:w="80" w:type="dxa"/>
            <w:vAlign w:val="bottom"/>
            <w:shd w:val="clear" w:color="auto" w:fill="CFF0FC"/>
          </w:tcPr>
          <w:p>
            <w:pPr>
              <w:spacing w:after="0"/>
              <w:rPr>
                <w:sz w:val="19"/>
                <w:szCs w:val="19"/>
                <w:color w:val="auto"/>
              </w:rPr>
            </w:pPr>
          </w:p>
        </w:tc>
      </w:tr>
    </w:tbl>
    <w:p>
      <w:pPr>
        <w:spacing w:after="0" w:line="200" w:lineRule="exact"/>
        <w:rPr>
          <w:rFonts w:ascii="Arial" w:cs="Arial" w:eastAsia="Arial" w:hAnsi="Arial"/>
          <w:sz w:val="18"/>
          <w:szCs w:val="18"/>
          <w:color w:val="0000EE"/>
        </w:rPr>
      </w:pPr>
    </w:p>
    <w:p>
      <w:pPr>
        <w:spacing w:after="0" w:line="218"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rFonts w:ascii="Arial" w:cs="Arial" w:eastAsia="Arial" w:hAnsi="Arial"/>
          <w:sz w:val="18"/>
          <w:szCs w:val="18"/>
          <w:color w:val="0000EE"/>
        </w:rPr>
      </w:pPr>
    </w:p>
    <w:p>
      <w:pPr>
        <w:ind w:right="180"/>
        <w:spacing w:after="0" w:line="263" w:lineRule="auto"/>
        <w:rPr>
          <w:sz w:val="20"/>
          <w:szCs w:val="20"/>
          <w:color w:val="auto"/>
        </w:rPr>
      </w:pPr>
      <w:r>
        <w:rPr>
          <w:rFonts w:ascii="Arial" w:cs="Arial" w:eastAsia="Arial" w:hAnsi="Arial"/>
          <w:sz w:val="18"/>
          <w:szCs w:val="18"/>
          <w:color w:val="auto"/>
        </w:rPr>
        <w:t>Net cash provided by operating activities was $6.1 million for the year-ended December 31, 2020, resulting from our net cash losses from operations of $2.4 million, offset by cash from working capital of $8.5 million from changes in accounts receivable, purchase of inventory and insurance and payments of accounts payable.</w:t>
      </w:r>
    </w:p>
    <w:p>
      <w:pPr>
        <w:spacing w:after="0" w:line="184"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ind w:right="100"/>
        <w:spacing w:after="0" w:line="263" w:lineRule="auto"/>
        <w:rPr>
          <w:sz w:val="20"/>
          <w:szCs w:val="20"/>
          <w:color w:val="auto"/>
        </w:rPr>
      </w:pPr>
      <w:r>
        <w:rPr>
          <w:rFonts w:ascii="Arial" w:cs="Arial" w:eastAsia="Arial" w:hAnsi="Arial"/>
          <w:sz w:val="18"/>
          <w:szCs w:val="18"/>
          <w:color w:val="auto"/>
        </w:rPr>
        <w:t>Net cash used by operating activities was $42.0 million for the year-ended December 31, 2021, resulting from our net cash losses from operations of $24.4 million and cash usage from working capital of $17.6 million from changes in accounts receivable, purchase of inventory and insurance and payments of accounts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in investing activities for the year-ended December 31, 2020 was primarily from the acquisition of Truweo Assets for $14.0 million and Smash Assets for $25.0 million.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cash used in investing activities of $44.9 million for the year-ended December 31, 2021 was primarily for the acquisition of the assets from Healing Solutions, LLC (“Healing Solutions”) for $15.3 million, the assets from Squatty Potty, LLC for $19.0 million and the acquisition of Photo Paper Direct Ltd. of $10.6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year-ended December 31, 2020, cash provided by financing activities of $32.3 million was primarily from the net proceeds of our August 2020 underwritten public offering of $23.4 million and borrowings from the High Trail term loan, net of $35.8 million, which was offset by net repayments on the Credit Facility of $10.1 million and repayments of the Horizon Term Loan of $16.0 million.</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For the year-ended December 31, 2021, cash provided by financing activities of $95.6 million was primarily from proceeds from borrowings from the High Trail April 2021 Notes of $110.0 million, proceeds from cancellation of a warrant of $16.9 million and proceeds from an equity offering of $36.7 million, net, proceeds from exercise of stock options of $9.0 million, borrowings of $20.0 million of Midcap credit facility offset by repayments of the High Trail December 2020 Note and February 2021 Note of $59.5 million, repayments of the High Trail April 2021 Note of $10.1 million, repayments of the High Trail December 2021 Note of $27.5 million and $10.5 million of repayments of notes issued to certain sellers in connection with our M&amp;A activity.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Years-Ended December 31, 2019 and 2020</w:t>
      </w:r>
    </w:p>
    <w:p>
      <w:pPr>
        <w:spacing w:after="0" w:line="333" w:lineRule="exact"/>
        <w:rPr>
          <w:sz w:val="20"/>
          <w:szCs w:val="20"/>
          <w:color w:val="auto"/>
        </w:rPr>
      </w:pPr>
    </w:p>
    <w:p>
      <w:pPr>
        <w:ind w:right="20"/>
        <w:spacing w:after="0" w:line="279" w:lineRule="auto"/>
        <w:rPr>
          <w:rFonts w:ascii="Arial" w:cs="Arial" w:eastAsia="Arial" w:hAnsi="Arial"/>
          <w:sz w:val="17"/>
          <w:szCs w:val="17"/>
          <w:color w:val="0000EE"/>
        </w:rPr>
      </w:pPr>
      <w:r>
        <w:rPr>
          <w:rFonts w:ascii="Arial" w:cs="Arial" w:eastAsia="Arial" w:hAnsi="Arial"/>
          <w:sz w:val="17"/>
          <w:szCs w:val="17"/>
          <w:color w:val="auto"/>
        </w:rPr>
        <w:t xml:space="preserve">For a discussion regarding our financial condition and results of operations for the year ended December 31, 2020 as compared to the year ended December 31, 2019, please refer to the discussion under the heading “Liquidity and Capital Resources—Comparison of the Years Ended December 31, 2020 and 2019” in Item 7 of our </w:t>
      </w:r>
      <w:hyperlink r:id="rId70">
        <w:r>
          <w:rPr>
            <w:rFonts w:ascii="Arial" w:cs="Arial" w:eastAsia="Arial" w:hAnsi="Arial"/>
            <w:sz w:val="17"/>
            <w:szCs w:val="17"/>
            <w:u w:val="single" w:color="auto"/>
            <w:color w:val="0000EE"/>
          </w:rPr>
          <w:t>Annual Report on Form 10-K for the fiscal year ended December 31, 2020, filed with the SEC on March 16, 2021</w:t>
        </w:r>
      </w:hyperlink>
      <w:r>
        <w:rPr>
          <w:rFonts w:ascii="Arial" w:cs="Arial" w:eastAsia="Arial" w:hAnsi="Arial"/>
          <w:sz w:val="17"/>
          <w:szCs w:val="17"/>
          <w:color w:val="auto"/>
        </w:rPr>
        <w:t xml:space="preserve">, as amended by </w:t>
      </w:r>
      <w:hyperlink r:id="rId67">
        <w:r>
          <w:rPr>
            <w:rFonts w:ascii="Arial" w:cs="Arial" w:eastAsia="Arial" w:hAnsi="Arial"/>
            <w:sz w:val="17"/>
            <w:szCs w:val="17"/>
            <w:u w:val="single" w:color="auto"/>
            <w:color w:val="0000EE"/>
          </w:rPr>
          <w:t>Amendment No. 1 filed with the SEC on April 29, 2021</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68">
        <w:r>
          <w:rPr>
            <w:rFonts w:ascii="Arial" w:cs="Arial" w:eastAsia="Arial" w:hAnsi="Arial"/>
            <w:sz w:val="17"/>
            <w:szCs w:val="17"/>
            <w:u w:val="single" w:color="auto"/>
            <w:color w:val="0000EE"/>
          </w:rPr>
          <w:t>Amendment No. 2 filed with the SEC on September 24, 2021</w:t>
        </w:r>
      </w:hyperlink>
      <w:r>
        <w:rPr>
          <w:rFonts w:ascii="Arial" w:cs="Arial" w:eastAsia="Arial" w:hAnsi="Arial"/>
          <w:sz w:val="17"/>
          <w:szCs w:val="17"/>
          <w:color w:val="000000"/>
        </w:rPr>
        <w:t>.</w:t>
      </w:r>
    </w:p>
    <w:p>
      <w:pPr>
        <w:spacing w:after="0" w:line="27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Going Concern</w:t>
      </w:r>
    </w:p>
    <w:p>
      <w:pPr>
        <w:spacing w:after="0" w:line="225" w:lineRule="exact"/>
        <w:rPr>
          <w:rFonts w:ascii="Arial" w:cs="Arial" w:eastAsia="Arial" w:hAnsi="Arial"/>
          <w:sz w:val="17"/>
          <w:szCs w:val="17"/>
          <w:color w:val="auto"/>
        </w:rPr>
      </w:pPr>
    </w:p>
    <w:p>
      <w:pPr>
        <w:ind w:right="40"/>
        <w:spacing w:after="0" w:line="272" w:lineRule="auto"/>
        <w:rPr>
          <w:sz w:val="20"/>
          <w:szCs w:val="20"/>
          <w:color w:val="auto"/>
        </w:rPr>
      </w:pPr>
      <w:r>
        <w:rPr>
          <w:rFonts w:ascii="Arial" w:cs="Arial" w:eastAsia="Arial" w:hAnsi="Arial"/>
          <w:sz w:val="17"/>
          <w:szCs w:val="17"/>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mergers and acquisitions (“M&amp;A strategy”). In addition, our recent financial performance has been adversely impacted by the COVID-19 global pandemic and related global shipping disruption, in particular with respect to substantial increases in supply chain costs for shipping containers (See COVID-19 Pandemic and Supply Chain disclosure below). As a result, we have incurred significant losses and will remain dependent on outside capital for the foreseeable future until such time that we can realize our strategy of growth by generating profits through our organic growth and M&amp;A strategy, and reduce our reliance on outside capital.</w:t>
      </w:r>
    </w:p>
    <w:p>
      <w:pPr>
        <w:spacing w:after="0" w:line="177" w:lineRule="exact"/>
        <w:rPr>
          <w:rFonts w:ascii="Arial" w:cs="Arial" w:eastAsia="Arial" w:hAnsi="Arial"/>
          <w:sz w:val="17"/>
          <w:szCs w:val="17"/>
          <w:color w:val="auto"/>
        </w:rPr>
      </w:pPr>
    </w:p>
    <w:p>
      <w:pPr>
        <w:spacing w:after="0" w:line="277" w:lineRule="auto"/>
        <w:rPr>
          <w:sz w:val="20"/>
          <w:szCs w:val="20"/>
          <w:color w:val="auto"/>
        </w:rPr>
      </w:pPr>
      <w:r>
        <w:rPr>
          <w:rFonts w:ascii="Arial" w:cs="Arial" w:eastAsia="Arial" w:hAnsi="Arial"/>
          <w:sz w:val="18"/>
          <w:szCs w:val="18"/>
          <w:color w:val="auto"/>
        </w:rPr>
        <w:t>Given the inherent uncertainties associated with executing our growth strategy, as well as the uncertainty associated with the ongoing COVID-19 global pandemic and related global supply chain disruption, we can provide no assurance that we will be able to obtain</w:t>
      </w:r>
    </w:p>
    <w:p>
      <w:pPr>
        <w:spacing w:after="0" w:line="170"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sufficient outside capital or generate sufficient cash from operations to fund our obligations as they become due over the next twelve months from the date these consolidated financial statements were issued.</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our inception, we have been able to successfully raise a substantial amount of outside capital to fund our growth strategy. However, as of December 31, 2021, we have had no firm commitments of additional outside capital from current or prospective investors or lenders. Furthermore, given the inherent uncertainties associated with our growth strategy, we may be unable to remain in compliance with the financial covenants required by the credit facility agreement over the next twelve months. These uncertainties raise substantial doubt about our ability to continue as a going concern.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alleviate substantial doubt, we plan to continue to closely monitor our operating forecast, pursue additional sources of outside capital, and pursue our M&amp;A strategy. If we are (a) unable to improve our operating results, (b) obtain additional outside capital on terms that are acceptable to us to fund our operations and M&amp;A strategy, and/or (c) secure a waiver or forbearance from the lender if we are unable to remain in compliance with the financial covenants required by the credit facility agreement, we may make significant changes to our operating plan, such as delay expenditures, reduce investments in new products, delay the development of our software, reduce our sale and distribution infrastructure, or otherwise significantly reduce the scope of our business. Moreover, if we breach the financial covenants required by the credit facility agreement and fails to secure a waiver or forbearance from the lender, such breach or failure could accelerate the repayment of the outstanding borrowings under the credit facility agreement or the exercise of other rights or remedies the lender may have under applicable law. We can provide no assurance a waiver or forbearance will be granted or the outstanding borrowings under the credit facility will be successfully refinanced on terms that are acceptable to the Company.</w:t>
      </w:r>
    </w:p>
    <w:p>
      <w:pPr>
        <w:spacing w:after="0" w:line="270" w:lineRule="exact"/>
        <w:rPr>
          <w:sz w:val="20"/>
          <w:szCs w:val="20"/>
          <w:color w:val="auto"/>
        </w:rPr>
      </w:pPr>
    </w:p>
    <w:p>
      <w:pPr>
        <w:ind w:right="760"/>
        <w:spacing w:after="0" w:line="312" w:lineRule="auto"/>
        <w:rPr>
          <w:sz w:val="20"/>
          <w:szCs w:val="20"/>
          <w:color w:val="auto"/>
        </w:rPr>
      </w:pPr>
      <w:r>
        <w:rPr>
          <w:rFonts w:ascii="Arial" w:cs="Arial" w:eastAsia="Arial" w:hAnsi="Arial"/>
          <w:sz w:val="17"/>
          <w:szCs w:val="17"/>
          <w:b w:val="1"/>
          <w:bCs w:val="1"/>
          <w:color w:val="auto"/>
        </w:rPr>
        <w:t>COVID-19 Pandemic and Supply Chain—</w:t>
      </w:r>
      <w:r>
        <w:rPr>
          <w:rFonts w:ascii="Arial" w:cs="Arial" w:eastAsia="Arial" w:hAnsi="Arial"/>
          <w:sz w:val="17"/>
          <w:szCs w:val="17"/>
          <w:color w:val="auto"/>
        </w:rPr>
        <w:t>The full impact of the COVID-19 pandemic and Supply Chain, including the impact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preventive and precautionary measures that we, other businesses and governments are taking, continues to evolve.</w:t>
      </w:r>
    </w:p>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2021, we have been impacted by COVID-19 pandemic and related global shipping disruption. Together these have led to substantial increases in supply chain costs, in particular shipping containers, which we rely on to import our goods, has reduced the reliability and timely delivery of such shipping containers and has substantially increased our last mile shipping costs on its oversized goods. These cost increases have been particularly substantial to oversized goods, which is a material part of our business. The reduced reliability and delivery of such shipping containers is forcing us to spend more on premium shipping to ensure goods are delivered, if at all, and the lack of reliability and timely delivery has further down chain impacts as it takes longer for containers to be offloaded and returned. Further, this global shipping disruption is forcing us to increase our inventory on-hand including advance ordering and taking possession of inventory earlier than expected impacting its working capital.</w:t>
      </w:r>
    </w:p>
    <w:p>
      <w:pPr>
        <w:spacing w:after="0" w:line="17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impacted by the COVID-19 pandemic. The COVID-19 pandemic continues to bring uncertainty to consumer demand as price increases related to raw materials, the importing of goods, including tariffs, and the cost of delivering goods to consumers has led to inflation across the U.S. Coupled with the recent reopening of the majority of the country, we have noticed changes to consumer buying habits, which may have reduced demand for its products.</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COVID-19 continues to bring uncertainty to consumer demand as price increases related to raw materials, the importing of goods, including tariffs, and the cost of delivering goods to consumers has led to inflation across the U.S. Coupled with continued changes in governmental restrictions and requirements, which continued to vary across the majority of the country, the Company has noticed changes to consumer buying habits, which may have reduced demand for its products. Further, we have increased the sale prices for our products to offset the increased supply chain costs, which has also led to reduced demand for our goods. Reduced demand for our products and increased prices affecting consumer demand generally have also made forecasting more difficult.</w:t>
      </w:r>
    </w:p>
    <w:p>
      <w:pPr>
        <w:spacing w:after="0" w:line="16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continue to consider the impact of COVID-19 and Supply Chain on the assumptions and estimates used when preparing our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and Supply Chain worsen beyond what is currently estimated by management, such future changes may have an adverse impact on our results of operations, financial position,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9, 2021, our lender, High Trail Investments SA LLC (“High Trail SA”) and High Trail Investments ON LLC (“High Trail ON” and, together with High Trail SA, “High Trail”) notified us that High Trail declared an event of default under the April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Notes (as defined in Note 6 to our consolidated financial statements included in this Annual Report) as a result of our failure to maintain Adjusted EBITDA</w:t>
      </w:r>
    </w:p>
    <w:p>
      <w:pPr>
        <w:spacing w:after="0" w:line="46" w:lineRule="exact"/>
        <w:rPr>
          <w:sz w:val="20"/>
          <w:szCs w:val="20"/>
          <w:color w:val="auto"/>
        </w:rPr>
      </w:pPr>
    </w:p>
    <w:p>
      <w:pPr>
        <w:ind w:right="400" w:firstLine="8"/>
        <w:spacing w:after="0" w:line="260" w:lineRule="auto"/>
        <w:tabs>
          <w:tab w:leader="none" w:pos="1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due to the impacts of supply chain), as required under the terms of our then-existing debt arrangements with High Trail. On September 22, 2021, we reached an agreement with High Trail to pay down and amend our outstanding secured term debt.</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paid off the remaining $25.0 million High Trail Term Loan as of December 31, 2021 (see the discussion under the heading MidCap Credit Facility December 2021 below). Pursuant to ASC 470, Debt, we concluded the High Trail Term Loan transaction resulted in the extinguishment of the High Trail Term Loan in the amount of $2.5 million of extinguishment of which has been classified within loss on extinguishment of debt on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MidCap Credit Facility – December 2021</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Credit Facility.</w:t>
      </w: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facility contains a financial covenant that requires us to maintain a minimum unrestricted cash balance of (a) $12.5 million during the period from February 1st through and including May 31st of each calendar year, and (b) $15.0 million at all other times thereafter. At its election, we may elect to comply with an alternative financial covenant that would require us to maintain a minimum borrowing availability under the credit facility of $10.0 million at all times. We currently do not anticipate electing the alternative financial covenant over the next twelve months and are in compliance with the minimum liquidity covenant as of the date these consolidated financial statements were issued.</w:t>
      </w:r>
    </w:p>
    <w:p>
      <w:pPr>
        <w:spacing w:after="0" w:line="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22, 2021, we used $27.6 million of the net proceeds from the initial borrowing under the Credit Facility to repay all amounts owed under those certain senior secured promissory notes issued by us to High Trail in an initial principal amount of $110.0 million, as amended. We expect to use the remaining proceeds of any loans under the Credit Facility for working capital and general corporate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December 1, 2020, the acquisition date of the </w:t>
      </w:r>
      <w:r>
        <w:rPr>
          <w:rFonts w:ascii="Arial" w:cs="Arial" w:eastAsia="Arial" w:hAnsi="Arial"/>
          <w:sz w:val="18"/>
          <w:szCs w:val="18"/>
          <w:color w:val="212529"/>
        </w:rPr>
        <w:t>assets of the e-commerce business under the brands Mueller, Pursteam, Pohl and Schmitt and Spiralizer</w:t>
      </w:r>
      <w:r>
        <w:rPr>
          <w:rFonts w:ascii="Arial" w:cs="Arial" w:eastAsia="Arial" w:hAnsi="Arial"/>
          <w:sz w:val="18"/>
          <w:szCs w:val="18"/>
          <w:color w:val="auto"/>
        </w:rPr>
        <w:t xml:space="preserve"> </w:t>
      </w:r>
      <w:r>
        <w:rPr>
          <w:rFonts w:ascii="Arial" w:cs="Arial" w:eastAsia="Arial" w:hAnsi="Arial"/>
          <w:sz w:val="18"/>
          <w:szCs w:val="18"/>
          <w:color w:val="212529"/>
        </w:rPr>
        <w:t>(the “Smash Assets”)</w:t>
      </w:r>
      <w:r>
        <w:rPr>
          <w:rFonts w:ascii="Arial" w:cs="Arial" w:eastAsia="Arial" w:hAnsi="Arial"/>
          <w:sz w:val="18"/>
          <w:szCs w:val="18"/>
          <w:color w:val="000000"/>
        </w:rPr>
        <w:t>, the initial fair value amount of the earn-out payment was appropriately $9.8 million. As of December 31, 2020, the fair value amount</w:t>
      </w:r>
      <w:r>
        <w:rPr>
          <w:rFonts w:ascii="Arial" w:cs="Arial" w:eastAsia="Arial" w:hAnsi="Arial"/>
          <w:sz w:val="18"/>
          <w:szCs w:val="18"/>
          <w:color w:val="212529"/>
        </w:rPr>
        <w:t xml:space="preserve"> </w:t>
      </w:r>
      <w:r>
        <w:rPr>
          <w:rFonts w:ascii="Arial" w:cs="Arial" w:eastAsia="Arial" w:hAnsi="Arial"/>
          <w:sz w:val="18"/>
          <w:szCs w:val="18"/>
          <w:color w:val="000000"/>
        </w:rPr>
        <w:t>of the earn-out payment with respect to the Smash Assets was approximately $22.5 million representing a change of fair value impact of approximately $12.7 million. As of December 31, 2021, the fair value amount of the earn-out payment with respect to the Smash Assets was approximately $5.2, representing a year-ended December 31, 2021.</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acquisition of the certain assets of Healing Solutions (the “Healing Solutions Assets”), Healing Solutions was entitled to earn-out payments based on the achievement of certain contribution margin thresholds on certain products of the acquired business. If the earn-out consideration event occurs:</w:t>
      </w:r>
    </w:p>
    <w:p>
      <w:pPr>
        <w:jc w:val="both"/>
        <w:ind w:firstLine="8"/>
        <w:spacing w:after="0" w:line="292" w:lineRule="auto"/>
        <w:tabs>
          <w:tab w:leader="none" w:pos="2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the date that is nine months following the Closing Date, we were to issue 528,670 shares of our common stock to Healing Solutions; (ii) on or after the date that is nine months following the Closing Date but before the date that is 12 months following the Closing Date, we were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we were to issue 264,335 shares of common stock to Healing Solutions; or after 15 months, we would not have any obligation to issue any shares of our common stock to Healing Solutions.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2021, the acquisition date of the Healing Solutions Assets, the initial fair value amount of the earn-out payment with respect to the Healing Solutions Assets was appropriately $16.5 million. In November 2021, we issued 1.4 million shares of common stock in full settlement of the earn-out. As of December 31, 2021 there was no earn-out liability related to Healing Solutions.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acquisition of the assets of Squatty Potty, LLC (the “Squatty Potty Assets”), Squatty Potty is entitled to earn-out payments based on the achievement of certain contribution margin thresholds on certain products of the acquired business. If the earn-out consideration event occurred in the 12 months ending December 31, 2021, the earn-out payment amount was to be $3.9 million and if the parties terminate the transition service agreement prior to the date that is nine months following the Closing Date, we are to pay an additional $3.9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line="311" w:lineRule="auto"/>
        <w:rPr>
          <w:sz w:val="20"/>
          <w:szCs w:val="20"/>
          <w:color w:val="auto"/>
        </w:rPr>
      </w:pPr>
      <w:r>
        <w:rPr>
          <w:rFonts w:ascii="Arial" w:cs="Arial" w:eastAsia="Arial" w:hAnsi="Arial"/>
          <w:sz w:val="16"/>
          <w:szCs w:val="16"/>
          <w:color w:val="auto"/>
        </w:rPr>
        <w:t>As of May 5, 2021, the acquisition date the Squatty Potty Assets, the initial fair value amount of the earn-out payment with respect to the Squatty Potty Assets was appropriately $3.5 million. As of December 31, 2021, the fair value amount of the earn-out payment with respect to the Squatty Potty Assets was approximately $4.0 million, representing a net change of fair value impact of approximately $0.5 million for year-ended December 31, 2021.</w:t>
      </w:r>
    </w:p>
    <w:p>
      <w:pPr>
        <w:spacing w:after="0" w:line="176"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color w:val="auto"/>
        </w:rPr>
        <w:t>As of May 5, 2021, the acquisition date of Photo Paper Direct Ltd. (“Photo Paper Direct”), the initial fair value amount of the earn-out payment with respect to Photo Paper Direct was appropriately $0.9 million. As of December 31, 2021, the fair value amount of the earn-out payment with respect to the Photo Paper Direct acquisition was approximately $0.0 million as the earnout was not achieved, representing a net change of fair value impact of approximately $0.9 million for the year-ended December 31,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Inventory Purchase Orders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2020 and 2021, the Company had open inventory purchase orders of $55.0 million and $32.3 million, respectively, placed with vendors waiting to be fulfilled.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Annual Report have been prepared in a manner that complies, in all material respects, with generally accepted accounting principles in the U.S. (“GAAP”). However, for the reasons discussed below, we have presented certain non-GAAP measures herein.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used herein, Contribution margin represents gross profit less amortization of inventory step-up from acquisitions (included in cost of goods sold) and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amortization of inventory step-up from acquisitions (included in cost of goods sold), changes in fair-market value of warrant liability, professional fees related to acquisitions, loss from extinguishment of debt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9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6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reconciliation to calculate contribution margin, we add e-commerce platform commissions, online advertising, selling and logistics expenses (“sales and distribution variable expense”), to gross margin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3"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line="253" w:lineRule="auto"/>
        <w:rPr>
          <w:sz w:val="20"/>
          <w:szCs w:val="20"/>
          <w:color w:val="auto"/>
        </w:rPr>
      </w:pPr>
      <w:r>
        <w:rPr>
          <w:rFonts w:ascii="Arial" w:cs="Arial" w:eastAsia="Arial" w:hAnsi="Arial"/>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211"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interest expense or the cash requirements necessary to service interest expense or principal payments, associated with indebtedness;</w:t>
      </w:r>
    </w:p>
    <w:p>
      <w:pPr>
        <w:spacing w:after="0" w:line="47" w:lineRule="exact"/>
        <w:rPr>
          <w:rFonts w:ascii="Arial" w:cs="Arial" w:eastAsia="Arial" w:hAnsi="Arial"/>
          <w:sz w:val="17"/>
          <w:szCs w:val="17"/>
          <w:color w:val="auto"/>
        </w:rPr>
      </w:pPr>
    </w:p>
    <w:p>
      <w:pPr>
        <w:ind w:left="740" w:hanging="368"/>
        <w:spacing w:after="0" w:line="258"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 or</w:t>
      </w:r>
    </w:p>
    <w:p>
      <w:pPr>
        <w:spacing w:after="0" w:line="21"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Additionally, Adjusted EBITDA excludes non-cash expense for stock-based compensation, which is and is expected to remain a key element of our overall long-term incentive compensation package.</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85"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 or</w:t>
      </w:r>
    </w:p>
    <w:p>
      <w:pPr>
        <w:spacing w:after="0" w:line="36"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Year-Ended December 31,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4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r>
      <w:tr>
        <w:trPr>
          <w:trHeight w:val="155"/>
        </w:trPr>
        <w:tc>
          <w:tcPr>
            <w:tcW w:w="4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4"/>
          </w:tcPr>
          <w:p>
            <w:pPr>
              <w:jc w:val="right"/>
              <w:ind w:right="50"/>
              <w:spacing w:after="0" w:line="155" w:lineRule="exact"/>
              <w:rPr>
                <w:sz w:val="20"/>
                <w:szCs w:val="20"/>
                <w:color w:val="auto"/>
              </w:rPr>
            </w:pPr>
            <w:r>
              <w:rPr>
                <w:rFonts w:ascii="Arial" w:cs="Arial" w:eastAsia="Arial" w:hAnsi="Arial"/>
                <w:sz w:val="14"/>
                <w:szCs w:val="14"/>
                <w:color w:val="auto"/>
              </w:rPr>
              <w:t>(in thousands, except percentages)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45,040</w:t>
            </w:r>
          </w:p>
        </w:tc>
        <w:tc>
          <w:tcPr>
            <w:tcW w:w="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84,746</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121,863</w:t>
            </w:r>
          </w:p>
        </w:tc>
        <w:tc>
          <w:tcPr>
            <w:tcW w:w="24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Contribution margin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2,489</w:t>
            </w:r>
          </w:p>
        </w:tc>
        <w:tc>
          <w:tcPr>
            <w:tcW w:w="3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25,123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25,038</w:t>
            </w:r>
          </w:p>
        </w:tc>
        <w:tc>
          <w:tcPr>
            <w:tcW w:w="24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Gross profit as a percentage of net revenue</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(58,789)</w:t>
            </w:r>
          </w:p>
        </w:tc>
        <w:tc>
          <w:tcPr>
            <w:tcW w:w="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(63,126)</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(236,024)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EBITDA</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(54,191)</w:t>
            </w:r>
          </w:p>
        </w:tc>
        <w:tc>
          <w:tcPr>
            <w:tcW w:w="3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(57,547)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(215,511)</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(19,469)</w:t>
            </w:r>
          </w:p>
        </w:tc>
        <w:tc>
          <w:tcPr>
            <w:tcW w:w="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2,494</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(7,159)</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loss as a percentage of net revenue</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38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EBITDA represents net loss plus depreciation and amortization, interest expense, net and provision for income taxes. Adjusted EBITDA represents EBITDA plus stock-based compensation expense, changes in fair-market value of earn-outs, amortization of inventory step-up from acquisitions (included in cost of goods sold), change in fair-market value of warrant liability, professional fees related to acquisitions, loss from extinguishment of debt and other expenses, net. As used herein, Adjusted EBITDA as a percentage of net revenue represents Adjusted EBITDA divided by net revenue.</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loss, which is the most directly comparable financial measure presented in accordance with GAAP: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4" w:name="page55"/>
    <w:bookmarkEnd w:id="54"/>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left="48"/>
              <w:spacing w:after="0"/>
              <w:rPr>
                <w:sz w:val="20"/>
                <w:szCs w:val="20"/>
                <w:color w:val="auto"/>
              </w:rPr>
            </w:pPr>
            <w:r>
              <w:rPr>
                <w:rFonts w:ascii="Arial" w:cs="Arial" w:eastAsia="Arial" w:hAnsi="Arial"/>
                <w:sz w:val="14"/>
                <w:szCs w:val="14"/>
                <w:b w:val="1"/>
                <w:bCs w:val="1"/>
                <w:color w:val="auto"/>
                <w:w w:val="92"/>
              </w:rPr>
              <w:t>Year-Ended December 31,</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1"/>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gridSpan w:val="8"/>
          </w:tcPr>
          <w:p>
            <w:pPr>
              <w:jc w:val="center"/>
              <w:ind w:left="592"/>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(58,789)</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(63,126)</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(236,024)</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12,655</w:t>
            </w:r>
          </w:p>
        </w:tc>
        <w:tc>
          <w:tcPr>
            <w:tcW w:w="24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7,326</w:t>
            </w:r>
          </w:p>
        </w:tc>
        <w:tc>
          <w:tcPr>
            <w:tcW w:w="24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(215,511)</w:t>
            </w:r>
          </w:p>
        </w:tc>
        <w:tc>
          <w:tcPr>
            <w:tcW w:w="24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(30,529)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Settlement of a contingent earnout liability</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40" w:type="dxa"/>
            <w:vAlign w:val="bottom"/>
            <w:shd w:val="clear" w:color="auto" w:fill="CFF0FC"/>
          </w:tcPr>
          <w:p>
            <w:pPr>
              <w:spacing w:after="0"/>
              <w:rPr>
                <w:sz w:val="19"/>
                <w:szCs w:val="19"/>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w w:val="95"/>
              </w:rPr>
              <w:t>Amortization of inventory step-up from acquisitions (included in cost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goods sold)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5,458</w:t>
            </w:r>
          </w:p>
        </w:tc>
        <w:tc>
          <w:tcPr>
            <w:tcW w:w="240" w:type="dxa"/>
            <w:vAlign w:val="bottom"/>
          </w:tcPr>
          <w:p>
            <w:pPr>
              <w:spacing w:after="0"/>
              <w:rPr>
                <w:sz w:val="20"/>
                <w:szCs w:val="20"/>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24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Derivative liability discount related to term loan</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138,859</w:t>
            </w:r>
          </w:p>
        </w:tc>
        <w:tc>
          <w:tcPr>
            <w:tcW w:w="24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Loss on initial issuance of warrants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20,147</w:t>
            </w:r>
          </w:p>
        </w:tc>
        <w:tc>
          <w:tcPr>
            <w:tcW w:w="24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 related to acquisitions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4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Transition costs from acquisitions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8"/>
              </w:rPr>
              <w:t>Professional and legal fees related to Photo Paper Direct acquisition</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Reserve on dispute with PPE supplier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4,100</w:t>
            </w:r>
          </w:p>
        </w:tc>
        <w:tc>
          <w:tcPr>
            <w:tcW w:w="24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Litigation reserve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Reserve on barter credits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28,987</w:t>
            </w:r>
          </w:p>
        </w:tc>
        <w:tc>
          <w:tcPr>
            <w:tcW w:w="240" w:type="dxa"/>
            <w:vAlign w:val="bottom"/>
            <w:shd w:val="clear" w:color="auto" w:fill="CFF0FC"/>
          </w:tcPr>
          <w:p>
            <w:pPr>
              <w:spacing w:after="0"/>
              <w:rPr>
                <w:sz w:val="19"/>
                <w:szCs w:val="19"/>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w:t>
            </w:r>
          </w:p>
        </w:tc>
        <w:tc>
          <w:tcPr>
            <w:tcW w:w="240" w:type="dxa"/>
            <w:vAlign w:val="bottom"/>
            <w:tcBorders>
              <w:bottom w:val="single" w:sz="8" w:color="CFF0FC"/>
            </w:tcBorders>
          </w:tcPr>
          <w:p>
            <w:pPr>
              <w:spacing w:after="0"/>
              <w:rPr>
                <w:sz w:val="22"/>
                <w:szCs w:val="22"/>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net revenue</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Adjusted EBITDA as a percentage of net revenue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Margin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Contribution margin represents gross profit less amortization of inventory step-up from acquisitions (included in cost of goods sold) and e-commerce platform commissions, online advertising, selling and logistics expenses (included in sales and distribution expenses). Contribution margin as a percentage of net revenue represents Contribution margin divided by net revenue. 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8"/>
              </w:rPr>
              <w:t>Year-Ended December 31,</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0" w:type="dxa"/>
            <w:vAlign w:val="bottom"/>
            <w:gridSpan w:val="7"/>
          </w:tcPr>
          <w:p>
            <w:pPr>
              <w:jc w:val="right"/>
              <w:ind w:right="107"/>
              <w:spacing w:after="0" w:line="155" w:lineRule="exact"/>
              <w:rPr>
                <w:sz w:val="20"/>
                <w:szCs w:val="20"/>
                <w:color w:val="auto"/>
              </w:rPr>
            </w:pPr>
            <w:r>
              <w:rPr>
                <w:rFonts w:ascii="Arial" w:cs="Arial" w:eastAsia="Arial" w:hAnsi="Arial"/>
                <w:sz w:val="14"/>
                <w:szCs w:val="14"/>
                <w:color w:val="auto"/>
              </w:rPr>
              <w:t>(in thousands, except percentages)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45,040</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121,863</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w w:val="93"/>
              </w:rPr>
              <w:t>Amortization of inventory step-up from acquisitions (included in cost of goods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sold)</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w:t>
            </w:r>
          </w:p>
        </w:tc>
        <w:tc>
          <w:tcPr>
            <w:tcW w:w="1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Reserve on barter credits</w:t>
            </w:r>
          </w:p>
        </w:tc>
        <w:tc>
          <w:tcPr>
            <w:tcW w:w="26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5"/>
              </w:rPr>
              <w:t>E-commerce platform commissions, online advertising, selling and logistics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(42,551)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(60,206)</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(103,283)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20" w:type="dxa"/>
            <w:vAlign w:val="bottom"/>
            <w:vMerge w:val="restart"/>
          </w:tcPr>
          <w:p>
            <w:pPr>
              <w:spacing w:after="0"/>
              <w:rPr>
                <w:sz w:val="20"/>
                <w:szCs w:val="20"/>
                <w:color w:val="auto"/>
              </w:rPr>
            </w:pPr>
            <w:r>
              <w:rPr>
                <w:rFonts w:ascii="Arial" w:cs="Arial" w:eastAsia="Arial" w:hAnsi="Arial"/>
                <w:sz w:val="18"/>
                <w:szCs w:val="18"/>
                <w:color w:val="auto"/>
              </w:rPr>
              <w:t>Gross Profit as a percentage of net revenue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as a percentage of net revenue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720" w:type="dxa"/>
            <w:vAlign w:val="bottom"/>
          </w:tcPr>
          <w:p>
            <w:pPr>
              <w:ind w:left="49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used in the preparation of our financial statements require the most significant judgments and estimates.</w:t>
      </w:r>
    </w:p>
    <w:p>
      <w:pPr>
        <w:spacing w:after="0" w:line="12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account for revenue in accordance with Financial Accounting Standards Board (“FASB”) Accounting Standards Codification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(“ASC”) Topic 606, Revenue from Contracts with Customers.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derive our revenue from the sale of consumer products. We sell our products directly to consumers through online retail channels and through wholesale channels. For direct-to-consumer sales, we consider customer order confirmations to be a contract with the customer. Customer confirmations are executed at the time an order is placed through third-party online channels. For wholesale sales, we consider the customer purchase order to be the contract. For all of our sales and distribution channels, revenue is recognized when control of the product is transferred to the customer (i.e., when our performance obligation is satisfied), which typically occurs at shipment date. As a result, we have a present and unconditional right to payment and record the amount due from the customer in accounts receivable.</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is judgment in utilizing historical trends for estimating future returns and estimates around newly launched products which do not have historical data.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refund liability for sales returns was $0.5 million and $0.6 million at December 31, 2020 and 2021, respectively, which is included in accrued liabilities and represents the expected value of the refund that will be due to our customers.</w:t>
      </w:r>
    </w:p>
    <w:p>
      <w:pPr>
        <w:spacing w:after="0" w:line="166"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Warrant Liability</w:t>
      </w:r>
      <w:r>
        <w:rPr>
          <w:rFonts w:ascii="Arial" w:cs="Arial" w:eastAsia="Arial" w:hAnsi="Arial"/>
          <w:sz w:val="18"/>
          <w:szCs w:val="18"/>
          <w:color w:val="auto"/>
        </w:rPr>
        <w:t>—The fair values of the outstanding warrants were measured using the Monte Carlo Simulation model. Due to the complexity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issued, we use an outside expert to assist in providing the mark to market fair valuation of the liabilities over the reporting periods in which the original agreement was in effect.</w:t>
      </w:r>
    </w:p>
    <w:p>
      <w:pPr>
        <w:spacing w:after="0" w:line="1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warrant liability was $31.8 million and $0.0 million at December 31, 2020 and 2021, respectively.</w:t>
      </w:r>
    </w:p>
    <w:p>
      <w:pPr>
        <w:spacing w:after="0" w:line="22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Accounting for contingent consideration</w:t>
      </w:r>
      <w:r>
        <w:rPr>
          <w:rFonts w:ascii="Arial" w:cs="Arial" w:eastAsia="Arial" w:hAnsi="Arial"/>
          <w:sz w:val="18"/>
          <w:szCs w:val="18"/>
          <w:color w:val="auto"/>
        </w:rPr>
        <w:t>—Our acquisitions may include contingent consideration as part of the purchase price.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consideration is estimated as of the acquisition date based on the present value of the contingent payments to be made using a weighted probability of possible payments.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 as discussed in Note 6 to our consolidated financial statements included in this Annual Report. Should actual results increase or decrease as compared to the assumption used in our analysis, the fair value of the contingent consideration obligations will increase or decrease, up to the contracted limit, as applicable. Changes in the fair value of the contingent earn-out consideration could cause a material impact and volatility in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Contingent earn-out liabilities were $22.5 million and $9.2 million, at December 31, 2020 and 2021,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line="266" w:lineRule="auto"/>
        <w:rPr>
          <w:sz w:val="20"/>
          <w:szCs w:val="20"/>
          <w:color w:val="auto"/>
        </w:rPr>
      </w:pPr>
      <w:r>
        <w:rPr>
          <w:rFonts w:ascii="Arial" w:cs="Arial" w:eastAsia="Arial" w:hAnsi="Arial"/>
          <w:sz w:val="18"/>
          <w:szCs w:val="18"/>
          <w:b w:val="1"/>
          <w:bCs w:val="1"/>
          <w:color w:val="auto"/>
        </w:rPr>
        <w:t>Accounting for Business Combinations</w:t>
      </w:r>
      <w:r>
        <w:rPr>
          <w:rFonts w:ascii="Arial" w:cs="Arial" w:eastAsia="Arial" w:hAnsi="Arial"/>
          <w:sz w:val="18"/>
          <w:szCs w:val="18"/>
          <w:color w:val="auto"/>
        </w:rPr>
        <w:t>—We allocate the purchase price of acquired companies to the tangible and intangible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assumed, based upon their estimated fair values at the acquisition date. These fair values are typically estimated with assistance from independent valuation specialists.</w:t>
      </w:r>
    </w:p>
    <w:p>
      <w:pPr>
        <w:spacing w:after="0" w:line="18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Examples of critical estimates in valuing certain of the intangible assets we have acquired or may acquire in the future include but are not limited to:</w:t>
      </w:r>
    </w:p>
    <w:p>
      <w:pPr>
        <w:spacing w:after="0" w:line="237"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expected cash flows from product sales or other customer contracts;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costs of fulfillment including marketing, warehousing and product sales;</w:t>
      </w:r>
    </w:p>
    <w:p>
      <w:pPr>
        <w:spacing w:after="0" w:line="36" w:lineRule="exact"/>
        <w:rPr>
          <w:rFonts w:ascii="Arial" w:cs="Arial" w:eastAsia="Arial" w:hAnsi="Arial"/>
          <w:sz w:val="18"/>
          <w:szCs w:val="18"/>
          <w:color w:val="auto"/>
        </w:rPr>
      </w:pPr>
    </w:p>
    <w:p>
      <w:pPr>
        <w:ind w:left="740" w:right="220" w:hanging="368"/>
        <w:spacing w:after="0" w:line="258"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 to Note16 - Acquisitions to our consolidated financial statements included in this Annual Report-for more information</w:t>
      </w:r>
    </w:p>
    <w:p>
      <w:pPr>
        <w:spacing w:after="0" w:line="24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Subsequent Measurement of Goodwill</w:t>
      </w:r>
      <w:r>
        <w:rPr>
          <w:rFonts w:ascii="Arial" w:cs="Arial" w:eastAsia="Arial" w:hAnsi="Arial"/>
          <w:sz w:val="18"/>
          <w:szCs w:val="18"/>
          <w:color w:val="auto"/>
        </w:rPr>
        <w:t>—The Company operates under one business component which is the same as its reporting unit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in ASC Topic 350-20.</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engaged a third-party valuation specialist to assist in performing our goodwill test in December 2021. For goodwill, impairment testing is based upon the best information available using a combination of the discounted cash flow method (a form of the income approach), the guideline public company method, and guideline transaction method (both market approaches).</w:t>
      </w:r>
    </w:p>
    <w:p>
      <w:pPr>
        <w:spacing w:after="0" w:line="2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income approach, or discounted cash flow method, the significant assumptions used are projected net revenue, projected contribution margin (product operating margin before fixed costs), fixed costs, terminal growth rates and the cost of capital. Projected net revenue, projected contribution margin and terminal growth rates were determined to be significant assumptions because they are the three primary drivers of the projected cash flows in the discounted cash flow fair value model. Cost of capital is another significant assumption as the discount rate is used to calculate the current fair value of those projected cash flows. Under the guideline public company method, and guideline transaction method, significant assumptions relate to the selection of appropriate guideline companies and transactions and the valuation multiples used in the market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Goodwill was $47.3 million and $120.0 million, at December 31, 2020 and 2021, respectively.</w:t>
      </w:r>
    </w:p>
    <w:p>
      <w:pPr>
        <w:spacing w:after="0" w:line="2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the assumptions and estimates made are reasonable and appropriate, and changes in our assumptions and estimates could have a material impact on our reported financial results. In addition, sustained declines in our stock price and related market capitalization could impact key assumptions in the overall estimated fair values of our reporting unit and could result in non-cash impairment charges that could be material to our consolidated balance sheet or results of operations. We began to experience improvement in our operating margins and additional improvement in our products performance before the inclusion of fixed costs. These improvements, coupled with our acquisitions, supported our conclusion that we would generate significant improvements in the operating results.</w:t>
      </w:r>
    </w:p>
    <w:p>
      <w:pPr>
        <w:spacing w:after="0" w:line="23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Since December 31, 2020, we had an additional increase in the amount of goodwill through acquisitions made in 2021. Although we have experienced volatility in our share price and short-term forecasts, impacting our going concern analysis due lender covenant risks, we believe we have had no triggering events as our overall long-term forecasts remain materially the same as of December 31, 2021. However, if we continue to experience downward share price volatility or there are material reductions in long-term forecasts the excess fair-value over our carrying value could be reduced significantly and could lead to a triggering event and ultimately to a goodwill impairment charge. We performed a full step one impairment test at 12/31/2021 and concluded no impairment and that our estimated fair-values exceeded our carrying values by 21% as of the year-ended December 31,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We will continue to closely monitor actual results versus expectations as well as whether and to what extent any significant changes in current events or conditions, including changes to the impacts of COVID-19 on our business, result in corresponding changes to our expectations about future estimated cash flows, discount rates and market multiples. If our adjusted expectations of the operating results do not materialize, if the discount rate increases (based on increases in interest rates, market rates of return or market volatility) or if market multiples decline, we may be required to record goodwill impairment charges, which may be material.</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our conclusions regarding the estimates of fair value of our reporting units are appropriate, these estimates are subject to uncertainty and by nature include judgments and estimates regarding various factors. These factors include the rate and extent of growth in the markets that our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 of Intangible assets</w:t>
      </w:r>
      <w:r>
        <w:rPr>
          <w:rFonts w:ascii="Arial" w:cs="Arial" w:eastAsia="Arial" w:hAnsi="Arial"/>
          <w:sz w:val="16"/>
          <w:szCs w:val="16"/>
          <w:color w:val="auto"/>
        </w:rPr>
        <w:t>—Intangible assets with finite lives are amortized over their estimated useful life on a straight-line basis.</w:t>
      </w:r>
    </w:p>
    <w:p>
      <w:pPr>
        <w:spacing w:after="0" w:line="2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monitor conditions related to these assets to determine whether events and circumstances warrant a revision to the remaining amortization.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Intangibles were $31.5 million and $65.0 million at December 31, 2020 and 2021,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(“EGC”) can take advantage of the extended transition period provided in Section 7(a)(2)(B) of the Securities Act of 1933, as amended, for complying with new or revised accounting standards.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as an EGC, we have taken advantage of certain exemptions from various reporting requirements that are applicable to other public companies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are not “emerging growth companies” including, but not limited to,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reduced disclosure obligations regarding executive compensation in our periodic reports and proxy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not previously approved.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will remain an EGC until the earlier of (i) the last day of the fiscal year in which we have total annual gross revenues of $1.07 billion or more; (ii)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last day of the fiscal year following the fifth anniversary of the completion of our initial public offering, or December 31, 2024; (iii) the date on which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have issued more than $1.0 billion in non-convertible debt during the previous three years; or (iv) the date on which we are deemed to be a large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under the rules of the Securities and Exchange Commission (the “SEC”) (i.e., the first day of the fiscal year after we have (1)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 million in outstanding common equity held by our non-affiliates, measured each year on the last day of our second fiscal quarter, (2) been public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least 12 months, and (3) are not eligible to be deemed a “smaller reporting company” because we do not meet the revenue test of the definition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 which includes an initial determination that our annual revenues are more than $100.0 million for the most recently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completed fiscal year).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statements may not be comparable to companies that comply with new or revised accounting pronouncements as of public company effective dates.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Accounting Standards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February 2016, the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The new guidance was adopted on January 1, 2022 with no material impact on our consolidated financial statements. We adopted this standard by electing the package of practical expedients without hindsight, which permits us to not reassess (1) whether any expired or existing contracts are or contain leases, (2) lease classification for any expired or existing leases, and (3) any initial direct costs for any existing leases as of the adoption date. We have several corporate office leases which are classified as operating leases, for which we are required to record a right-of-use asset and a lease liability equal to the present value of the remaining minimum lease payments and will continue to recognize expenses on a straight-line basis for these leases. On January 1, 2022, we recorded an aggregate of approximately $0.7 million of right-of-use assets and corresponding $0.7 million of lease liabilities upon adoption of this standard. Right-of-use assets and corresponding lease liabilities are included in the prepaid and other assets and accrued and other liabilities line item respectively on the consolidated balance sheets.</w:t>
      </w:r>
    </w:p>
    <w:p>
      <w:pPr>
        <w:spacing w:after="0" w:line="1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No. 2018-15, “Customer’s Accounting for Implementation Cost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 a Service Contract” </w:t>
      </w:r>
      <w:r>
        <w:rPr>
          <w:rFonts w:ascii="Arial" w:cs="Arial" w:eastAsia="Arial" w:hAnsi="Arial"/>
          <w:sz w:val="17"/>
          <w:szCs w:val="17"/>
          <w:color w:val="auto"/>
        </w:rPr>
        <w:t>(“ASU 2018-15”). Under the new guidance, customers apply the same criteria for capitalizing implementation costs as they would</w:t>
      </w:r>
      <w:r>
        <w:rPr>
          <w:rFonts w:ascii="Arial" w:cs="Arial" w:eastAsia="Arial" w:hAnsi="Arial"/>
          <w:sz w:val="17"/>
          <w:szCs w:val="17"/>
          <w:i w:val="1"/>
          <w:iCs w:val="1"/>
          <w:color w:val="auto"/>
        </w:rPr>
        <w:t xml:space="preserve"> </w:t>
      </w:r>
      <w:r>
        <w:rPr>
          <w:rFonts w:ascii="Arial" w:cs="Arial" w:eastAsia="Arial" w:hAnsi="Arial"/>
          <w:sz w:val="17"/>
          <w:szCs w:val="17"/>
          <w:color w:val="auto"/>
        </w:rPr>
        <w:t>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ASU 2018-15 will be effective for fiscal years beginning after December 15, 2021, including interim periods within those fiscal years. Early adoption is permitted. The new guidance was adopted on January 1, 2022 with no material impact on our consolidated financial statements.</w:t>
      </w:r>
    </w:p>
    <w:p>
      <w:pPr>
        <w:spacing w:after="0" w:line="17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August 2020, the FASB issued </w:t>
      </w:r>
      <w:r>
        <w:rPr>
          <w:rFonts w:ascii="Arial" w:cs="Arial" w:eastAsia="Arial" w:hAnsi="Arial"/>
          <w:sz w:val="17"/>
          <w:szCs w:val="17"/>
          <w:i w:val="1"/>
          <w:iCs w:val="1"/>
          <w:color w:val="auto"/>
        </w:rPr>
        <w:t>ASU No. 2020-06, “Debt—Debt with Conversion and Other Options (Topic 470)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(Topic 814): Accounting for Convertible Instruments and Contracts in an Entity’s Own Equity” </w:t>
      </w:r>
      <w:r>
        <w:rPr>
          <w:rFonts w:ascii="Arial" w:cs="Arial" w:eastAsia="Arial" w:hAnsi="Arial"/>
          <w:sz w:val="17"/>
          <w:szCs w:val="17"/>
          <w:color w:val="auto"/>
        </w:rPr>
        <w:t>(“ASU 2020-06”).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The new guidance was adopted on January 1, 2022 with no material impact on our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we have not completed our evaluation of the impact of adoption of this standard, we do not expect it to have a material impact on our condensed consolidated financial statements.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w:t>
      </w:r>
      <w:r>
        <w:rPr>
          <w:rFonts w:ascii="Arial" w:cs="Arial" w:eastAsia="Arial" w:hAnsi="Arial"/>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we have not completed our evaluation of the impact of adoption of this standard, we do not expect it to have a material impact on our condensed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we have outstanding debt under the Credit Facility with MidCap that bears interest. As of December 31, 2021, our outstanding indebtedness under the Credit Facility was $32.8 million, which bears interest at a rate of LIBOR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1% of our net revenue for the years-ended December 31, 2020 and 2021.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the years-ended December 31, 2020 and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ATERIAN,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NDEX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gridSpan w:val="10"/>
            <w:vMerge w:val="restart"/>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10"/>
            <w:vMerge w:val="continue"/>
          </w:tcPr>
          <w:p>
            <w:pPr>
              <w:spacing w:after="0"/>
              <w:rPr>
                <w:sz w:val="14"/>
                <w:szCs w:val="14"/>
                <w:color w:val="auto"/>
              </w:rPr>
            </w:pPr>
          </w:p>
        </w:tc>
        <w:tc>
          <w:tcPr>
            <w:tcW w:w="9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0000EE"/>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 as of December 31, 2020 and 2021</w:t>
              </w:r>
            </w:hyperlink>
          </w:p>
        </w:tc>
        <w:tc>
          <w:tcPr>
            <w:tcW w:w="5680" w:type="dxa"/>
            <w:vAlign w:val="bottom"/>
            <w:gridSpan w:val="8"/>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 for the Years-Ended December 31, 2020 and 2021</w:t>
              </w:r>
            </w:hyperlink>
          </w:p>
        </w:tc>
        <w:tc>
          <w:tcPr>
            <w:tcW w:w="3860" w:type="dxa"/>
            <w:vAlign w:val="bottom"/>
            <w:gridSpan w:val="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34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Comprehensive Loss for the Years-Ended December 31, 2020 and 2021</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65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Consolidated Statements of Stockholders’ Equity for the Years-Ended December 31, 2020 and 2021</w:t>
              </w:r>
            </w:hyperlink>
          </w:p>
        </w:tc>
        <w:tc>
          <w:tcPr>
            <w:tcW w:w="312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Cash Flows for the Years-Ended December 31, 2020 and 2021</w:t>
              </w:r>
            </w:hyperlink>
          </w:p>
        </w:tc>
        <w:tc>
          <w:tcPr>
            <w:tcW w:w="380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 for the Years-Ended December 31, 2020 and 2021</w:t>
              </w:r>
            </w:hyperlink>
          </w:p>
        </w:tc>
        <w:tc>
          <w:tcPr>
            <w:tcW w:w="352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561"/>
        </w:trPr>
        <w:tc>
          <w:tcPr>
            <w:tcW w:w="10340" w:type="dxa"/>
            <w:vAlign w:val="bottom"/>
            <w:gridSpan w:val="10"/>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40" w:type="dxa"/>
            <w:vAlign w:val="bottom"/>
            <w:gridSpan w:val="1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Schedule II—Valuation and Qualifying Accounts and Reserves for the Years-Ended December 31, 2020 and 2021</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696"/>
        </w:trPr>
        <w:tc>
          <w:tcPr>
            <w:tcW w:w="4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gridSpan w:val="7"/>
          </w:tcPr>
          <w:p>
            <w:pPr>
              <w:ind w:left="840"/>
              <w:spacing w:after="0"/>
              <w:rPr>
                <w:sz w:val="20"/>
                <w:szCs w:val="20"/>
                <w:color w:val="auto"/>
              </w:rPr>
            </w:pPr>
            <w:r>
              <w:rPr>
                <w:rFonts w:ascii="Arial" w:cs="Arial" w:eastAsia="Arial" w:hAnsi="Arial"/>
                <w:sz w:val="18"/>
                <w:szCs w:val="18"/>
                <w:color w:val="auto"/>
              </w:rPr>
              <w:t>F-1</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Aterian,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Aterian, Inc. and subsidiaries (the “Company”) as of December 31, 2020 and 2021, the related consolidated statements of operations, comprehensive loss, stockholders’ equity, and cash flows, for each of the three years in the period ended December 31, 2021, and the related notes and the financial statement schedule listed in the accompanying index (collectively referred to as the “financial statements”). In our opinion, the financial statements present fairly, in all material respects, the financial position of the Company as of December 31, 2020 and 2021, and the results of its operations and its cash flows for each of the three years in the period ended December 31, 2021, in conformity with accounting principles generally accepted in the United States of America.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the Company will be able to continue as a going concern. As discussed in Note 1 to the consolidated financial statements, the Company has suffered recurring losses from operations and recurring negative operating cash flows since inception and may be unable to remain in compliance with certain financial covenants required by its term loan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63,045</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124,874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GOODWILL—net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119,941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INTANGIBLES—net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64,955</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313,570</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 facility</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21,716</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Seller notes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earn-out liability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CONTINGENT EARN-OUT LIABILITY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27,074,791 shares outstanding at December 31, 2020; 500,000,000 shares authorized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and 55,090,237 shares outstanding at December 31, 2021</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653,650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(192,935)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(428,959)</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(468)</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224,228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Year-Ended December 31,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69,411</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100,958</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84,746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Settlement of a contingent earn-out liability</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99,373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119,497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INTEREST EXPENSE—net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LOSS ON INITIAL ISSUANCE OF WARRANTS</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(58,789)</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(63,126)</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(236,024)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13,516,844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17,167,999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35,379,005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Year-Ended December 31,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9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(236,024)</w:t>
            </w:r>
          </w:p>
        </w:tc>
        <w:tc>
          <w:tcPr>
            <w:tcW w:w="10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(477)</w:t>
            </w:r>
          </w:p>
        </w:tc>
      </w:tr>
      <w:tr>
        <w:trPr>
          <w:trHeight w:val="22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(63,174)</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right"/>
              <w:ind w:right="328"/>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7"/>
              </w:rPr>
              <w:t>Accumulated</w:t>
            </w: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6"/>
              </w:rPr>
              <w:t>Comprehensive</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43"/>
        </w:trPr>
        <w:tc>
          <w:tcPr>
            <w:tcW w:w="46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rPr>
              <w:t>Deficit</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5"/>
              <w:spacing w:after="0"/>
              <w:rPr>
                <w:sz w:val="20"/>
                <w:szCs w:val="20"/>
                <w:color w:val="auto"/>
              </w:rPr>
            </w:pPr>
            <w:r>
              <w:rPr>
                <w:rFonts w:ascii="Arial" w:cs="Arial" w:eastAsia="Arial" w:hAnsi="Arial"/>
                <w:sz w:val="12"/>
                <w:szCs w:val="12"/>
                <w:b w:val="1"/>
                <w:bCs w:val="1"/>
                <w:color w:val="auto"/>
                <w:w w:val="90"/>
              </w:rPr>
              <w:t>Income</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5"/>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BALANCE—January 1, 2019</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11,534,190</w:t>
            </w: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jc w:val="right"/>
              <w:ind w:right="528"/>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76,348</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(71,020)</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260"/>
              <w:spacing w:after="0"/>
              <w:rPr>
                <w:sz w:val="20"/>
                <w:szCs w:val="20"/>
                <w:color w:val="auto"/>
              </w:rPr>
            </w:pPr>
            <w:r>
              <w:rPr>
                <w:rFonts w:ascii="Arial" w:cs="Arial" w:eastAsia="Arial" w:hAnsi="Arial"/>
                <w:sz w:val="15"/>
                <w:szCs w:val="15"/>
                <w:color w:val="auto"/>
              </w:rPr>
              <w:t>Net loss</w:t>
            </w: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(58,789)</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(58,789)</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2"/>
              </w:rPr>
              <w:t>Issuance of 2,406,618 shares of restricted common stock on March 20,</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2,406,618</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1"/>
              </w:rPr>
              <w:t>Issuance of 88,548 shares of restricted common stock on May 17, 2019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and forfeiture of 69,141 shares of restricted common stock</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19,407</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0"/>
              </w:rPr>
              <w:t>Issuance of 64,982 shares of restricted common stock on June 12,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64,982</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4"/>
              </w:rPr>
              <w:t>Issuance of 3,600,000 shares of common stock on June 14, 2019, net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of professional fees and offering costs</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3,600,000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29,446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4"/>
              </w:rPr>
              <w:t>Issuance of 84,975 shares of restricted common stock in August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84,975</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7"/>
              </w:rPr>
              <w:t>Issuance of 74,510 shares of restricted common stock in November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2019 and forfeiture of 48,520 shares of restricted common stock</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25,990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34,681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487</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Other comprehensive income</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BALANCE—January 1, 2020</w:t>
            </w:r>
          </w:p>
        </w:tc>
        <w:tc>
          <w:tcPr>
            <w:tcW w:w="10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17,736,649</w:t>
            </w:r>
          </w:p>
        </w:tc>
        <w:tc>
          <w:tcPr>
            <w:tcW w:w="200" w:type="dxa"/>
            <w:vAlign w:val="bottom"/>
            <w:tcBorders>
              <w:bottom w:val="single" w:sz="8" w:color="CFF0FC"/>
              <w:right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528"/>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140,477</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(129,809)</w:t>
            </w:r>
          </w:p>
        </w:tc>
        <w:tc>
          <w:tcPr>
            <w:tcW w:w="1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57</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10,727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tcPr>
          <w:p>
            <w:pPr>
              <w:ind w:left="260"/>
              <w:spacing w:after="0" w:line="156" w:lineRule="exact"/>
              <w:rPr>
                <w:sz w:val="20"/>
                <w:szCs w:val="20"/>
                <w:color w:val="auto"/>
              </w:rPr>
            </w:pPr>
            <w:r>
              <w:rPr>
                <w:rFonts w:ascii="Arial" w:cs="Arial" w:eastAsia="Arial" w:hAnsi="Arial"/>
                <w:sz w:val="15"/>
                <w:szCs w:val="15"/>
                <w:color w:val="auto"/>
              </w:rPr>
              <w:t>Net loss</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(63,126)</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(63,126)</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4"/>
              </w:rPr>
              <w:t>Issuance of 439,145 shares of restricted common stock on March 12,</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439,145</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Forfeiture of 371,329 shares of restricted common stock</w:t>
            </w:r>
          </w:p>
        </w:tc>
        <w:tc>
          <w:tcPr>
            <w:tcW w:w="1180" w:type="dxa"/>
            <w:vAlign w:val="bottom"/>
            <w:gridSpan w:val="3"/>
          </w:tcPr>
          <w:p>
            <w:pPr>
              <w:jc w:val="right"/>
              <w:ind w:right="140"/>
              <w:spacing w:after="0"/>
              <w:rPr>
                <w:sz w:val="20"/>
                <w:szCs w:val="20"/>
                <w:color w:val="auto"/>
              </w:rPr>
            </w:pPr>
            <w:r>
              <w:rPr>
                <w:rFonts w:ascii="Arial" w:cs="Arial" w:eastAsia="Arial" w:hAnsi="Arial"/>
                <w:sz w:val="15"/>
                <w:szCs w:val="15"/>
                <w:color w:val="auto"/>
              </w:rPr>
              <w:t>(371,329)</w:t>
            </w: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Forfeiture of 134,366 shares of restricted common stock</w:t>
            </w:r>
          </w:p>
        </w:tc>
        <w:tc>
          <w:tcPr>
            <w:tcW w:w="11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(134,366)</w:t>
            </w: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Issuance of 134,364 shares of restricted common stock</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134,364</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9"/>
              </w:rPr>
              <w:t>Issuance of 3,860,710 shares of common stock in connection with</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follow-on</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public offering, including underwriter's over-allotment, net of</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offering costs</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and underwriter's discount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3,860,710</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23,416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60"/>
              <w:spacing w:after="0"/>
              <w:rPr>
                <w:sz w:val="20"/>
                <w:szCs w:val="20"/>
                <w:color w:val="auto"/>
              </w:rPr>
            </w:pPr>
            <w:r>
              <w:rPr>
                <w:rFonts w:ascii="Arial" w:cs="Arial" w:eastAsia="Arial" w:hAnsi="Arial"/>
                <w:sz w:val="15"/>
                <w:szCs w:val="15"/>
                <w:color w:val="auto"/>
                <w:w w:val="92"/>
              </w:rPr>
              <w:t>Issuance of 10,000 shares of restricted common stock on July 13, 2020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2"/>
              </w:rPr>
              <w:t>Issuance of 95,500 shares of restricted common stock on July 20, 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95,500</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5"/>
              </w:rPr>
              <w:t>Issuance of 22,700 shares of restricted common stock on September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30, 2020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22,700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25,000 warrants on August 18, 2020</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5"/>
              </w:rPr>
              <w:t>Issuance of 90,000 shares of restricted common stock on August 10,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2020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90,000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6"/>
              </w:rPr>
              <w:t>Issuance of 90,000 shares of restricted common stock on November</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16, 2020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90,000</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9"/>
              </w:rPr>
              <w:t>Issuance of 4,220,000 shares of common stock in connection with</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asset purchase agreement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4,220,000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29,076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29,077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4"/>
              </w:rPr>
              <w:t>Issuance of 890,000 shares of restricted common stock on December</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14, 2020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890,000</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line="162" w:lineRule="exact"/>
              <w:rPr>
                <w:sz w:val="20"/>
                <w:szCs w:val="20"/>
                <w:color w:val="auto"/>
              </w:rPr>
            </w:pPr>
            <w:r>
              <w:rPr>
                <w:rFonts w:ascii="Arial" w:cs="Arial" w:eastAsia="Arial" w:hAnsi="Arial"/>
                <w:sz w:val="15"/>
                <w:szCs w:val="15"/>
                <w:color w:val="auto"/>
                <w:w w:val="91"/>
              </w:rPr>
              <w:t>Issuance of 23,500 shares of restricted common stock on December 17,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2020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23,500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Shares of common stock retired in connection with vesting</w:t>
            </w:r>
          </w:p>
        </w:tc>
        <w:tc>
          <w:tcPr>
            <w:tcW w:w="11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(42,779)</w:t>
            </w: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Stock-based compensation</w:t>
            </w:r>
          </w:p>
        </w:tc>
        <w:tc>
          <w:tcPr>
            <w:tcW w:w="10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21,770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21,770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Exercise of stock options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10,697</w:t>
            </w:r>
          </w:p>
        </w:tc>
        <w:tc>
          <w:tcPr>
            <w:tcW w:w="200" w:type="dxa"/>
            <w:vAlign w:val="bottom"/>
            <w:tcBorders>
              <w:right w:val="single" w:sz="8" w:color="CFF0FC"/>
            </w:tcBorders>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60"/>
              <w:spacing w:after="0"/>
              <w:rPr>
                <w:sz w:val="20"/>
                <w:szCs w:val="20"/>
                <w:color w:val="auto"/>
              </w:rPr>
            </w:pPr>
            <w:r>
              <w:rPr>
                <w:rFonts w:ascii="Arial" w:cs="Arial" w:eastAsia="Arial" w:hAnsi="Arial"/>
                <w:sz w:val="15"/>
                <w:szCs w:val="15"/>
                <w:color w:val="auto"/>
              </w:rPr>
              <w:t>Other comprehensive loss</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BALANCE—December 31, 2020</w:t>
            </w:r>
          </w:p>
        </w:tc>
        <w:tc>
          <w:tcPr>
            <w:tcW w:w="10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27,074,791</w:t>
            </w:r>
          </w:p>
        </w:tc>
        <w:tc>
          <w:tcPr>
            <w:tcW w:w="200" w:type="dxa"/>
            <w:vAlign w:val="bottom"/>
            <w:tcBorders>
              <w:bottom w:val="single" w:sz="8" w:color="CFF0FC"/>
              <w:right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528"/>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216,305</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(192,935)</w:t>
            </w:r>
          </w:p>
        </w:tc>
        <w:tc>
          <w:tcPr>
            <w:tcW w:w="1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23,382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tcPr>
          <w:p>
            <w:pPr>
              <w:ind w:left="260"/>
              <w:spacing w:after="0" w:line="156" w:lineRule="exact"/>
              <w:rPr>
                <w:sz w:val="20"/>
                <w:szCs w:val="20"/>
                <w:color w:val="auto"/>
              </w:rPr>
            </w:pPr>
            <w:r>
              <w:rPr>
                <w:rFonts w:ascii="Arial" w:cs="Arial" w:eastAsia="Arial" w:hAnsi="Arial"/>
                <w:sz w:val="15"/>
                <w:szCs w:val="15"/>
                <w:color w:val="auto"/>
              </w:rPr>
              <w:t>Net loss</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(236,024)</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(236,024)</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Issuance of common stock upon exercise of stock option grants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1,011,422</w:t>
            </w:r>
          </w:p>
        </w:tc>
        <w:tc>
          <w:tcPr>
            <w:tcW w:w="20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260"/>
              <w:spacing w:after="0"/>
              <w:rPr>
                <w:sz w:val="20"/>
                <w:szCs w:val="20"/>
                <w:color w:val="auto"/>
              </w:rPr>
            </w:pPr>
            <w:r>
              <w:rPr>
                <w:rFonts w:ascii="Arial" w:cs="Arial" w:eastAsia="Arial" w:hAnsi="Arial"/>
                <w:sz w:val="16"/>
                <w:szCs w:val="16"/>
                <w:color w:val="auto"/>
              </w:rPr>
              <w:t>Issuance of common stock related to exercise of warrants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6,405,605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40,318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6"/>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in connection with acquisition of</w:t>
            </w:r>
          </w:p>
        </w:tc>
        <w:tc>
          <w:tcPr>
            <w:tcW w:w="8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Healing Solutions assets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2,796,001</w:t>
            </w:r>
          </w:p>
        </w:tc>
        <w:tc>
          <w:tcPr>
            <w:tcW w:w="20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47,369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Issuance of restricted stock awards</w:t>
            </w:r>
          </w:p>
        </w:tc>
        <w:tc>
          <w:tcPr>
            <w:tcW w:w="880" w:type="dxa"/>
            <w:vAlign w:val="bottom"/>
          </w:tcPr>
          <w:p>
            <w:pPr>
              <w:jc w:val="right"/>
              <w:spacing w:after="0"/>
              <w:rPr>
                <w:sz w:val="20"/>
                <w:szCs w:val="20"/>
                <w:color w:val="auto"/>
              </w:rPr>
            </w:pPr>
            <w:r>
              <w:rPr>
                <w:rFonts w:ascii="Arial" w:cs="Arial" w:eastAsia="Arial" w:hAnsi="Arial"/>
                <w:sz w:val="16"/>
                <w:szCs w:val="16"/>
                <w:color w:val="auto"/>
              </w:rPr>
              <w:t>769,104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warrants to High Trail</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Issuance of warrants to Midcap</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to High Trail</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12,284,161</w:t>
            </w:r>
          </w:p>
        </w:tc>
        <w:tc>
          <w:tcPr>
            <w:tcW w:w="200" w:type="dxa"/>
            <w:vAlign w:val="bottom"/>
            <w:tcBorders>
              <w:right w:val="single" w:sz="8" w:color="CFF0FC"/>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Reclassification of warrants to equity</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warrants to liability</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(21,260)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(21,260)</w:t>
            </w: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Warrant modification on extinguishment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Issuance of shares of common stock net of professional fees and</w:t>
            </w:r>
          </w:p>
        </w:tc>
        <w:tc>
          <w:tcPr>
            <w:tcW w:w="8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offering costs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2,666,667</w:t>
            </w:r>
          </w:p>
        </w:tc>
        <w:tc>
          <w:tcPr>
            <w:tcW w:w="20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36,735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40" w:type="dxa"/>
            <w:vAlign w:val="bottom"/>
          </w:tcPr>
          <w:p>
            <w:pPr>
              <w:ind w:left="260"/>
              <w:spacing w:after="0"/>
              <w:rPr>
                <w:sz w:val="20"/>
                <w:szCs w:val="20"/>
                <w:color w:val="auto"/>
              </w:rPr>
            </w:pPr>
            <w:r>
              <w:rPr>
                <w:rFonts w:ascii="Arial" w:cs="Arial" w:eastAsia="Arial" w:hAnsi="Arial"/>
                <w:sz w:val="16"/>
                <w:szCs w:val="16"/>
                <w:color w:val="auto"/>
              </w:rPr>
              <w:t>Issuance of shares of common stock in connection with asset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60"/>
              <w:spacing w:after="0"/>
              <w:rPr>
                <w:sz w:val="20"/>
                <w:szCs w:val="20"/>
                <w:color w:val="auto"/>
              </w:rPr>
            </w:pPr>
            <w:r>
              <w:rPr>
                <w:rFonts w:ascii="Arial" w:cs="Arial" w:eastAsia="Arial" w:hAnsi="Arial"/>
                <w:sz w:val="16"/>
                <w:szCs w:val="16"/>
                <w:color w:val="auto"/>
              </w:rPr>
              <w:t>purchase agreement</w:t>
            </w:r>
          </w:p>
        </w:tc>
        <w:tc>
          <w:tcPr>
            <w:tcW w:w="880" w:type="dxa"/>
            <w:vAlign w:val="bottom"/>
          </w:tcPr>
          <w:p>
            <w:pPr>
              <w:jc w:val="right"/>
              <w:spacing w:after="0"/>
              <w:rPr>
                <w:sz w:val="20"/>
                <w:szCs w:val="20"/>
                <w:color w:val="auto"/>
              </w:rPr>
            </w:pPr>
            <w:r>
              <w:rPr>
                <w:rFonts w:ascii="Arial" w:cs="Arial" w:eastAsia="Arial" w:hAnsi="Arial"/>
                <w:sz w:val="16"/>
                <w:szCs w:val="16"/>
                <w:color w:val="auto"/>
              </w:rPr>
              <w:t>704,548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shares of restricted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2,025,597</w:t>
            </w:r>
          </w:p>
        </w:tc>
        <w:tc>
          <w:tcPr>
            <w:tcW w:w="200" w:type="dxa"/>
            <w:vAlign w:val="bottom"/>
            <w:tcBorders>
              <w:right w:val="single" w:sz="8" w:color="CFF0FC"/>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Forfeiture of shares of restricted common stock</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(647,659)</w:t>
            </w: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(477)</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BALANCE—December 31, 2021</w:t>
            </w: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40" w:type="dxa"/>
            <w:vAlign w:val="bottom"/>
            <w:vMerge w:val="continue"/>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55,090,237</w:t>
            </w:r>
          </w:p>
        </w:tc>
        <w:tc>
          <w:tcPr>
            <w:tcW w:w="20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653,650</w:t>
            </w:r>
          </w:p>
        </w:tc>
        <w:tc>
          <w:tcPr>
            <w:tcW w:w="1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5"/>
                <w:szCs w:val="15"/>
                <w:color w:val="auto"/>
              </w:rPr>
              <w:t>(428,959)  $</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(468)</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224,228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3"/>
              </w:rPr>
              <w:t>Year-Ended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FF0FC"/>
          </w:tcPr>
          <w:p>
            <w:pPr>
              <w:spacing w:after="0"/>
              <w:rPr>
                <w:sz w:val="20"/>
                <w:szCs w:val="20"/>
                <w:color w:val="auto"/>
              </w:rPr>
            </w:pPr>
            <w:r>
              <w:rPr>
                <w:rFonts w:ascii="Arial" w:cs="Arial" w:eastAsia="Arial" w:hAnsi="Arial"/>
                <w:sz w:val="13"/>
                <w:szCs w:val="13"/>
                <w:color w:val="auto"/>
              </w:rPr>
              <w:t>OPERATING ACTIVITIES:</w:t>
            </w:r>
          </w:p>
        </w:tc>
        <w:tc>
          <w:tcPr>
            <w:tcW w:w="24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3"/>
                <w:szCs w:val="13"/>
                <w:color w:val="auto"/>
              </w:rPr>
              <w:t>Net loss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(58,789)</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(63,126)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(236,024)</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183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sales returns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134</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2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Amortization of deferred financing cost and debt discounts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1,218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34,681</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22,716</w:t>
            </w:r>
          </w:p>
        </w:tc>
        <w:tc>
          <w:tcPr>
            <w:tcW w:w="2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Loss (Gain) from increase of contingent earn-out liability fair value</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(30,529)</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in connection with settlement of earn-out</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Loss in connection with the change in warrant fair value</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21,338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initial issuance of warrants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Loss from extinguishment of High Trail December 2020 and February 2021 Term Loan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from extinguishment of High Trail April 2021 Term Loan</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106,991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Loss from extinguishment of High Trail Term Loan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from extinguishment of Credit Facility</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Loss from extinguishment of Horizon term loan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barter credits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Loss from derivative liability discount related to term loan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Allowance for doubtful accounts and other</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94</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Changes in assets and 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receivable</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309</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(4,703)</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(4,554)</w:t>
            </w:r>
          </w:p>
        </w:tc>
        <w:tc>
          <w:tcPr>
            <w:tcW w:w="0" w:type="dxa"/>
            <w:vAlign w:val="bottom"/>
          </w:tcPr>
          <w:p>
            <w:pPr>
              <w:spacing w:after="0"/>
              <w:rPr>
                <w:sz w:val="1"/>
                <w:szCs w:val="1"/>
                <w:color w:val="auto"/>
              </w:rPr>
            </w:pPr>
          </w:p>
        </w:tc>
      </w:tr>
      <w:tr>
        <w:trPr>
          <w:trHeight w:val="162"/>
        </w:trPr>
        <w:tc>
          <w:tcPr>
            <w:tcW w:w="7320" w:type="dxa"/>
            <w:vAlign w:val="bottom"/>
          </w:tcPr>
          <w:p>
            <w:pPr>
              <w:ind w:left="500"/>
              <w:spacing w:after="0"/>
              <w:rPr>
                <w:sz w:val="20"/>
                <w:szCs w:val="20"/>
                <w:color w:val="auto"/>
              </w:rPr>
            </w:pPr>
            <w:r>
              <w:rPr>
                <w:rFonts w:ascii="Arial" w:cs="Arial" w:eastAsia="Arial" w:hAnsi="Arial"/>
                <w:sz w:val="13"/>
                <w:szCs w:val="13"/>
                <w:color w:val="auto"/>
              </w:rPr>
              <w:t>Inventory</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(5,360)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18,659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(19,303)</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Prepaid and other current assets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(1,004)</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1,513</w:t>
            </w:r>
          </w:p>
        </w:tc>
        <w:tc>
          <w:tcPr>
            <w:tcW w:w="2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(7,856)</w:t>
            </w:r>
          </w:p>
        </w:tc>
        <w:tc>
          <w:tcPr>
            <w:tcW w:w="0" w:type="dxa"/>
            <w:vAlign w:val="bottom"/>
          </w:tcPr>
          <w:p>
            <w:pPr>
              <w:spacing w:after="0"/>
              <w:rPr>
                <w:sz w:val="1"/>
                <w:szCs w:val="1"/>
                <w:color w:val="auto"/>
              </w:rPr>
            </w:pPr>
          </w:p>
        </w:tc>
      </w:tr>
      <w:tr>
        <w:trPr>
          <w:trHeight w:val="162"/>
        </w:trPr>
        <w:tc>
          <w:tcPr>
            <w:tcW w:w="7320" w:type="dxa"/>
            <w:vAlign w:val="bottom"/>
          </w:tcPr>
          <w:p>
            <w:pPr>
              <w:ind w:left="500"/>
              <w:spacing w:after="0"/>
              <w:rPr>
                <w:sz w:val="20"/>
                <w:szCs w:val="20"/>
                <w:color w:val="auto"/>
              </w:rPr>
            </w:pPr>
            <w:r>
              <w:rPr>
                <w:rFonts w:ascii="Arial" w:cs="Arial" w:eastAsia="Arial" w:hAnsi="Arial"/>
                <w:sz w:val="13"/>
                <w:szCs w:val="13"/>
                <w:color w:val="auto"/>
              </w:rPr>
              <w:t>Accounts payable, accrued and other liabilities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3,334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(6,991)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ind w:left="740"/>
              <w:spacing w:after="0"/>
              <w:rPr>
                <w:sz w:val="20"/>
                <w:szCs w:val="20"/>
                <w:color w:val="auto"/>
              </w:rPr>
            </w:pPr>
            <w:r>
              <w:rPr>
                <w:rFonts w:ascii="Arial" w:cs="Arial" w:eastAsia="Arial" w:hAnsi="Arial"/>
                <w:sz w:val="13"/>
                <w:szCs w:val="13"/>
                <w:color w:val="auto"/>
              </w:rPr>
              <w:t>Cash provided (used) by operating activities</w:t>
            </w: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(25,200)</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6,091</w:t>
            </w:r>
          </w:p>
        </w:tc>
        <w:tc>
          <w:tcPr>
            <w:tcW w:w="26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(41,969)</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3"/>
                <w:szCs w:val="13"/>
                <w:color w:val="auto"/>
              </w:rPr>
              <w:t>INVESTING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fixed assets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Purchase of Truweo assets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(1,176)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Truweo assets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(13,965)</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Purchase of Smash assets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(25,000)</w:t>
            </w: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Healing Solutions assets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(15,250)</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Purchase of Photo Paper Direct, net of cash acquired</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(10,583)</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Squatty Potty assets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(19,040)</w:t>
            </w:r>
          </w:p>
        </w:tc>
        <w:tc>
          <w:tcPr>
            <w:tcW w:w="0" w:type="dxa"/>
            <w:vAlign w:val="bottom"/>
          </w:tcPr>
          <w:p>
            <w:pPr>
              <w:spacing w:after="0"/>
              <w:rPr>
                <w:sz w:val="1"/>
                <w:szCs w:val="1"/>
                <w:color w:val="auto"/>
              </w:rPr>
            </w:pPr>
          </w:p>
        </w:tc>
      </w:tr>
      <w:tr>
        <w:trPr>
          <w:trHeight w:val="162"/>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Proceeds on sale of fixed assets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Cash used in investing activities</w:t>
            </w:r>
          </w:p>
        </w:tc>
        <w:tc>
          <w:tcPr>
            <w:tcW w:w="24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(1,284)</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(39,054)</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(44,905)</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3"/>
                <w:szCs w:val="13"/>
                <w:color w:val="auto"/>
              </w:rPr>
              <w:t>FINANCING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initial public offering, net of issuance costs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36,000</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Issuance costs from initial public offering</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(5,446)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warrant exercise</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Proceeds from cancellation of warrant</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16,957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 from follow-on public offering, net of issuance costs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23,416</w:t>
            </w:r>
          </w:p>
        </w:tc>
        <w:tc>
          <w:tcPr>
            <w:tcW w:w="2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on note payable to Aussie Health Co.</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(207)</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Repayments on note payable to Smash</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(10,495)</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earnout to Squatty Potty</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(7,971)</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paid in connection with RSAs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(150)</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Borrowings from MidCap credit facilities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98,663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123,633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from MidCap credit facilities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(92,165)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(133,782)</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(28,274)</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Debt issuance costs from MidCap credit facility</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(849)</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issuance costs from Horizon term loan</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(900)</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Repayments for Horizon term loan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(15,990)</w:t>
            </w: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from High Trail term loan</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38,000</w:t>
            </w:r>
          </w:p>
        </w:tc>
        <w:tc>
          <w:tcPr>
            <w:tcW w:w="2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Debt issuance costs High Trail term loan</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(2,207)</w:t>
            </w: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for High Trail December 2020 Note and February 2021 Note</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(59,500)</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Repayments for High Trail April 2021 Note</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(10,139)</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for High Trail December 2021 Note</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(27,500)</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Borrowings from High Trail February 2021 Note</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from High Trail April 2021 Note</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Debt issuance costs from High Trail February 2021 Note</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(1,462)</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issuance costs from High Trail April 2021 Note</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(2,202)</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Insurance financing proceeds</w:t>
            </w:r>
          </w:p>
        </w:tc>
        <w:tc>
          <w:tcPr>
            <w:tcW w:w="24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3,833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2,660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Insurance obligation payments</w:t>
            </w:r>
          </w:p>
        </w:tc>
        <w:tc>
          <w:tcPr>
            <w:tcW w:w="24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(2,783)</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(3,066)</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(3,048)</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3"/>
                <w:szCs w:val="13"/>
                <w:color w:val="auto"/>
              </w:rPr>
              <w:t>Capital lease obligation payments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73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Cash provided by financing activities</w:t>
            </w: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36,566</w:t>
            </w:r>
          </w:p>
        </w:tc>
        <w:tc>
          <w:tcPr>
            <w:tcW w:w="1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32,319</w:t>
            </w: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95,569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3"/>
                <w:szCs w:val="13"/>
                <w:color w:val="auto"/>
              </w:rPr>
              <w:t>EFFECT OF EXCHANGE RATE ON CASH</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(48)</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CHANGE IN CASH AND RESTRICTED CASH FOR THE YEAR</w:t>
            </w: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10,081</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(692)</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59"/>
        </w:trPr>
        <w:tc>
          <w:tcPr>
            <w:tcW w:w="72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RESTRICTED CASH AT BEGINNING OF YEAR</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20,708</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30,789</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30,097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AND RESTRICTED CASH AT END OF YEAR</w:t>
            </w:r>
          </w:p>
        </w:tc>
        <w:tc>
          <w:tcPr>
            <w:tcW w:w="380" w:type="dxa"/>
            <w:vAlign w:val="bottom"/>
            <w:tcBorders>
              <w:bottom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30,789</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30,097</w:t>
            </w:r>
          </w:p>
        </w:tc>
        <w:tc>
          <w:tcPr>
            <w:tcW w:w="26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38,315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3"/>
                <w:szCs w:val="13"/>
                <w:color w:val="auto"/>
              </w:rPr>
              <w:t>RECONCILIATION OF CASH AND RESTRICTED CASH</w:t>
            </w: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CASH</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30,353</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26,718</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RESTRICTED CASH—Prepaid and other current assets</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3,250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RESTRICTED CASH—Other non-current assets</w:t>
            </w:r>
          </w:p>
        </w:tc>
        <w:tc>
          <w:tcPr>
            <w:tcW w:w="3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24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26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tcPr>
          <w:p>
            <w:pPr>
              <w:spacing w:after="0"/>
              <w:rPr>
                <w:sz w:val="20"/>
                <w:szCs w:val="20"/>
                <w:color w:val="auto"/>
              </w:rPr>
            </w:pPr>
            <w:r>
              <w:rPr>
                <w:rFonts w:ascii="Arial" w:cs="Arial" w:eastAsia="Arial" w:hAnsi="Arial"/>
                <w:sz w:val="13"/>
                <w:szCs w:val="13"/>
                <w:color w:val="auto"/>
              </w:rPr>
              <w:t>TOTAL CASH AND RESTRICTED CASH</w:t>
            </w: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30,789</w:t>
            </w:r>
          </w:p>
        </w:tc>
        <w:tc>
          <w:tcPr>
            <w:tcW w:w="240" w:type="dxa"/>
            <w:vAlign w:val="bottom"/>
          </w:tcPr>
          <w:p>
            <w:pPr>
              <w:spacing w:after="0"/>
              <w:rPr>
                <w:sz w:val="13"/>
                <w:szCs w:val="13"/>
                <w:color w:val="auto"/>
              </w:rPr>
            </w:pPr>
          </w:p>
        </w:tc>
        <w:tc>
          <w:tcPr>
            <w:tcW w:w="4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30,097</w:t>
            </w:r>
          </w:p>
        </w:tc>
        <w:tc>
          <w:tcPr>
            <w:tcW w:w="260" w:type="dxa"/>
            <w:vAlign w:val="bottom"/>
          </w:tcPr>
          <w:p>
            <w:pPr>
              <w:spacing w:after="0"/>
              <w:rPr>
                <w:sz w:val="13"/>
                <w:szCs w:val="13"/>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SUPPLEMENTAL DISCLOSURES OF CASH FLOW INFORMATION</w:t>
            </w: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Cash paid for interest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3,201</w:t>
            </w:r>
          </w:p>
        </w:tc>
        <w:tc>
          <w:tcPr>
            <w:tcW w:w="240" w:type="dxa"/>
            <w:vAlign w:val="bottom"/>
          </w:tcPr>
          <w:p>
            <w:pPr>
              <w:spacing w:after="0"/>
              <w:rPr>
                <w:sz w:val="14"/>
                <w:szCs w:val="14"/>
                <w:color w:val="auto"/>
              </w:rPr>
            </w:pP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2,787</w:t>
            </w:r>
          </w:p>
        </w:tc>
        <w:tc>
          <w:tcPr>
            <w:tcW w:w="26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Cash paid for taxes</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Non-cash barter exchange of inventory for advertising/logistics credits</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3,352</w:t>
            </w:r>
          </w:p>
        </w:tc>
        <w:tc>
          <w:tcPr>
            <w:tcW w:w="26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Modification of warrants between equity and liability</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Non-cash consideration paid to contractors</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1,672</w:t>
            </w:r>
          </w:p>
        </w:tc>
        <w:tc>
          <w:tcPr>
            <w:tcW w:w="26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NON-CASH INVESTING AND FINANCING ACTIVITIES:</w:t>
            </w: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Equity fundraising costs not paid</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160</w:t>
            </w:r>
          </w:p>
        </w:tc>
        <w:tc>
          <w:tcPr>
            <w:tcW w:w="240" w:type="dxa"/>
            <w:vAlign w:val="bottom"/>
          </w:tcPr>
          <w:p>
            <w:pPr>
              <w:spacing w:after="0"/>
              <w:rPr>
                <w:sz w:val="14"/>
                <w:szCs w:val="14"/>
                <w:color w:val="auto"/>
              </w:rPr>
            </w:pP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Debt issuance costs not paid</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Original issue discount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5,000</w:t>
            </w:r>
          </w:p>
        </w:tc>
        <w:tc>
          <w:tcPr>
            <w:tcW w:w="26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Discount of debt relating to warrants issuance</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10,483</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Notes payable related to acquisitions</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195</w:t>
            </w:r>
          </w:p>
        </w:tc>
        <w:tc>
          <w:tcPr>
            <w:tcW w:w="240" w:type="dxa"/>
            <w:vAlign w:val="bottom"/>
          </w:tcPr>
          <w:p>
            <w:pPr>
              <w:spacing w:after="0"/>
              <w:rPr>
                <w:sz w:val="14"/>
                <w:szCs w:val="14"/>
                <w:color w:val="auto"/>
              </w:rPr>
            </w:pP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18,073</w:t>
            </w:r>
          </w:p>
        </w:tc>
        <w:tc>
          <w:tcPr>
            <w:tcW w:w="26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in connection with acquisition</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29,075</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Fair value of contingent consideration</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9,800</w:t>
            </w:r>
          </w:p>
        </w:tc>
        <w:tc>
          <w:tcPr>
            <w:tcW w:w="26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20,971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Discount of debt relating to warrants issuance</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Notes Payable of acquisition</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16,550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in connection with Healing Solutions and Photo Paper Direct acquisitions</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3"/>
                <w:szCs w:val="13"/>
                <w:color w:val="auto"/>
              </w:rPr>
              <w:t>Issuance of common stock - debt repayment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125,562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 Healing Solutions earnout settlement</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ind w:right="27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YEARS-ENDED DECEMBER 31, 2019,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Aterian, Inc., formerly known as Mohawk Group Holdings, Inc., and its subsidiaries, (“Aterian” or the “Company”), is a technology-enabled consumer products platform that builds, acquires and partners with e-commerce brands. The Company’s proprietary software and agile supply chain helps create a growing base of consumer products. Aterian predominantly operates through online retail channels such as Amazon and Walmart, Inc. The Company owns and operates fourteen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Aterian’s offices can also be found in China, Philippines, Israel and Poland.</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Going Concern—</w:t>
      </w:r>
      <w:r>
        <w:rPr>
          <w:rFonts w:ascii="Arial" w:cs="Arial" w:eastAsia="Arial" w:hAnsi="Arial"/>
          <w:sz w:val="18"/>
          <w:szCs w:val="18"/>
          <w:color w:val="auto"/>
        </w:rPr>
        <w:t>As of December 31, 2021, the Company had total cash and cash equivalents of $30.3 million and an accumulated deficit of $429.0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addition, the Company’s net loss and net cash used in operating activities amounted to $236.0 million and $42.0 million, respectively, for the year ended December 31, 2021.</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an emerging growth company, the Company has been dependent on outside capital through the issuance of equity to investors and borrowings from lenders (collectively “outside capital”) since its inception to execute its growth strategy of investing in organic growth at the expense of short-term profitably and investing in incremental growth through mergers and acquisitions (“M&amp;A strategy”). In addition, the Company’s recent financial performance has been adversely impacted by the COVID-19 global pandemic and related global shipping disruption, in particular with respect to substantial increases in supply chain costs for shipping containers (See COVID-19 Pandemic and Supply Chain disclosure below). As a result, the Company has incurred significant losses and will remain dependent on outside capital for the foreseeable future until such time that the Company can realize its strategy of growth by generating profits through its organic growth and M&amp;A strategy, and reduce its reliance on outside capital.</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inherent uncertainties associated with executing the Company’s growth strategy, as well as the uncertainty associated with the ongoing COVID-19 global pandemic and related global supply chain disruption, management can provide no assurance the Company will be able to obtain sufficient outside capital or generate sufficient cash from operations to fund the Company’s obligations as they become due over the next twelve months from the date these consolidated financial statements were issued.</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as disclosed in Note 9, the Company entered into a $50.0 million asset backed credit agreement in December 2021. The credit facility contains a financial covenant that requires the Company to maintain a minimum unrestricted cash balance of (a) $12.5 million during the period from February 1st through and including May 31st of each calendar year, and (b) $15.0 million at all other times thereafter. At its election, the Company may elect to comply with an alternative financial covenant that would require the Company to maintain a minimum borrowing availability under the credit facility of $10.0 million at all times. The Company does not anticipate electing the alternative financial covenant over the next twelve months and was in compliance with the minimum liquidity covenant as of the date these consolidated financial statements were issued.</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its inception, the Company has been able to successfully raise a substantial amount of outside capital to fund the Company’s growth strategy. However, as of December 31, 2021, the Company had no firm commitments of additional outside capital from current or prospective investors or lenders. While management believes the Company will be able to secure additional outside capital, no assurance can be provided that such capital will be obtained or on terms that are acceptable to the Company. Furthermore, given the inherent uncertainties associated with the Company’s growth strategy, the Company may be unable to remain in compliance with the financial covenants required by the credit facility agreement over the next twelve months. These uncertainties raise substantial doubt about the Company’s ability to continue as a going concern.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alleviate substantial doubt, management plans to continue to closely monitor its operating forecast, pursue additional sources of outside capital, and pursue its M&amp;A strategy. If the Company is (a) unable to improve its operating results, (b) obtain additional outside capital on terms that are acceptable to the Company to fund the Company’s operations and M&amp;A strategy, and/or (c) secure a waiver or forbearance from the lender if the Company is unable to remain in compliance with the financial covenants required by the credit facility agreement, the Company will have to make significant changes to its operating plan, such as delay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expenditures, reduce investments in new products, delay the development of its software, reduce its sale and distribution infrastructure, or otherwise significantly reduce the scope of its business. Moreover, if the Company breaches the financial covenants required by the credit facility agreement and fails to secure a waiver or forbearance from the lender, such breach or failure could accelerate the repayment of the outstanding borrowings under the credit facility agreement or the exercise of other rights or remedies the lender may have under applicable law. Management can provide no assurance a waiver or forbearance will be granted or the outstanding borrowings under the credit facility will be successfully refinanced on terms that are acceptable to the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25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COVID-19 Pandemic and Supply Chain—</w:t>
      </w:r>
      <w:r>
        <w:rPr>
          <w:rFonts w:ascii="Arial" w:cs="Arial" w:eastAsia="Arial" w:hAnsi="Arial"/>
          <w:sz w:val="16"/>
          <w:szCs w:val="16"/>
          <w:color w:val="auto"/>
        </w:rPr>
        <w:t>The full impact of the COVID-19 pandemic and Supply Chain, including the impact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preventive and precautionary measures that the Company, other businesses and governments are taking, continues to evolve as of the date of this report.</w:t>
      </w:r>
    </w:p>
    <w:p>
      <w:pPr>
        <w:spacing w:after="0" w:line="12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2021, the Company has been impacted by COVID-19 pandemic and related global shipping disruption. Together these have led to substantial increases in supply chain costs, in particular shipping containers, which the Company relies on to import its goods, has reduced the reliability and timely delivery of such shipping containers and has substantially increased the Company’s last mile shipping costs on its oversized goods. These cost increases have been particularly substantial to oversized goods, which is a material part of the Company’s business. The reduced reliability and delivery of such shipping containers is forcing the Company to spend more on premium shipping to ensure goods are delivered, if at all, and the lack of reliability and timely delivery has further down chain impacts as it takes longer for containers to be offloaded and returned. Further, this global shipping disruption is forcing the Company to increase its inventory on-hand including advance ordering and taking possession of inventory earlier than expected impacting its working capital.</w:t>
      </w:r>
    </w:p>
    <w:p>
      <w:pPr>
        <w:spacing w:after="0" w:line="19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impacted by the COVID-19 pandemic. The COVID-19 pandemic continues to bring uncertainty to consumer demand as price increases related to raw materials, the importing of goods, including tariffs, and the cost of delivering goods to consumers has led to inflation across the U.S. Coupled with the recent reopening of the majority of the country, the Company has noticed changes to consumer buying habits, which may have reduced demand for its products.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COVID-19 continues to bring uncertainty to consumer demand as price increases related to raw materials, the importing of goods, including tariffs, and the cost of delivering goods to consumers has led to inflation across the U.S. Coupled with continued changes in governmental restrictions and requirements, which continued to vary across the majority of the country, the Company has noticed changes to consumer buying habits, which may have reduced demand for its products.</w:t>
      </w:r>
    </w:p>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continues to consider the impact of COVID-19 and Supply Chain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and Supply Chain worsen beyond what is currently estimated by management, such future changes may have an adverse impact on the Company’s results of operations, financial position, and liquidity.</w:t>
      </w:r>
    </w:p>
    <w:p>
      <w:pPr>
        <w:spacing w:after="0" w:line="200" w:lineRule="exact"/>
        <w:rPr>
          <w:sz w:val="20"/>
          <w:szCs w:val="20"/>
          <w:color w:val="auto"/>
        </w:rPr>
      </w:pPr>
    </w:p>
    <w:p>
      <w:pPr>
        <w:spacing w:after="0" w:line="30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consolidated financial statements and accompanying notes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ind w:right="70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its wholly-owned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62"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color w:val="auto"/>
        </w:rPr>
        <w:t>—As of December 31, 2020, the Company has classified the following as restricted cash: $0.1 million related to its Chinese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within “other non-current assets” on the consolidated balance sheets and $3.3 million related to a returned deposit for inventory that a manufacturer required the Company to pay into an escrow account within “prepaid and other current assets” on the consolidated balance sheets.</w:t>
      </w:r>
    </w:p>
    <w:p>
      <w:pPr>
        <w:spacing w:after="0" w:line="1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December 31, 2021, the Company has classified the following as restricted cash: $0.1 million related to its Chinese subsidiary within “other non-current assets” on the consolidated balance sheets, $2.0 million related to a letter of credit and $5.9 million for cash sweep accounts related to the Midcap Credit facility within “prepaid and other current assets” on the consolidated balance sheets.</w:t>
      </w:r>
    </w:p>
    <w:p>
      <w:pPr>
        <w:spacing w:after="0" w:line="18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are stated at historical cost less allowance for doubtful accounts. On a periodic basis, management evaluates</w:t>
      </w:r>
      <w:r>
        <w:rPr>
          <w:rFonts w:ascii="Arial" w:cs="Arial" w:eastAsia="Arial" w:hAnsi="Arial"/>
          <w:sz w:val="16"/>
          <w:szCs w:val="16"/>
          <w:b w:val="1"/>
          <w:bCs w:val="1"/>
          <w:color w:val="auto"/>
        </w:rPr>
        <w:t xml:space="preserve"> </w:t>
      </w:r>
      <w:r>
        <w:rPr>
          <w:rFonts w:ascii="Arial" w:cs="Arial" w:eastAsia="Arial" w:hAnsi="Arial"/>
          <w:sz w:val="16"/>
          <w:szCs w:val="16"/>
          <w:color w:val="auto"/>
        </w:rPr>
        <w:t>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On December 31, 2020 and 2021, the Company had no allowance for doubtful accounts.</w:t>
      </w:r>
    </w:p>
    <w:p>
      <w:pPr>
        <w:spacing w:after="0" w:line="154"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—Financial instruments that potentially subject the Company to concentrations of credit risk consist primarily of cash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w:t>
      </w:r>
    </w:p>
    <w:p>
      <w:pPr>
        <w:spacing w:after="0" w:line="16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2020 and 2021, the Company had no one customer that accounted for 10% or more of total net revenue. In addition, as of December 31, 2020 and 2021, the Company has no one customer that accounted for 10% or more of gross accounts receivable. As of December 31, 2020 and 2021, approximately 68% and 42%, respectively, of its accounts receivable is held by the Company’s sales platform vendor, Amazon, which collects money on the Company’s behalf from its customers.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2020, approximately 88% of the Company’s revenue was through or with the Amazon sales platform and in 2021, 93% of its net revenue was through or with the Amazon sales platform.</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and amortization. Depreciation is provided for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3"/>
              </w:rPr>
              <w:t>The estimated useful lives for significant property and equipment categories are as follows: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20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200" w:type="dxa"/>
            <w:vAlign w:val="bottom"/>
          </w:tcPr>
          <w:p>
            <w:pPr>
              <w:jc w:val="center"/>
              <w:ind w:left="90"/>
              <w:spacing w:after="0"/>
              <w:rPr>
                <w:sz w:val="20"/>
                <w:szCs w:val="20"/>
                <w:color w:val="auto"/>
              </w:rPr>
            </w:pPr>
            <w:r>
              <w:rPr>
                <w:rFonts w:ascii="Arial" w:cs="Arial" w:eastAsia="Arial" w:hAnsi="Arial"/>
                <w:sz w:val="18"/>
                <w:szCs w:val="18"/>
                <w:color w:val="auto"/>
                <w:w w:val="87"/>
              </w:rPr>
              <w:t>3-5 years</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 and capital leases</w:t>
            </w:r>
          </w:p>
        </w:tc>
        <w:tc>
          <w:tcPr>
            <w:tcW w:w="2200" w:type="dxa"/>
            <w:vAlign w:val="bottom"/>
            <w:shd w:val="clear" w:color="auto" w:fill="CFF0FC"/>
          </w:tcPr>
          <w:p>
            <w:pPr>
              <w:jc w:val="center"/>
              <w:ind w:left="90"/>
              <w:spacing w:after="0"/>
              <w:rPr>
                <w:sz w:val="20"/>
                <w:szCs w:val="20"/>
                <w:color w:val="auto"/>
              </w:rPr>
            </w:pPr>
            <w:r>
              <w:rPr>
                <w:rFonts w:ascii="Arial" w:cs="Arial" w:eastAsia="Arial" w:hAnsi="Arial"/>
                <w:sz w:val="18"/>
                <w:szCs w:val="18"/>
                <w:color w:val="auto"/>
                <w:w w:val="89"/>
              </w:rPr>
              <w:t>Shorter of remaining lease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40" w:type="dxa"/>
            <w:vAlign w:val="bottom"/>
            <w:shd w:val="clear" w:color="auto" w:fill="CFF0FC"/>
          </w:tcPr>
          <w:p>
            <w:pPr>
              <w:spacing w:after="0"/>
              <w:rPr>
                <w:sz w:val="18"/>
                <w:szCs w:val="18"/>
                <w:color w:val="auto"/>
              </w:rPr>
            </w:pPr>
          </w:p>
        </w:tc>
        <w:tc>
          <w:tcPr>
            <w:tcW w:w="2200" w:type="dxa"/>
            <w:vAlign w:val="bottom"/>
            <w:shd w:val="clear" w:color="auto" w:fill="CFF0FC"/>
          </w:tcPr>
          <w:p>
            <w:pPr>
              <w:jc w:val="center"/>
              <w:ind w:left="90"/>
              <w:spacing w:after="0"/>
              <w:rPr>
                <w:sz w:val="20"/>
                <w:szCs w:val="20"/>
                <w:color w:val="auto"/>
              </w:rPr>
            </w:pPr>
            <w:r>
              <w:rPr>
                <w:rFonts w:ascii="Arial" w:cs="Arial" w:eastAsia="Arial" w:hAnsi="Arial"/>
                <w:sz w:val="18"/>
                <w:szCs w:val="18"/>
                <w:color w:val="auto"/>
                <w:w w:val="90"/>
              </w:rPr>
              <w:t>term or estimated useful</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540" w:type="dxa"/>
            <w:vAlign w:val="bottom"/>
            <w:shd w:val="clear" w:color="auto" w:fill="CFF0FC"/>
          </w:tcPr>
          <w:p>
            <w:pPr>
              <w:spacing w:after="0"/>
              <w:rPr>
                <w:sz w:val="20"/>
                <w:szCs w:val="20"/>
                <w:color w:val="auto"/>
              </w:rPr>
            </w:pPr>
          </w:p>
        </w:tc>
        <w:tc>
          <w:tcPr>
            <w:tcW w:w="220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accounts for income taxes under the asset and liability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2" w:name="page73"/>
    <w:bookmarkEnd w:id="72"/>
    <w:p>
      <w:pPr>
        <w:ind w:right="460"/>
        <w:spacing w:after="0" w:line="286" w:lineRule="auto"/>
        <w:rPr>
          <w:sz w:val="20"/>
          <w:szCs w:val="20"/>
          <w:color w:val="auto"/>
        </w:rPr>
      </w:pPr>
      <w:r>
        <w:rPr>
          <w:rFonts w:ascii="Arial" w:cs="Arial" w:eastAsia="Arial" w:hAnsi="Arial"/>
          <w:sz w:val="17"/>
          <w:szCs w:val="17"/>
          <w:color w:val="auto"/>
        </w:rPr>
        <w:t>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spacing w:after="0" w:line="16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Codification (“ASC”) Topic 606, Revenue from Contracts with Customers (“ASC Topic 606”). The Company adopted ASC Topic 606 as of January 1, 2017 using the full retrospective method. The standard did not affect the Company’s consolidated net loss, financial position, or cash flows. There were no changes to the timing of revenue recognition as a result of the adoption.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$0.5 million and $0.6 million at December 31, 2020 and 2021, respectively, which is included in accrued liabilities and represents the expected value of the refund that will be due to its customers.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similarly,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2020 and 2021 were de minimis.</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direct and wholesale revenue for the years-ended December 31, 2020 and 2021 are recognized at a point in time.</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—Consistent with prior periods, sales taxes collected from customers are presented on a net basis and as such are excluded from net revenue.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3" w:name="page74"/>
    <w:bookmarkEnd w:id="73"/>
    <w:p>
      <w:pPr>
        <w:ind w:right="26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200" w:lineRule="exact"/>
        <w:rPr>
          <w:sz w:val="20"/>
          <w:szCs w:val="20"/>
          <w:color w:val="auto"/>
        </w:rPr>
      </w:pP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Year-Ended December 31, 2019</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7"/>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Managed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Platform as a</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Wholesale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Service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20" w:type="dxa"/>
            <w:vAlign w:val="bottom"/>
            <w:vMerge w:val="restart"/>
          </w:tcPr>
          <w:p>
            <w:pPr>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(“PaaS”)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111,168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111,358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Year-Ended December 31, 2020</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7"/>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Wholesale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Managed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PaaS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164,162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20,150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185,648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164,218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20,150</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2"/>
              </w:rPr>
              <w:t>Year-Ended December 31, 2021</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7"/>
          </w:tcPr>
          <w:p>
            <w:pPr>
              <w:jc w:val="right"/>
              <w:ind w:right="740"/>
              <w:spacing w:after="0" w:line="147"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Wholesale</w:t>
            </w:r>
          </w:p>
        </w:tc>
        <w:tc>
          <w:tcPr>
            <w:tcW w:w="6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Managed PaaS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244,017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247,767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center"/>
              <w:ind w:left="393"/>
              <w:spacing w:after="0"/>
              <w:rPr>
                <w:sz w:val="20"/>
                <w:szCs w:val="20"/>
                <w:color w:val="auto"/>
              </w:rPr>
            </w:pPr>
            <w:r>
              <w:rPr>
                <w:rFonts w:ascii="Arial" w:cs="Arial" w:eastAsia="Arial" w:hAnsi="Arial"/>
                <w:sz w:val="14"/>
                <w:szCs w:val="14"/>
                <w:b w:val="1"/>
                <w:bCs w:val="1"/>
                <w:color w:val="auto"/>
                <w:w w:val="92"/>
              </w:rPr>
              <w:t>Year-Ended December 31,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58,025</w:t>
            </w: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73,685</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Kitchen appliances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29,711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43,180</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8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Home office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12,352</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33,951</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27,444</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12,148</w:t>
            </w:r>
          </w:p>
        </w:tc>
        <w:tc>
          <w:tcPr>
            <w:tcW w:w="8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184,368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247,345</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PaaS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FF0FC"/>
          </w:tcPr>
          <w:p>
            <w:pPr>
              <w:spacing w:after="0"/>
              <w:rPr>
                <w:sz w:val="19"/>
                <w:szCs w:val="19"/>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114,451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185,704</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247,767</w:t>
            </w: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December 31, 2021, the carrying amounts of these instruments approximated their fair values because of their short-term nature. The Company’s credit facility is carried at amortized cost at December 31, 2020 and December 31, 2021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fair value of the outstanding warrants were measured using the Monte Carlo Simulation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t>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the change in fair value of contingent earn-out liabilities line item on the statement of operations.</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 The Company operates under one business component which is the same as its reporting unit based on the guidance in ASC Topic 350-20.</w:t>
      </w:r>
    </w:p>
    <w:p>
      <w:pPr>
        <w:spacing w:after="0" w:line="29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Company engaged a third-party valuation specialist to assist management in performing its annual goodwill impairment test in December 2021. For goodwill, impairment testing is based upon the best information available using a combination of the discounted cash flow method (a form of the income approach), the guideline public company method, and guideline transaction method (both market approaches).</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income approach, or discounted cash flow method, the significant assumptions used are projected net revenue, projected contribution margin (product operating margin before fixed costs), fixed costs, terminal growth rates and the cost of capital. Projected net revenue, projected contribution margin and terminal growth rates were determined to be significant assumptions because they are the three primary drivers of the projected cash flows in the discounted cash flow fair value model. Cost of capital is another significant assumption as the discount rate is used to calculate the current fair value of those projected cash flows. Under the guideline public company method and guideline transaction method, significant assumptions relate to the selection of appropriate guideline companies and transactions and the valuation multiples used in the market analysis.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believes that the assumptions and estimates made are reasonable and appropriate, and changes in the assumptions and estimates could have a material impact on its reported financial results. In addition, sustained declines in the Company’s stock price and related market capitalization could impact key assumptions in the overall estimated fair values of its reporting unit and could result in non-cash impairment charges that could be material to the Company's consolidated balance sheet or results of operations. The company began to experience improvement in its operating margins and additional improvement in its products performance before the inclusion of fixed costs. These improvements, coupled with the Company’s acquisitions, supported the Company’s conclusion that it would generate significant improvements in its operating results.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5" w:name="page76"/>
    <w:bookmarkEnd w:id="75"/>
    <w:p>
      <w:pPr>
        <w:spacing w:after="0" w:line="254" w:lineRule="auto"/>
        <w:rPr>
          <w:sz w:val="20"/>
          <w:szCs w:val="20"/>
          <w:color w:val="auto"/>
        </w:rPr>
      </w:pPr>
      <w:r>
        <w:rPr>
          <w:rFonts w:ascii="Arial" w:cs="Arial" w:eastAsia="Arial" w:hAnsi="Arial"/>
          <w:sz w:val="18"/>
          <w:szCs w:val="18"/>
          <w:color w:val="auto"/>
        </w:rPr>
        <w:t>Since December 31, 2020, the Company has had an additional increase in the amount of goodwill through acquisitions made in 2021. Although the Company has experienced volatility in its share price and short-term forecasts, impacting its going concern analysis due to lender covenant risks, the Company believes it has had no triggering events as its overall long-term forecasts remain materially the same as of December 31, 2021. However, if the Company continues to experience downward share price volatility or there are material reductions in long-term forecasts the excess fair-value over its carrying value could be reduced significantly and could lead to a triggering event and ultimately to a goodwill impairment charge. The Company performed a full step one impairment test at December 31, 2021 and concluded no impairment and that its estimated fair-values exceeded its carrying values by 21% as of the year-ended December 31, 2021.</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continue to closely monitor actual results versus expectations as well as whether and to what extent any significant changes in current events or conditions, including changes to the impacts of COVID-19 on its business, result in corresponding changes to its expectations about future estimated cash flows, discount rates and market multiples. If the Company’s adjusted expectations of the operating results do not materialize, if the discount rate increases (based on increases in interest rates, market rates of return or market volatility) or if market multiples decline, we may be required to record goodwill impairment charges, which may be material.</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believes our conclusions regarding the estimates of fair value of its reporting unit is appropriate, these estimates are subject to uncertainty and by nature include judgments and estimates regarding various factors. These factors include the rate and extent of growth in the markets that our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Intangible assets</w:t>
      </w:r>
      <w:r>
        <w:rPr>
          <w:rFonts w:ascii="Arial" w:cs="Arial" w:eastAsia="Arial" w:hAnsi="Arial"/>
          <w:sz w:val="17"/>
          <w:szCs w:val="17"/>
          <w:color w:val="auto"/>
        </w:rPr>
        <w:t>—Intangible assets with finite lives are amortized over their estimated useful life on a straight-line basis. The Company monitors</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related to these assets to determine whether events and circumstances warrant a revision to the remaining amortization. The Company tests these assets for potential impairment whenever its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—In accordance with FASB ASC Topic 805 “Business Combinations", acquired assets and liabilities assumed as part of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w:t>
      </w:r>
    </w:p>
    <w:p>
      <w:pPr>
        <w:spacing w:after="0" w:line="1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Accounting and Contingent Consideration</w:t>
      </w:r>
      <w:r>
        <w:rPr>
          <w:rFonts w:ascii="Arial" w:cs="Arial" w:eastAsia="Arial" w:hAnsi="Arial"/>
          <w:sz w:val="16"/>
          <w:szCs w:val="16"/>
          <w:color w:val="auto"/>
        </w:rPr>
        <w:t>—The Company’s acquisitions include contingent consideration as part of the purchase price. The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contingent consideration is estimated as of the acquisition date based on the present value of the contingent payments to be made using a weighted probability of possible payments. 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measurements. If actual results increase or decrease as compared to the assumption used in the Company’s analysis, the fair value of the contingent consideration obligations will increase or decrease, up to the contracted limit, as applicable. Changes in the fair value of the contingent earn-out consideration could cause a material impact and volatility in the Company’s operating results.</w:t>
      </w:r>
    </w:p>
    <w:p>
      <w:pPr>
        <w:spacing w:after="0" w:line="15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Inventory and Cost of Goods Sold</w:t>
      </w:r>
      <w:r>
        <w:rPr>
          <w:rFonts w:ascii="Arial" w:cs="Arial" w:eastAsia="Arial" w:hAnsi="Arial"/>
          <w:sz w:val="18"/>
          <w:szCs w:val="18"/>
          <w:color w:val="auto"/>
        </w:rPr>
        <w:t>—The Company’s inventory consists almost entirely of finished goods. The Company currently records inventory on</w:t>
      </w:r>
      <w:r>
        <w:rPr>
          <w:rFonts w:ascii="Arial" w:cs="Arial" w:eastAsia="Arial" w:hAnsi="Arial"/>
          <w:sz w:val="18"/>
          <w:szCs w:val="18"/>
          <w:b w:val="1"/>
          <w:bCs w:val="1"/>
          <w:color w:val="auto"/>
        </w:rPr>
        <w:t xml:space="preserve"> </w:t>
      </w:r>
      <w:r>
        <w:rPr>
          <w:rFonts w:ascii="Arial" w:cs="Arial" w:eastAsia="Arial" w:hAnsi="Arial"/>
          <w:sz w:val="18"/>
          <w:szCs w:val="18"/>
          <w:color w:val="auto"/>
        </w:rPr>
        <w:t>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w:t>
      </w:r>
    </w:p>
    <w:p>
      <w:pPr>
        <w:spacing w:after="0" w:line="18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“Cost of goods sold” line item in the consolidated statements of operations consists of the book value of inventory sold to customers during the reporting period and amortization of inventory step-up from acquisitions. When circumstances dictate that the Company use net realizable value as the basis for recording inventory, it bases its estimates on expected future selling prices less expected disposal costs.</w:t>
      </w:r>
    </w:p>
    <w:p>
      <w:pPr>
        <w:spacing w:after="0" w:line="16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Sales and Distribution—</w:t>
      </w:r>
      <w:r>
        <w:rPr>
          <w:rFonts w:ascii="Arial" w:cs="Arial" w:eastAsia="Arial" w:hAnsi="Arial"/>
          <w:sz w:val="18"/>
          <w:szCs w:val="18"/>
          <w:color w:val="auto"/>
        </w:rPr>
        <w:t>Sales and distribution expenses consist of online advertising costs, marketing and promotional costs, sales and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commissions, fulfillment, including shipping and handling, and warehouse costs (i.e. sales and distribution variable expenses). Further, sales and distribution expenses also include employee compensation and benefits and other related fixed costs. Costs associated with the Company’s advertising and sales promotion are expensed as incurred and are included in sales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ind w:right="180"/>
        <w:spacing w:after="0" w:line="296" w:lineRule="auto"/>
        <w:rPr>
          <w:sz w:val="20"/>
          <w:szCs w:val="20"/>
          <w:color w:val="auto"/>
        </w:rPr>
      </w:pPr>
      <w:r>
        <w:rPr>
          <w:rFonts w:ascii="Arial" w:cs="Arial" w:eastAsia="Arial" w:hAnsi="Arial"/>
          <w:sz w:val="16"/>
          <w:szCs w:val="16"/>
          <w:color w:val="auto"/>
        </w:rPr>
        <w:t>distribution expenses. For the years-ended December 31, 2019, 2020 and 2021, the Company recognized $4.8 million, $6.3 million and $9.0 million, respectively, for advertising costs, which consists primarily of online advertising expense. Shipping and handling expense is included in the Company’s consolidated statements of operations within sales and distribution expenses. This includes pick and pack costs and outbound transportation costs to ship goods to customers performed by e-commerce platforms or incurred directly by the Company’s own fulfillment operations. The Company’s expense for shipping and handling was $17.2 million, $</w:t>
      </w:r>
      <w:r>
        <w:rPr>
          <w:rFonts w:ascii="Arial" w:cs="Arial" w:eastAsia="Arial" w:hAnsi="Arial"/>
          <w:sz w:val="16"/>
          <w:szCs w:val="16"/>
          <w:b w:val="1"/>
          <w:bCs w:val="1"/>
          <w:color w:val="auto"/>
        </w:rPr>
        <w:t>20.4</w:t>
      </w:r>
      <w:r>
        <w:rPr>
          <w:rFonts w:ascii="Arial" w:cs="Arial" w:eastAsia="Arial" w:hAnsi="Arial"/>
          <w:sz w:val="16"/>
          <w:szCs w:val="16"/>
          <w:color w:val="auto"/>
        </w:rPr>
        <w:t xml:space="preserve"> million and $43.4 million during fiscal years 2019, 2020 and 2021, respectively.</w:t>
      </w:r>
    </w:p>
    <w:p>
      <w:pPr>
        <w:spacing w:after="0" w:line="15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Research and Development</w:t>
      </w:r>
      <w:r>
        <w:rPr>
          <w:rFonts w:ascii="Arial" w:cs="Arial" w:eastAsia="Arial" w:hAnsi="Arial"/>
          <w:sz w:val="16"/>
          <w:szCs w:val="16"/>
          <w:color w:val="auto"/>
        </w:rPr>
        <w:t>— Research and development expenses include compensation and employee benefits for technology development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travel related costs, and fees paid to outside consultants related to development of the Company’s owned intellectual property and technology.</w:t>
      </w:r>
    </w:p>
    <w:p>
      <w:pPr>
        <w:spacing w:after="0" w:line="116"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include compensation and employee benefits for executive management,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legal, and human resources, facility costs, travel, professional service fees and other general overhead costs.</w:t>
      </w:r>
    </w:p>
    <w:p>
      <w:pPr>
        <w:spacing w:after="0" w:line="14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Stock-based compensation expense to employees is measured based on the grant-date fair value of the awards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in the consolidated statements of operations over the period during which the employee is required to perform services in exchange for the award (the vesting period of the award). The Company estimates the fair value of stock options granted using the Black-Scholes option valuation model.</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Black-Scholes option-pricing model requires the input of highly subjective assumptions, including the fair value of the Company’s underlying common stock, the expected term of stock options, the expected volatility of the price of its common stock, risk-free interest rates and the expected dividend yield of its common stock. The assumptions used in the Company’s option-pricing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020" w:right="500" w:hanging="378"/>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Company based the risk-free interest rate used in the Black-Scholes valuation model on the implied yield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on U.S. Treasury zero-coupon bonds with an equivalent remaining term of the stock options for each stock option group.</w:t>
      </w:r>
    </w:p>
    <w:p>
      <w:pPr>
        <w:spacing w:after="0" w:line="15" w:lineRule="exact"/>
        <w:rPr>
          <w:rFonts w:ascii="Arial" w:cs="Arial" w:eastAsia="Arial" w:hAnsi="Arial"/>
          <w:sz w:val="16"/>
          <w:szCs w:val="16"/>
          <w:color w:val="auto"/>
        </w:rPr>
      </w:pPr>
    </w:p>
    <w:p>
      <w:pPr>
        <w:ind w:left="1020" w:right="100" w:hanging="378"/>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based on the average period the stock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generally calculated as the midpoint of the stock options vesting term and contractual expiration period, as it does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8"/>
          <w:szCs w:val="18"/>
          <w:color w:val="auto"/>
        </w:rPr>
      </w:pPr>
    </w:p>
    <w:p>
      <w:pPr>
        <w:ind w:left="1020" w:hanging="378"/>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determines the price volatility factor based on the historical volatility of publicly-traded industry peers.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its peer group of companies, the Company considers public companies in the technology industry and selects those that are similar to the Company in size, stage of life cycle and financial leverage. The Company does not rely on implied volatilities of traded options in its industry peers’ common stock because the volume of activity is relatively low.</w:t>
      </w:r>
    </w:p>
    <w:p>
      <w:pPr>
        <w:spacing w:after="0" w:line="78" w:lineRule="exact"/>
        <w:rPr>
          <w:rFonts w:ascii="Arial" w:cs="Arial" w:eastAsia="Arial" w:hAnsi="Arial"/>
          <w:sz w:val="18"/>
          <w:szCs w:val="18"/>
          <w:color w:val="auto"/>
        </w:rPr>
      </w:pPr>
    </w:p>
    <w:p>
      <w:pPr>
        <w:ind w:left="1020" w:right="580" w:hanging="37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cash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uses an expected dividend yield of zero.</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any of the assumptions used in the Black-Scholes option-pricing model changes significantly, stock-based compensation for future awards may differ materially compared with the awards granted previously. The Company recognizes forfeitures as they occur, which results in a reduction in compensation expense at the time of forfeiture.</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Company’s foreign subsidiaries is the local currency. All assets and liabilities of foreign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less than $0.1 million for each of the years-ended December 31, 2019, 2020 and 2021.</w:t>
      </w:r>
    </w:p>
    <w:p>
      <w:pPr>
        <w:spacing w:after="0" w:line="1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Net Loss Per Share</w:t>
      </w:r>
      <w:r>
        <w:rPr>
          <w:rFonts w:ascii="Arial" w:cs="Arial" w:eastAsia="Arial" w:hAnsi="Arial"/>
          <w:sz w:val="18"/>
          <w:szCs w:val="18"/>
          <w:color w:val="auto"/>
        </w:rPr>
        <w:t>—The Company computes basic earnings per share using the weighted-average number of shares of common stock outstanding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For periods in which the Company reports net losses, diluted net loss per share attributable 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77" w:name="page78"/>
    <w:bookmarkEnd w:id="77"/>
    <w:p>
      <w:pPr>
        <w:ind w:right="160"/>
        <w:spacing w:after="0" w:line="277" w:lineRule="auto"/>
        <w:rPr>
          <w:sz w:val="20"/>
          <w:szCs w:val="20"/>
          <w:color w:val="auto"/>
        </w:rPr>
      </w:pPr>
      <w:r>
        <w:rPr>
          <w:rFonts w:ascii="Arial" w:cs="Arial" w:eastAsia="Arial" w:hAnsi="Arial"/>
          <w:sz w:val="18"/>
          <w:szCs w:val="18"/>
          <w:color w:val="auto"/>
        </w:rPr>
        <w:t>stockholders is the same as basic net loss per share attributable to stockholders, because potentially dilutive common shares are not assumed to have been issued if their effect is anti-dilutive.</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—The Company reports segment information in accordance with ASC Topic No. 280 “Segment Reporting.” The Company has one</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The new guidance was adopted on January 1, 2022 with no material impact on the Company’s consolidated financial statements. The Company adopted this standard by electing the package of practical expedients without hindsight, which permits the Company to not reassess (1) whether any expired or existing contracts are or contain leases,</w:t>
      </w:r>
    </w:p>
    <w:p>
      <w:pPr>
        <w:spacing w:after="0" w:line="2" w:lineRule="exact"/>
        <w:rPr>
          <w:sz w:val="20"/>
          <w:szCs w:val="20"/>
          <w:color w:val="auto"/>
        </w:rPr>
      </w:pPr>
    </w:p>
    <w:p>
      <w:pPr>
        <w:ind w:firstLine="8"/>
        <w:spacing w:after="0" w:line="270"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lease classification for any expired or existing leases, and (3) any initial direct costs for any existing leases as of the adoption date. The Company has several corporate office leases which are classified as operating leases, for which the Company is required to record a right-of-use asset and a lease liability equal to the present value of the remaining minimum lease payments and will continue to recognize expenses on a straight-line basis for these leases. On January 1, 2022, the Company recorded an aggregate of approximately $0.7 million of right-of-use assets and corresponding $0.7 million of lease liabilities upon adoption of this standard. Right-of-use assets and corresponding lease liabilities are included in the prepaid and other assets and accrued and other liabilities line item respectively on the consolidated balance sheets.</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No. 2018-15, “Customer’s Accounting for Implementation Cost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 a Service Contract” </w:t>
      </w:r>
      <w:r>
        <w:rPr>
          <w:rFonts w:ascii="Arial" w:cs="Arial" w:eastAsia="Arial" w:hAnsi="Arial"/>
          <w:sz w:val="17"/>
          <w:szCs w:val="17"/>
          <w:color w:val="auto"/>
        </w:rPr>
        <w:t>(“ASU 2018-15”). Under the new guidance, customers apply the same criteria for capitalizing implementation costs as they would</w:t>
      </w:r>
      <w:r>
        <w:rPr>
          <w:rFonts w:ascii="Arial" w:cs="Arial" w:eastAsia="Arial" w:hAnsi="Arial"/>
          <w:sz w:val="17"/>
          <w:szCs w:val="17"/>
          <w:i w:val="1"/>
          <w:iCs w:val="1"/>
          <w:color w:val="auto"/>
        </w:rPr>
        <w:t xml:space="preserve"> </w:t>
      </w:r>
      <w:r>
        <w:rPr>
          <w:rFonts w:ascii="Arial" w:cs="Arial" w:eastAsia="Arial" w:hAnsi="Arial"/>
          <w:sz w:val="17"/>
          <w:szCs w:val="17"/>
          <w:color w:val="auto"/>
        </w:rPr>
        <w:t>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ASU 2018-15 will be effective for fiscal years beginning after December 15, 2021, including interim periods within those fiscal years. Early adoption is permitted. The new guidance was adopted on January 1, 2022 with no material impact on the Company’s consolidated financial statements.</w:t>
      </w:r>
    </w:p>
    <w:p>
      <w:pPr>
        <w:spacing w:after="0" w:line="17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August 2020, the FASB issued </w:t>
      </w:r>
      <w:r>
        <w:rPr>
          <w:rFonts w:ascii="Arial" w:cs="Arial" w:eastAsia="Arial" w:hAnsi="Arial"/>
          <w:sz w:val="17"/>
          <w:szCs w:val="17"/>
          <w:i w:val="1"/>
          <w:iCs w:val="1"/>
          <w:color w:val="auto"/>
        </w:rPr>
        <w:t>ASU No. 2020-06, “Debt—Debt with Conversion and Other Options (Topic 470)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(Topic 814): Accounting for Convertible Instruments and Contracts in an Entity’s Own Equity” </w:t>
      </w:r>
      <w:r>
        <w:rPr>
          <w:rFonts w:ascii="Arial" w:cs="Arial" w:eastAsia="Arial" w:hAnsi="Arial"/>
          <w:sz w:val="17"/>
          <w:szCs w:val="17"/>
          <w:color w:val="auto"/>
        </w:rPr>
        <w:t>(“ASU 2020-06”).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The new guidance was adopted on January 1, 2022 with no 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8" w:name="page79"/>
    <w:bookmarkEnd w:id="78"/>
    <w:p>
      <w:pPr>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w:t>
      </w:r>
      <w:r>
        <w:rPr>
          <w:rFonts w:ascii="Arial" w:cs="Arial" w:eastAsia="Arial" w:hAnsi="Arial"/>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29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2020 and 2021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48,079</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63,045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The Company’s Inventory on-hand is held either with Amazon, Walmart or the Company’s other third-party warehouses. The Company does not have any contractual right of returns with its contract manufacturers. The Company’s Inventory on-hand held by Amazon was approximately $5.3 million and $8.4 million as of December 31, 2020 and December 31, 2021, respectively.</w:t>
      </w:r>
    </w:p>
    <w:p>
      <w:pPr>
        <w:spacing w:after="0" w:line="27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as of December 31, 2020 and 2021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w:t>
            </w:r>
          </w:p>
        </w:tc>
        <w:tc>
          <w:tcPr>
            <w:tcW w:w="8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December 31, 2020 and 2021 (in thousands):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Building</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1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Depreciation expense for property and equipment totaled $0.2 million, $0.3 million and $0.2 million during the years-ended December 31, 2019, 2020 and 2021, respectively.</w:t>
      </w:r>
    </w:p>
    <w:p>
      <w:pPr>
        <w:spacing w:after="0" w:line="274"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financial instruments consist of Level 1 assets at December 31, 2020 and 2021. The Company’s cash and restricted cash was $30.1 million and $38.3 million at December 31, 2020 and 2021, respectively, and included savings deposits and overnight investments.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credit facility and term loans are carried at amortized cost at December 31, 2020 and December 31, 2021 and the carrying amount approximates fair value as the stated interest rate approximates market rates currently available to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9" w:name="page80"/>
    <w:bookmarkEnd w:id="79"/>
    <w:p>
      <w:pPr>
        <w:ind w:right="100"/>
        <w:spacing w:after="0" w:line="259" w:lineRule="auto"/>
        <w:rPr>
          <w:sz w:val="20"/>
          <w:szCs w:val="20"/>
          <w:color w:val="auto"/>
        </w:rPr>
      </w:pPr>
      <w:r>
        <w:rPr>
          <w:rFonts w:ascii="Arial" w:cs="Arial" w:eastAsia="Arial" w:hAnsi="Arial"/>
          <w:sz w:val="18"/>
          <w:szCs w:val="18"/>
          <w:color w:val="auto"/>
        </w:rPr>
        <w:t>The Company considers the inputs utilized to determine the fair value of the borrowings to be Level 3 inputs. 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a component of stockholders’ equity.</w:t>
      </w:r>
    </w:p>
    <w:p>
      <w:pPr>
        <w:spacing w:after="0" w:line="18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for the years-ended December 31, 2020 and 2021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2020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3"/>
        </w:trPr>
        <w:tc>
          <w:tcPr>
            <w:tcW w:w="5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32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94"/>
              </w:rPr>
              <w:t>Fair Value Measurement Category</w:t>
            </w:r>
          </w:p>
        </w:tc>
      </w:tr>
      <w:tr>
        <w:trPr>
          <w:trHeight w:val="243"/>
        </w:trPr>
        <w:tc>
          <w:tcPr>
            <w:tcW w:w="5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1"/>
                <w:szCs w:val="21"/>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26,718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Liabilities:</w:t>
            </w: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fair value of contingent earn-out considerations</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22,531</w:t>
            </w: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Fair market value of warrant liability</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31,821</w:t>
            </w:r>
          </w:p>
        </w:tc>
      </w:tr>
      <w:tr>
        <w:trPr>
          <w:trHeight w:val="487"/>
        </w:trPr>
        <w:tc>
          <w:tcPr>
            <w:tcW w:w="5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2021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5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32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94"/>
              </w:rPr>
              <w:t>Fair Value Measurement Category</w:t>
            </w:r>
          </w:p>
        </w:tc>
      </w:tr>
      <w:tr>
        <w:trPr>
          <w:trHeight w:val="243"/>
        </w:trPr>
        <w:tc>
          <w:tcPr>
            <w:tcW w:w="5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1"/>
                <w:szCs w:val="21"/>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30,317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Liabilities:</w:t>
            </w: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fair value of contingent earn-out considerations</w:t>
            </w:r>
          </w:p>
        </w:tc>
        <w:tc>
          <w:tcPr>
            <w:tcW w:w="1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9,223</w:t>
            </w: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Fair market value of warrant liability</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activity of the Level 3 liabilities carried at fair value on a recurring basis for the years-ended December 31, 2020 and 2021 are as follows (in thousands):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31,821</w:t>
            </w:r>
          </w:p>
        </w:tc>
        <w:tc>
          <w:tcPr>
            <w:tcW w:w="120" w:type="dxa"/>
            <w:vAlign w:val="bottom"/>
          </w:tcPr>
          <w:p>
            <w:pPr>
              <w:spacing w:after="0"/>
              <w:rPr>
                <w:sz w:val="20"/>
                <w:szCs w:val="20"/>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Modification of warrant liability to equity classification</w:t>
            </w: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(58,276)</w:t>
            </w:r>
          </w:p>
        </w:tc>
      </w:tr>
      <w:tr>
        <w:trPr>
          <w:trHeight w:val="230"/>
        </w:trPr>
        <w:tc>
          <w:tcPr>
            <w:tcW w:w="8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warrant liability</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26,455</w:t>
            </w:r>
          </w:p>
        </w:tc>
        <w:tc>
          <w:tcPr>
            <w:tcW w:w="120" w:type="dxa"/>
            <w:vAlign w:val="bottom"/>
            <w:tcBorders>
              <w:bottom w:val="single" w:sz="8" w:color="CFF0FC"/>
            </w:tcBorders>
          </w:tcPr>
          <w:p>
            <w:pPr>
              <w:spacing w:after="0"/>
              <w:rPr>
                <w:sz w:val="19"/>
                <w:szCs w:val="19"/>
                <w:color w:val="auto"/>
              </w:rPr>
            </w:pPr>
          </w:p>
        </w:tc>
      </w:tr>
      <w:tr>
        <w:trPr>
          <w:trHeight w:val="223"/>
        </w:trPr>
        <w:tc>
          <w:tcPr>
            <w:tcW w:w="8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6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tcPr>
          <w:p>
            <w:pPr>
              <w:spacing w:after="0"/>
              <w:rPr>
                <w:sz w:val="24"/>
                <w:szCs w:val="24"/>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issuance of contingent earn-out liability</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20,971</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Change in fair value of contingent earn-out liability</w:t>
            </w: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(30,529)</w:t>
            </w: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Payment of contingent earn-out liability</w:t>
            </w: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(3,750)</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fair value of the outstanding warrants were measured using the Monte Carlo Simulation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the change in fair value of contingent earn-out liabilities line item on the statement of operations.</w:t>
      </w:r>
    </w:p>
    <w:p>
      <w:pPr>
        <w:spacing w:after="0" w:line="296"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PREPAID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and other current assets consisted of the following as of December 31, 2020 and 2021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7,998</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Consulting fees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Amazon global logistics</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800" w:hanging="792"/>
        <w:spacing w:after="0"/>
        <w:tabs>
          <w:tab w:leader="none" w:pos="8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2020 and 2021 (in thousands):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Sales return reserve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Accrued fulfillment expense</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Federal payroll taxes payable</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All other accruals</w:t>
            </w: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81" w:name="page82"/>
    <w:bookmarkEnd w:id="81"/>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 – November 2018 Note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23, 2018, the Company entered into the three-year $25.0 million revolving credit facility (the “Credit Facility”) with MidCap Funding IV Trust (“MidCap”) as agent and lenders party thereto. The Credit Facility could be increased, subject to certain conditions, to $50.0 million. Loans under the Credit Facility were determined based on percentages of the Company’s eligible accounts receivable and eligible inventory. The Credit Facility bore interest at a rate of the London Interbank Offered Rate (“LIBOR”) plus 5.75% for outstanding borrowings. The Company was required to pay a facility availability fee of 0.5% on the average unused portion of the Credit Facility. On December 1, 2020, the Company, certain of the Company’s subsidiaries and MidCap entered into an amendment to the Credit Facility, (i) providing for a $30.0 million revolving credit facility, which could be increased, subject to certain conditions, to $50.0 million, (ii) permitting the incurrence of certain debt under certain conditions and restrictions, including the senior secured note with an aggregate principal amount of $43.0 million issued on December 1, 2020 (as amended, the “December 2020 Note”), (iii) permitting certain payments to High Trail SA as required under the December 2020 Note, and (iv) permitting the acquisition of the assets of an e-commerce business under the brands Mueller, Pursteam, Pohl and Schmitt, and Spiralizer (the “Smash Assets”). Further, the Credit Facility was extended to November 23, 2022. The Credit Facility contained a minimum liquidity financial covenant that required the Company to maintain a minimum of $6.5 million in cash on hand or availability in the Credit Facility. The Company was in compliance with the financial covenants contained within the Credit Facility as of December 31, 2020. As of December 31, 2020, there was $12.9 million outstanding on the Credit Facility and an available balance of approximately $1.4 million and as of December 31, 2021, there was no outstanding balance on the Credit Facility. On April 8, 2021, the Company paid off all obligations owing under, and terminated, the Credit Facility. The Company recorded $1.5 million of extinguishment of debt for the year-ended December 31, 2021, which has been classified within loss on extinguishment of debt on the condensed consolidated statements of operations. Pursuant to the Credit Facility, upon the payment of the amounts outstanding under the Credit Facility, the Company paid a prepayment fee and a payoff letter preparation fee in an aggregate amount equal to 4.3% of the then outstanding principal balance of the Credit Facility. The Company recorded interest expense from the Credit Facility of approximately $1.9 million and $0.4 million for the years-ended December 31, 2020 and 2021, respectively, which included $0.7 million and $0.1 million, respectively, relating to debt issuance costs.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 – December 2018 Note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31, 2018, the Company entered into a term loan agreement (the “Horizon Loan Agreement”) with Horizon Technology Finance Corporation (“Horizon”). As part of the Horizon Loan Agreement, the Company obtained a four-year $15.0 million term loan (the “Horizon Term Loan”). The Horizon Term Loan bore interest at 9.90% plus the amount by which one-month LIBOR exceeded 2.50% for outstanding borrowings, and payments on principal were made on a monthly basis. The maturity date of the Horizon Term Loan was January 2023.</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On December 1, 2020, the Company paid off all remaining obligations under the Horizon Term Loan for $15.0 million and terminated the Horizon Term Loan. The Company recorded interest expense from the Horizon Term Loan of $1.4 million and $0.0 million for the years-ended December 31, 2020 and 2021, respectively, which included $0.6 million and $0.0 million, respectively, relating to debt issuance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Loan - December 2020 Note</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1, 2020, the Company refinanced the Horizon Term Loan through the issuance of the December 2020 Note to High Trail SA. The Company received gross proceeds of $38.0 million in exchange for the December 2020 Note with an aggregate principal amount of $43.0 million. The December 2020 Note was to be repaid over 24 equal monthly cash payments of $1.8 million.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December 2020 Note consisted of the following as of December 31, 2020:</w:t>
      </w:r>
    </w:p>
    <w:p>
      <w:pPr>
        <w:spacing w:after="0" w:line="200" w:lineRule="exact"/>
        <w:rPr>
          <w:sz w:val="20"/>
          <w:szCs w:val="20"/>
          <w:color w:val="auto"/>
        </w:rPr>
      </w:pP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237"/>
        </w:trPr>
        <w:tc>
          <w:tcPr>
            <w:tcW w:w="8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(in thousands)</w:t>
            </w: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December 2020 Note</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(2,207)</w:t>
            </w: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(9,839)</w:t>
            </w: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(4,692)</w:t>
            </w: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December 2020 Note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58,083</w:t>
            </w: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(21,600)</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December 2020 Note contained a minimum liquidity financial covenant that required the Company to maintain a minimum of $10.0 million in unrestricted cash on hand. Additionally, as of the last day of each applicable fiscal quarter, the Company was required to maintain Adjusted EBITDA amounts for the 12-month period ending on such day, as defined in the December 2020 Note. The Company was in compliance with the December 2020 Note’s financial covenants as of December 31, 2020.</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December 2020 Note was extinguished on April 8, 2021 in exchange for an April 2021 Note (see the discussion under the heading High Trail April 2021 Note of this Note 9 below).</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 February 2021 Note</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 February 2, 2021, the Company entered into a second, separate transaction with High Trail, where it issued to High Trail ON a 0% coupon senior secured promissory note in an aggregate principal amount of $16.5 million (as amended, the “February 2021 Note”) that was to mature on February 1, 2023.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 April 2021 Note</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 April 8, 2021, the Company refinanced all its existing debt with High Trail and Midcap. As such, the Company entered into a new securities purchase and exchange agreement (the “Securities Purchase Agreement”) with High Trail SA and High Trail ON, pursuant to which, among other things, the Company issued and sold to High Trail, in a private placement transaction (the “Private Placement”), (i) senior secured promissory notes in an aggregate principal amount of $110.0 million (the “April 2021 Notes”) that accrued interest at a rate of 8% per annum and were to mature on April 8, 2024, and</w:t>
      </w:r>
    </w:p>
    <w:p>
      <w:pPr>
        <w:spacing w:after="0" w:line="1"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warrants (the “Warrants” and each, a “Warrant”) to purchase up to an aggregate of 2,259,166 shares of the Company’s common stock in exchange for:</w:t>
      </w:r>
    </w:p>
    <w:p>
      <w:pPr>
        <w:spacing w:after="0" w:line="32" w:lineRule="exact"/>
        <w:rPr>
          <w:rFonts w:ascii="Arial" w:cs="Arial" w:eastAsia="Arial" w:hAnsi="Arial"/>
          <w:sz w:val="16"/>
          <w:szCs w:val="16"/>
          <w:color w:val="auto"/>
        </w:rPr>
      </w:pPr>
    </w:p>
    <w:p>
      <w:pPr>
        <w:ind w:firstLine="8"/>
        <w:spacing w:after="0" w:line="260"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cash payment by High Trail to the Company of $57.7 million, (b) the cancellation of the December 2020 Note, and (c) the cancellation of the February 2021 Note.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$14.8 million of the net proceeds from the Private Placement to repay all amounts owed under the Credit Facility on April 8, 2021.</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ASC 470, Debt, the Company concluded the High Trail April 2021 Note transaction resulted in the extinguishment of the two prior High Trail December 2020 and February 2021 term loans in the amount of $28.2 million of extinguishment of which has been classified within loss on extinguishment of debt on the condensed consolidated statements of operations.</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breached its Adjusted EBITDA covenant with its lender, High Trail, and in August 2021, the Company secured a waiver from its lender with the partial repayment of the loan. See the High Trail Letter Agreements and Omnibus Amendment section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April Letter Agreement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would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ind w:right="400"/>
        <w:spacing w:after="0" w:line="342" w:lineRule="auto"/>
        <w:rPr>
          <w:sz w:val="20"/>
          <w:szCs w:val="20"/>
          <w:color w:val="auto"/>
        </w:rPr>
      </w:pPr>
      <w:r>
        <w:rPr>
          <w:rFonts w:ascii="Arial" w:cs="Arial" w:eastAsia="Arial" w:hAnsi="Arial"/>
          <w:sz w:val="16"/>
          <w:szCs w:val="16"/>
          <w:color w:val="auto"/>
        </w:rPr>
        <w:t>(the “Restricted Shares”), and (iii) High Trail SA and High Trail ON agreed to waive any Default or Event of Default (as such terms are defined in the December 2020 Note or the February 2021 Note) caused by the Company’s failure to file the Resale Registration Statement by March 26, 2021.</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amended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w:t>
      </w:r>
    </w:p>
    <w:p>
      <w:pPr>
        <w:spacing w:after="0" w:line="17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Warrant Amendments to the February Warrant, the Penny Warrant and the Additional Warrant resulted in an $80.0 million reclassification from a liability to a component of equity and resulted in a $21.3 million reclassification from a component of equity to a liability as of December 31, 2021.</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Restricted Shares were expensed as part of extinguishment loss, valued based on the fair market value on April 8, 2021 for $4.1 million, with the offset impacting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Letter Agreements and Omnibus Amendment</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 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w:t>
      </w:r>
    </w:p>
    <w:p>
      <w:pPr>
        <w:spacing w:after="0" w:line="18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paid High Trail an aggregate of $10.1 million in cash on August 9, 2021 and in accordance with the April 2021 Notes and the August Letter Agreements, paid the remaining $11.7 million of the Current Event of Default Acceleration Amount by issuing to High Trail an aggregate of 2,841,251 shares of common stock (with the shares issued at a price of $4.1007 per share, which was, in accordance with the April 2021 Notes, equal to 80% of the Daily VWAP on August 9, 2021.</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is now required for certain merger and acquisition activity; (iv) the Company agreed that the exercise prices of the following warrants to purchase shares of the Company’s common stock previously issued to High Trail will be modified to be equal to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4" w:name="page85"/>
    <w:bookmarkEnd w:id="84"/>
    <w:p>
      <w:pPr>
        <w:ind w:right="100"/>
        <w:spacing w:after="0" w:line="271" w:lineRule="auto"/>
        <w:rPr>
          <w:sz w:val="20"/>
          <w:szCs w:val="20"/>
          <w:color w:val="auto"/>
        </w:rPr>
      </w:pPr>
      <w:r>
        <w:rPr>
          <w:rFonts w:ascii="Arial" w:cs="Arial" w:eastAsia="Arial" w:hAnsi="Arial"/>
          <w:sz w:val="17"/>
          <w:szCs w:val="17"/>
          <w:color w:val="auto"/>
        </w:rPr>
        <w:t>the lesser of: (X) the closing price of the Company’s common stock on August 9, 2021 or (Y) the VWAP of the Company’s common stock on August 9, 2021: (1) the February Warrant; (2) the Additional Warrant; and (3) the Warrants (collectively, the “High Trail Warrants”); (v) High Trail agreed that it would not exercise the High Trail Warrants prior to October 17, 2021 (the day that was 60 days after the registration statement registering for resale the 2,666,667 shares of common stock the Company issued on June 15, 2021 was declared effective); and (vi) if, at any time on or after January 7, 2022, High Trail is unable to exercise the High Trail Warrants due to the agreement described in clause (v), the Company agreed to pay High Trail, as liquidated damages, a cash payment that will be equal to (a) the weighted average price of the Company’s common stock on the date High Trail seeks to exercise any of the High Trail Warrants, minus the then-current exercise price of the High Trail Warrants, multiplied by (b) the number of shares subject to the High Trail Warrants that it then desires to exercise.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Debt Repayment</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On September 22, 2021, the Company entered into letter agreements (the “September Letter Agreements”) with High Trail with respect to the April 2021 Notes. Pursuant to the September Letter Agreements, (i) High Trail notified the Company that High Trail declared events of default under the April 2021 Notes and further notified the Company that High Trail accelerated an aggregate of $66.3 million of the principal amount of the April 2021 Notes, requiring the Company to pay $76.9 million (such amount equal to 115% of the principal amount that was accelerated, as required under the terms of the April 2021Notes, plus $0.3 million of accrued but unpaid interest on the principal amount that was accelerated) (collectively, the “Acceleration Amount”),</w:t>
      </w:r>
    </w:p>
    <w:p>
      <w:pPr>
        <w:spacing w:after="0" w:line="2" w:lineRule="exact"/>
        <w:rPr>
          <w:sz w:val="20"/>
          <w:szCs w:val="20"/>
          <w:color w:val="auto"/>
        </w:rPr>
      </w:pPr>
    </w:p>
    <w:p>
      <w:pPr>
        <w:ind w:right="140" w:firstLine="8"/>
        <w:spacing w:after="0" w:line="269"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 Trail agreed, contingent and effective upon the repayment of the Acceleration Amount in shares of the Company’s common stock in accordance with the April 2021 Notes and the September Letter Agreements and the satisfaction of all of the Company’s other obligations under the September Letter Agreements and the Second Omnibus Amendment (as defined below), to waive the events of default, (iii) the Company agreed that until November 1, 2021, the Company will not, subject to certain exceptions, issue, offer, sell or otherwise dispose of any equity security, equity-linked security or related security, and (iv) the Company agreed that, as a result of the occurrence of the events of default, it no longer has the right to require High Trail to exercise the High Trail Warrants if the price of the Company’s common stock exceeds 200% of the exercise price of the High Trail Warrants for 20 consecutive trading days and certain other conditions were satisfied.</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April 2021 Notes, High Trail had the right, by delivering a notice to the Company (each, a “Stock Payment Notice”) to require the Company to satisfy its obligation to repay all or any portion of the Acceleration Amount in shares of the Company’s common stock, with the number of shares issuable determined by dividing the portion of the Acceleration Amount that High Trail requests, pursuant to a Stock Payment Notice, to be repaid in shares of the Company’s common stock, by 80% of the lesser of (A) the Daily VWAP (as defined in the April 2021 Notes) on the date of delivery of the Stock Payment Notice, and (B) the average of the lowest two Daily VWAPs during the ten (10) day VWAP trading period ending on the date of delivery of the Stock Payment Notice. Pursuant to the September Letter Agreements, High Trail agreed to deliver Stock Payment Notices as soon as it is practicable to do so without High Trail and its affiliates collectively beneficially owning in the aggregate in excess of 9.99% of the Company’s outstanding common stock.</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September Letter Agreements, on September 22, 2021, the Company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April 2021 Notes was modified to include an exception for certain acquisitions of all or substantially all of the assets of another person or a majority of the equity interests of another person; (iii) the definition of “Target Adjusted EBITDA” was modified to reflect certain updated projections of the Company; (iv) the liquidity requirements as set forth in the Omnibus Amendment were removed; (v) the minimum cash threshold covenant was changed from $30.0 million to $15.0 million; (vi) the definition of “Adjusted EBITDA” in the April 2021 Notes was modified to be equal to not less than the Target Adjusted EBITDA for the three-month period ending on the last day of each applicable fiscal quarter instead of the 12-month period ending on such day; and (vii) the exercise prices of the High Trail Warrants were modified to be equal to $0.01. High Trail reserved the right to void the term of the Second Omnibus Amendment in full or in part in the event that the Company breaches any of the terms of the September Letter Agreements or otherwise fails to timely deliver shares of stock of the Company to High Trail as required thereunder.</w:t>
      </w:r>
    </w:p>
    <w:p>
      <w:pPr>
        <w:spacing w:after="0" w:line="18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accordance with the April 2021 Notes and the September Letter Agreements, effective September 22, 2021, the Company issued to High Trail an aggregate of 3,474,814 shares of its common stock, and effective September 23, 2021, the Company issued to High Trail an aggregate of 5,838,096 shares of its common stock, satisfying its obligation to repay the Acceleration Amount in full.</w:t>
      </w:r>
    </w:p>
    <w:p>
      <w:pPr>
        <w:spacing w:after="0" w:line="184" w:lineRule="exact"/>
        <w:rPr>
          <w:sz w:val="20"/>
          <w:szCs w:val="20"/>
          <w:color w:val="auto"/>
        </w:rPr>
      </w:pPr>
    </w:p>
    <w:p>
      <w:pPr>
        <w:spacing w:after="0" w:line="341" w:lineRule="auto"/>
        <w:rPr>
          <w:sz w:val="20"/>
          <w:szCs w:val="20"/>
          <w:color w:val="auto"/>
        </w:rPr>
      </w:pPr>
      <w:r>
        <w:rPr>
          <w:rFonts w:ascii="Arial" w:cs="Arial" w:eastAsia="Arial" w:hAnsi="Arial"/>
          <w:sz w:val="17"/>
          <w:szCs w:val="17"/>
          <w:color w:val="auto"/>
        </w:rPr>
        <w:t>Pursuant to ASC 470, Debt, the Company concluded that as a result of the High Trail Letter Agreements and Omnibus Amendment and the High Trail Debt Repayment, the April 2021 Notes were extinguished on September 22, 2021 in exchange for the Notes due April 2023 of $25.0 million.</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paid off the remaining $25.0 million High Trail Term Loan as of December 31, 2021 (see the discussion under the heading MidCap Credit Facility December 2021 of this Note 9 below). Pursuant to ASC 470, Debt, the Company concluded the High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5" w:name="page86"/>
    <w:bookmarkEnd w:id="85"/>
    <w:p>
      <w:pPr>
        <w:ind w:right="40"/>
        <w:spacing w:after="0" w:line="277" w:lineRule="auto"/>
        <w:rPr>
          <w:sz w:val="20"/>
          <w:szCs w:val="20"/>
          <w:color w:val="auto"/>
        </w:rPr>
      </w:pPr>
      <w:r>
        <w:rPr>
          <w:rFonts w:ascii="Arial" w:cs="Arial" w:eastAsia="Arial" w:hAnsi="Arial"/>
          <w:sz w:val="18"/>
          <w:szCs w:val="18"/>
          <w:color w:val="auto"/>
        </w:rPr>
        <w:t>Trail Term Loan transaction resulted in the extinguishment of the High Trail Term Loan in the amount of $2.5 million of extinguishment of which has been classified within loss on extinguishment of debt on the consolidated statements of operations.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year-ended December 31, 2021, the Company has recorded a total of $138.9 million of debt extinguishment loss which includes the $107.0 million from the High Trail Letter Agreements and Omnibus Amendment and the High Trail Debt Repayment, $28.2 million from the High Trail December 2020 and February 2021 term loans as part of the issuance of the April 2021 Notes, of $2.5 million of extinguishment from the remaining $25.0 million of High Trail Term Loan and $1.5 million from the repayment of the Credit Facility.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 December 2021</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w:t>
      </w:r>
    </w:p>
    <w:p>
      <w:pPr>
        <w:ind w:firstLine="8"/>
        <w:spacing w:after="0" w:line="273" w:lineRule="auto"/>
        <w:tabs>
          <w:tab w:leader="none" w:pos="2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obligations under the Credit Agreement are a senior secured obligation of the Company and rank senior to all indebtedness of the Company. Borrowings under the Credit Agreement bear interest at a rate per annum equal to 5.50%, plus, at the Company’s option, either a base rate or a LIBOR rate.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Arial" w:cs="Arial" w:eastAsia="Arial" w:hAnsi="Arial"/>
          <w:sz w:val="15"/>
          <w:szCs w:val="15"/>
          <w:color w:val="auto"/>
        </w:rPr>
        <w:t>st</w:t>
      </w:r>
      <w:r>
        <w:rPr>
          <w:rFonts w:ascii="Arial" w:cs="Arial" w:eastAsia="Arial" w:hAnsi="Arial"/>
          <w:sz w:val="18"/>
          <w:szCs w:val="18"/>
          <w:color w:val="auto"/>
        </w:rPr>
        <w:t xml:space="preserve"> through and including May 31</w:t>
      </w:r>
      <w:r>
        <w:rPr>
          <w:rFonts w:ascii="Arial" w:cs="Arial" w:eastAsia="Arial" w:hAnsi="Arial"/>
          <w:sz w:val="15"/>
          <w:szCs w:val="15"/>
          <w:color w:val="auto"/>
        </w:rPr>
        <w:t>st</w:t>
      </w:r>
      <w:r>
        <w:rPr>
          <w:rFonts w:ascii="Arial" w:cs="Arial" w:eastAsia="Arial" w:hAnsi="Arial"/>
          <w:sz w:val="18"/>
          <w:szCs w:val="18"/>
          <w:color w:val="auto"/>
        </w:rPr>
        <w:t xml:space="preserve"> of each calendar year, $12.5 million and (b) at all other times, $15.0 million. The Credit Agreement includes events of default that are customary for these types of credit facilities, including the occurrence of a change of control. The Company was in compliance with the financial covenants contained within the Credit Agreement as of December 31, 2021.</w:t>
      </w:r>
    </w:p>
    <w:p>
      <w:pPr>
        <w:spacing w:after="0" w:line="19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Midcap Warrant has an exercise price of $4.70 per share, subject to adjustment for stock splits, reverse stock splits, stock dividends and similar transactions, is immediately exercisable, has a term of ten years from the date of issuance and is exercisable on a cash or cashless basis.</w:t>
      </w:r>
    </w:p>
    <w:p>
      <w:pPr>
        <w:sectPr>
          <w:pgSz w:w="11900" w:h="16838" w:orient="portrait"/>
          <w:cols w:equalWidth="0" w:num="1">
            <w:col w:w="11240"/>
          </w:cols>
          <w:pgMar w:left="320" w:top="355" w:right="3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credit facility consisted of the following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MidCap Credit Facility –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Less: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Less: discount associated with issuance of warrants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MidCap Credit Facility – December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677"/>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right="677"/>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0801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64" w:lineRule="exact"/>
        <w:rPr>
          <w:sz w:val="20"/>
          <w:szCs w:val="20"/>
          <w:color w:val="auto"/>
        </w:rPr>
      </w:pPr>
    </w:p>
    <w:p>
      <w:pPr>
        <w:ind w:left="443"/>
        <w:spacing w:after="0"/>
        <w:rPr>
          <w:sz w:val="20"/>
          <w:szCs w:val="20"/>
          <w:color w:val="auto"/>
        </w:rPr>
      </w:pPr>
      <w:r>
        <w:rPr>
          <w:rFonts w:ascii="Arial" w:cs="Arial" w:eastAsia="Arial" w:hAnsi="Arial"/>
          <w:sz w:val="14"/>
          <w:szCs w:val="14"/>
          <w:color w:val="auto"/>
        </w:rPr>
        <w:t>(in thousands)</w:t>
      </w:r>
    </w:p>
    <w:p>
      <w:pPr>
        <w:spacing w:after="0" w:line="21" w:lineRule="exact"/>
        <w:rPr>
          <w:sz w:val="20"/>
          <w:szCs w:val="20"/>
          <w:color w:val="auto"/>
        </w:rPr>
      </w:pPr>
    </w:p>
    <w:p>
      <w:pPr>
        <w:ind w:left="1203"/>
        <w:spacing w:after="0"/>
        <w:rPr>
          <w:sz w:val="20"/>
          <w:szCs w:val="20"/>
          <w:color w:val="auto"/>
        </w:rPr>
      </w:pPr>
      <w:r>
        <w:rPr>
          <w:rFonts w:ascii="Arial" w:cs="Arial" w:eastAsia="Arial" w:hAnsi="Arial"/>
          <w:sz w:val="18"/>
          <w:szCs w:val="18"/>
          <w:color w:val="auto"/>
        </w:rPr>
        <w:t>34,119</w:t>
      </w:r>
    </w:p>
    <w:p>
      <w:pPr>
        <w:spacing w:after="0" w:line="8"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(691)</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01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5" w:lineRule="exact"/>
        <w:rPr>
          <w:sz w:val="20"/>
          <w:szCs w:val="20"/>
          <w:color w:val="auto"/>
        </w:rPr>
      </w:pPr>
    </w:p>
    <w:p>
      <w:pPr>
        <w:ind w:left="1203" w:hanging="1203"/>
        <w:spacing w:after="0"/>
        <w:tabs>
          <w:tab w:leader="none" w:pos="12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32,845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01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801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7" w:space="720"/>
            <w:col w:w="2363"/>
          </w:cols>
          <w:pgMar w:left="320" w:top="355"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years-ended December 31, 2020 and 2021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w:t>
            </w:r>
          </w:p>
        </w:tc>
        <w:tc>
          <w:tcPr>
            <w:tcW w:w="8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r>
        <w:rPr>
          <w:rFonts w:ascii="Arial" w:cs="Arial" w:eastAsia="Arial" w:hAnsi="Arial"/>
          <w:sz w:val="16"/>
          <w:szCs w:val="16"/>
          <w:color w:val="auto"/>
        </w:rPr>
        <w:t>—The Company has one class of common shares issued and available. Each share of common stock has the right to one vote per share.</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June 14, 2019, the Company completed its IPO, selling 3,600,000 shares of common stock at a public offering price of $10.00 per share. Net proceeds to the Company from the offering were approximately $29.4 million, after deducting legal, underwriting and other offering expenses.</w:t>
      </w:r>
    </w:p>
    <w:p>
      <w:pPr>
        <w:spacing w:after="0" w:line="14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 August 26, 2020 the Company completed the Follow-On Offering of 3,860,710 shares of common stock, which includes the exercise by the underwriters of their option to purchase additional shares of common stock solely to cover over-allotments, at a public offering price of $7.00 per share, less underwriting discounts and commissions. The Company received net proceeds of approximately $23.4 million after deducting underwriting discounts and commissions of approximately $2.2 million and other offering expenses payable by the Company of approximately $1.4 million.</w:t>
      </w:r>
    </w:p>
    <w:p>
      <w:pPr>
        <w:spacing w:after="0" w:line="15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June 10, 2021, the Company entered into a Securities Purchase Agreement with certain accredited investors (collectively, the “Investors”) pursuant to which, among other things, the Company issued and sold to the Investors, in a private placement transaction, an aggregate of 2,666,667 shares of common stock, of the Company (the “Shares”), at an offering price of $15.00 per Share, with proceeds to the Company, net of offering costs, of $36.7 million.</w:t>
      </w:r>
    </w:p>
    <w:p>
      <w:pPr>
        <w:spacing w:after="0" w:line="25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December 31, 2021, 60,509 shares were reserved for awards available for future issuance under the Aterian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board of directors adopted the Aterian, Inc. 2018 Equity Incentive Plan (the “2018 Plan”) on October 11, 2018. The 2018 Plan was approved by its stockholders on May 24, 2019. As of December 31, 2021, 347,313 shares were reserved for awards available for future issuance under the 2018 Plan.</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board of directors adopted the Aterian, Inc. 2019 Equity Plan (the “2019 Equity Plan”) on March 20, 2019. The 2019 Equity Plan was approved by its stockholders on May 24, 2019. As of December 31, 2021, no shares were reserved for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87" w:name="page88"/>
    <w:bookmarkEnd w:id="87"/>
    <w:p>
      <w:pPr>
        <w:spacing w:after="0" w:line="285" w:lineRule="auto"/>
        <w:rPr>
          <w:sz w:val="20"/>
          <w:szCs w:val="20"/>
          <w:color w:val="auto"/>
        </w:rPr>
      </w:pPr>
      <w:r>
        <w:rPr>
          <w:rFonts w:ascii="Arial" w:cs="Arial" w:eastAsia="Arial" w:hAnsi="Arial"/>
          <w:sz w:val="16"/>
          <w:szCs w:val="16"/>
          <w:color w:val="auto"/>
        </w:rPr>
        <w:t>issuance.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 either January 18, 2021 or March 10, 2021, and (iv) the vesting date for the fourth installment of shares of restricted common stock to July 1, 2021 or December 14,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options activity during the year-ended December 31,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(1,011,422)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(36,401)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2021</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25,971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520,256</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December 31,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522,905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80"/>
        <w:spacing w:after="0" w:line="277" w:lineRule="auto"/>
        <w:rPr>
          <w:sz w:val="20"/>
          <w:szCs w:val="20"/>
          <w:color w:val="auto"/>
        </w:rPr>
      </w:pPr>
      <w:r>
        <w:rPr>
          <w:rFonts w:ascii="Arial" w:cs="Arial" w:eastAsia="Arial" w:hAnsi="Arial"/>
          <w:sz w:val="18"/>
          <w:szCs w:val="18"/>
          <w:color w:val="auto"/>
        </w:rPr>
        <w:t>As of December 31, 2021, the total unrecognized compensation expense related to unvested options was less than $0.1 million, which the Company expects to recognize over an estimated weighted-average period of 0.17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year-ended December 31, 2021, no options were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within the Company’s equity plans and changes for the year-ended December 31, 2021,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Restricted Stock Awards</w:t>
            </w:r>
          </w:p>
        </w:tc>
        <w:tc>
          <w:tcPr>
            <w:tcW w:w="3680" w:type="dxa"/>
            <w:vAlign w:val="bottom"/>
            <w:vMerge w:val="restart"/>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6"/>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January 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3,259,389</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2,028,547</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(2,798,872)</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(382,884)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2,106,180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2021, the total unrecognized compensation expense related to unvested shares of restricted common stock was $20.1 million, which the Company expects to recognize over an estimated weighted-average period of 1.16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8" w:name="page89"/>
    <w:bookmarkEnd w:id="88"/>
    <w:p>
      <w:pPr>
        <w:spacing w:after="0" w:line="300" w:lineRule="auto"/>
        <w:rPr>
          <w:sz w:val="20"/>
          <w:szCs w:val="20"/>
          <w:color w:val="auto"/>
        </w:rPr>
      </w:pPr>
      <w:r>
        <w:rPr>
          <w:rFonts w:ascii="Arial" w:cs="Arial" w:eastAsia="Arial" w:hAnsi="Arial"/>
          <w:sz w:val="17"/>
          <w:szCs w:val="17"/>
          <w:color w:val="auto"/>
        </w:rPr>
        <w:t>Stock-based compensation expense is allocated based on the cost center to which the award holder belongs. The following table summarizes the total stock-based compensation expense by function, including expense related to consultants for years-ended December 31, 2020 and 2021</w:t>
      </w:r>
      <w:r>
        <w:rPr>
          <w:rFonts w:ascii="Arial" w:cs="Arial" w:eastAsia="Arial" w:hAnsi="Arial"/>
          <w:sz w:val="20"/>
          <w:szCs w:val="20"/>
          <w:color w:val="222222"/>
        </w:rPr>
        <w:t>.</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Years-End December 31,</w:t>
            </w:r>
          </w:p>
        </w:tc>
      </w:tr>
      <w:tr>
        <w:trPr>
          <w:trHeight w:val="155"/>
        </w:trPr>
        <w:tc>
          <w:tcPr>
            <w:tcW w:w="46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3"/>
                <w:szCs w:val="13"/>
                <w:color w:val="auto"/>
              </w:rPr>
            </w:pPr>
          </w:p>
        </w:tc>
      </w:tr>
      <w:tr>
        <w:trPr>
          <w:trHeight w:val="156"/>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5,339</w:t>
            </w:r>
          </w:p>
        </w:tc>
        <w:tc>
          <w:tcPr>
            <w:tcW w:w="8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16,218</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16,839</w:t>
            </w:r>
          </w:p>
        </w:tc>
        <w:tc>
          <w:tcPr>
            <w:tcW w:w="80" w:type="dxa"/>
            <w:vAlign w:val="bottom"/>
            <w:shd w:val="clear" w:color="auto" w:fill="CFF0FC"/>
          </w:tcPr>
          <w:p>
            <w:pPr>
              <w:spacing w:after="0"/>
              <w:rPr>
                <w:sz w:val="19"/>
                <w:szCs w:val="19"/>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34,681</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22,716</w:t>
            </w:r>
          </w:p>
        </w:tc>
        <w:tc>
          <w:tcPr>
            <w:tcW w:w="16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28,987</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Inventory Purchases</w:t>
      </w:r>
      <w:r>
        <w:rPr>
          <w:rFonts w:ascii="Arial" w:cs="Arial" w:eastAsia="Arial" w:hAnsi="Arial"/>
          <w:sz w:val="18"/>
          <w:szCs w:val="18"/>
          <w:color w:val="auto"/>
        </w:rPr>
        <w:t>—As of December 31, 2020 and 2021, the Company had $55.0 million and $32.3 million, respectively, of inventory purchase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placed with vendors waiting to be fulfilled.</w:t>
      </w:r>
    </w:p>
    <w:p>
      <w:pPr>
        <w:spacing w:after="0" w:line="1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2020 and December 31, 2021, the Company estimates that the potential liability, including current sales tax payable is approximately $0.5 million and $0.7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r>
        <w:rPr>
          <w:rFonts w:ascii="Arial" w:cs="Arial" w:eastAsia="Arial" w:hAnsi="Arial"/>
          <w:sz w:val="17"/>
          <w:szCs w:val="17"/>
          <w:b w:val="1"/>
          <w:bCs w:val="1"/>
          <w:color w:val="auto"/>
        </w:rPr>
        <w:t>.</w:t>
      </w:r>
    </w:p>
    <w:p>
      <w:pPr>
        <w:spacing w:after="0" w:line="17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b w:val="1"/>
          <w:bCs w:val="1"/>
          <w:color w:val="auto"/>
        </w:rPr>
        <w:t>U.S. Department of Energy</w:t>
      </w:r>
      <w:r>
        <w:rPr>
          <w:rFonts w:ascii="Arial" w:cs="Arial" w:eastAsia="Arial" w:hAnsi="Arial"/>
          <w:sz w:val="17"/>
          <w:szCs w:val="17"/>
          <w:color w:val="auto"/>
        </w:rPr>
        <w:t>—In September 2019, the Company received a Test Notice from the U.S. Department of Energy (“DOE”) indicating that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standards,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7"/>
          <w:szCs w:val="17"/>
          <w:color w:val="222222"/>
        </w:rPr>
        <w:t>The</w:t>
      </w:r>
      <w:r>
        <w:rPr>
          <w:rFonts w:ascii="Arial" w:cs="Arial" w:eastAsia="Arial" w:hAnsi="Arial"/>
          <w:sz w:val="17"/>
          <w:szCs w:val="17"/>
          <w:color w:val="auto"/>
        </w:rPr>
        <w:t xml:space="preserve"> </w:t>
      </w:r>
      <w:r>
        <w:rPr>
          <w:rFonts w:ascii="Arial" w:cs="Arial" w:eastAsia="Arial" w:hAnsi="Arial"/>
          <w:sz w:val="17"/>
          <w:szCs w:val="17"/>
          <w:color w:val="222222"/>
        </w:rPr>
        <w:t xml:space="preserve">Company believes that its products are compliant, and the Company, in conjunction with its manufacturing partner, has disputed the Test Notice received from the DOE. </w:t>
      </w:r>
      <w:r>
        <w:rPr>
          <w:rFonts w:ascii="Arial" w:cs="Arial" w:eastAsia="Arial" w:hAnsi="Arial"/>
          <w:sz w:val="17"/>
          <w:szCs w:val="17"/>
          <w:color w:val="000000"/>
        </w:rPr>
        <w:t>As of the date of the issuance of the accompanying condensed consolidated financial statements, the Company cannot reasonably estimate</w:t>
      </w:r>
      <w:r>
        <w:rPr>
          <w:rFonts w:ascii="Arial" w:cs="Arial" w:eastAsia="Arial" w:hAnsi="Arial"/>
          <w:sz w:val="17"/>
          <w:szCs w:val="17"/>
          <w:color w:val="222222"/>
        </w:rPr>
        <w:t xml:space="preserve"> </w:t>
      </w:r>
      <w:r>
        <w:rPr>
          <w:rFonts w:ascii="Arial" w:cs="Arial" w:eastAsia="Arial" w:hAnsi="Arial"/>
          <w:sz w:val="17"/>
          <w:szCs w:val="17"/>
          <w:color w:val="000000"/>
        </w:rPr>
        <w:t>what, if any, penalties may be levied.</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U.S. Environmental Protection Agency</w:t>
      </w:r>
      <w:r>
        <w:rPr>
          <w:rFonts w:ascii="Arial" w:cs="Arial" w:eastAsia="Arial" w:hAnsi="Arial"/>
          <w:sz w:val="17"/>
          <w:szCs w:val="17"/>
          <w:color w:val="auto"/>
        </w:rPr>
        <w:t>—</w:t>
      </w:r>
      <w:r>
        <w:rPr>
          <w:rFonts w:ascii="Arial" w:cs="Arial" w:eastAsia="Arial" w:hAnsi="Arial"/>
          <w:sz w:val="17"/>
          <w:szCs w:val="17"/>
          <w:color w:val="222222"/>
        </w:rPr>
        <w:t>In September 2019, the Company received notice from the U.S. Environmental Protection Agency (“EPA”) that</w:t>
      </w:r>
      <w:r>
        <w:rPr>
          <w:rFonts w:ascii="Arial" w:cs="Arial" w:eastAsia="Arial" w:hAnsi="Arial"/>
          <w:sz w:val="17"/>
          <w:szCs w:val="17"/>
          <w:b w:val="1"/>
          <w:bCs w:val="1"/>
          <w:color w:val="auto"/>
        </w:rPr>
        <w:t xml:space="preserve"> </w:t>
      </w:r>
      <w:r>
        <w:rPr>
          <w:rFonts w:ascii="Arial" w:cs="Arial" w:eastAsia="Arial" w:hAnsi="Arial"/>
          <w:sz w:val="17"/>
          <w:szCs w:val="17"/>
          <w:color w:val="222222"/>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placed a hold on the sale of certain of the Company's dehumidifier inventory while it reviews the matter with the Company. As of October 2020, the Company is able to resume selling the products identified by the EPA, and discussions are continuing with the EPA. The Company cannot be certain of the outcome with the EPA, and the Company may incur costs and penalties that cannot presently be calculated in the event that the Company is unable to resolve this matter with the EPA.</w:t>
      </w:r>
    </w:p>
    <w:p>
      <w:pPr>
        <w:spacing w:after="0" w:line="1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Settlement Agreement</w:t>
      </w:r>
      <w:r>
        <w:rPr>
          <w:rFonts w:ascii="Arial" w:cs="Arial" w:eastAsia="Arial" w:hAnsi="Arial"/>
          <w:sz w:val="18"/>
          <w:szCs w:val="18"/>
          <w:color w:val="auto"/>
        </w:rPr>
        <w:t>—</w:t>
      </w:r>
      <w:r>
        <w:rPr>
          <w:rFonts w:ascii="Arial" w:cs="Arial" w:eastAsia="Arial" w:hAnsi="Arial"/>
          <w:sz w:val="18"/>
          <w:szCs w:val="18"/>
          <w:color w:val="222222"/>
        </w:rPr>
        <w:t>On May 2, 2021, the Company entered into a settlement agreement with one of the Company’s suppliers to agree to pay the</w:t>
      </w:r>
      <w:r>
        <w:rPr>
          <w:rFonts w:ascii="Arial" w:cs="Arial" w:eastAsia="Arial" w:hAnsi="Arial"/>
          <w:sz w:val="18"/>
          <w:szCs w:val="18"/>
          <w:b w:val="1"/>
          <w:bCs w:val="1"/>
          <w:color w:val="auto"/>
        </w:rPr>
        <w:t xml:space="preserve"> </w:t>
      </w:r>
      <w:r>
        <w:rPr>
          <w:rFonts w:ascii="Arial" w:cs="Arial" w:eastAsia="Arial" w:hAnsi="Arial"/>
          <w:sz w:val="18"/>
          <w:szCs w:val="18"/>
          <w:color w:val="222222"/>
        </w:rPr>
        <w:t>amount of $3.0 million to the Company in three installments of $1.0 million each, with the first payment to be paid 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ind w:right="220"/>
        <w:spacing w:after="0" w:line="255" w:lineRule="auto"/>
        <w:rPr>
          <w:sz w:val="20"/>
          <w:szCs w:val="20"/>
          <w:color w:val="auto"/>
        </w:rPr>
      </w:pPr>
      <w:r>
        <w:rPr>
          <w:rFonts w:ascii="Arial" w:cs="Arial" w:eastAsia="Arial" w:hAnsi="Arial"/>
          <w:sz w:val="18"/>
          <w:szCs w:val="18"/>
          <w:color w:val="222222"/>
        </w:rPr>
        <w:t xml:space="preserve">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 million nor has it delivered the required quantity of goods. As such, the Company has fully reserved $4.1 million within prepaid and other current assets on its consolidated financial statements during the year-ended </w:t>
      </w:r>
      <w:r>
        <w:rPr>
          <w:rFonts w:ascii="Arial" w:cs="Arial" w:eastAsia="Arial" w:hAnsi="Arial"/>
          <w:sz w:val="18"/>
          <w:szCs w:val="18"/>
          <w:color w:val="000000"/>
        </w:rPr>
        <w:t>December 31</w:t>
      </w:r>
      <w:r>
        <w:rPr>
          <w:rFonts w:ascii="Arial" w:cs="Arial" w:eastAsia="Arial" w:hAnsi="Arial"/>
          <w:sz w:val="18"/>
          <w:szCs w:val="18"/>
          <w:color w:val="222222"/>
        </w:rPr>
        <w:t>, 2021. The Company has commenced legal action against the supplier and continues to reserve its legal options and rights on this matter.</w:t>
      </w:r>
    </w:p>
    <w:p>
      <w:pPr>
        <w:spacing w:after="0" w:line="18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Securities Class Action</w:t>
      </w:r>
      <w:r>
        <w:rPr>
          <w:rFonts w:ascii="Arial" w:cs="Arial" w:eastAsia="Arial" w:hAnsi="Arial"/>
          <w:sz w:val="16"/>
          <w:szCs w:val="16"/>
          <w:color w:val="auto"/>
        </w:rPr>
        <w:t>—On May 13, 2021, a securities class action complaint was filed in the U.S. District Court for the Southern District of New York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Andrew Tate, naming the Company, Yaniv Sarig and Fabrice </w:t>
      </w:r>
      <w:r>
        <w:rPr>
          <w:rFonts w:ascii="Arial" w:cs="Arial" w:eastAsia="Arial" w:hAnsi="Arial"/>
          <w:sz w:val="16"/>
          <w:szCs w:val="16"/>
          <w:color w:val="222222"/>
        </w:rPr>
        <w:t>Hamaide as defendants. On June 10, 2021, a substantially similar securities class action</w:t>
      </w:r>
      <w:r>
        <w:rPr>
          <w:rFonts w:ascii="Arial" w:cs="Arial" w:eastAsia="Arial" w:hAnsi="Arial"/>
          <w:sz w:val="16"/>
          <w:szCs w:val="16"/>
          <w:color w:val="auto"/>
        </w:rPr>
        <w:t xml:space="preserve"> </w:t>
      </w:r>
      <w:r>
        <w:rPr>
          <w:rFonts w:ascii="Arial" w:cs="Arial" w:eastAsia="Arial" w:hAnsi="Arial"/>
          <w:sz w:val="16"/>
          <w:szCs w:val="16"/>
          <w:color w:val="222222"/>
        </w:rPr>
        <w:t xml:space="preserve">complaint was filed in the same court by Jeff Coon against the same defendants. Thereafter, other stockholders asserted similar claims. On August 10, 2021, the court appointed Joseph Nolff as the lead plaintiff of the putative class action, and on October 12, 2021, he filed an amended complaint, (i) adding Arturo Rodriguez as a defendant, (ii) asserting violations of Sections 10(b) and 20(a) of the Securities Exchange Act of 1934, as amended (the “Exchange Act”), and Rule 10b-5 promulgated thereunder and (iii) claiming that the defendants made false and materially misleading statements and failed to disclose material adverse facts regarding the Company’s business, operations, and prospects and that this was revealed on May 4, 2021, when Culper Research published a report allegedly exposing these alleged misrepresentations and omissions. The lead plaintiff has since filed two further amended complaints repeating substantively the same allegations. On March 10, 2022, </w:t>
      </w:r>
      <w:r>
        <w:rPr>
          <w:rFonts w:ascii="Arial" w:cs="Arial" w:eastAsia="Arial" w:hAnsi="Arial"/>
          <w:sz w:val="16"/>
          <w:szCs w:val="16"/>
          <w:color w:val="000000"/>
        </w:rPr>
        <w:t>the Company reached an agreement in principle to resolve this action for $1.3 million</w:t>
      </w:r>
      <w:r>
        <w:rPr>
          <w:rFonts w:ascii="Arial" w:cs="Arial" w:eastAsia="Arial" w:hAnsi="Arial"/>
          <w:sz w:val="16"/>
          <w:szCs w:val="16"/>
          <w:color w:val="222222"/>
        </w:rPr>
        <w:t xml:space="preserve"> </w:t>
      </w:r>
      <w:r>
        <w:rPr>
          <w:rFonts w:ascii="Arial" w:cs="Arial" w:eastAsia="Arial" w:hAnsi="Arial"/>
          <w:sz w:val="16"/>
          <w:szCs w:val="16"/>
          <w:color w:val="000000"/>
        </w:rPr>
        <w:t>which the Company accrued for, subject to negotiation of a formal memorandum of understanding, the execution of final settlement documents, and court approval. If that process does not succeed, the Company is prepared to continue the full defense of this action.</w:t>
      </w:r>
    </w:p>
    <w:p>
      <w:pPr>
        <w:spacing w:after="0" w:line="16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222222"/>
        </w:rPr>
        <w:t xml:space="preserve">Shareholder Derivative Actions Related to the </w:t>
      </w:r>
      <w:r>
        <w:rPr>
          <w:rFonts w:ascii="Arial" w:cs="Arial" w:eastAsia="Arial" w:hAnsi="Arial"/>
          <w:sz w:val="16"/>
          <w:szCs w:val="16"/>
          <w:b w:val="1"/>
          <w:bCs w:val="1"/>
          <w:color w:val="000000"/>
        </w:rPr>
        <w:t>Securities Class Action</w:t>
      </w:r>
      <w:r>
        <w:rPr>
          <w:rFonts w:ascii="Arial" w:cs="Arial" w:eastAsia="Arial" w:hAnsi="Arial"/>
          <w:sz w:val="16"/>
          <w:szCs w:val="16"/>
          <w:color w:val="000000"/>
        </w:rPr>
        <w:t>—On October 21, October25 and November 10, 2021, three</w:t>
      </w:r>
      <w:r>
        <w:rPr>
          <w:rFonts w:ascii="Arial" w:cs="Arial" w:eastAsia="Arial" w:hAnsi="Arial"/>
          <w:sz w:val="16"/>
          <w:szCs w:val="16"/>
          <w:b w:val="1"/>
          <w:bCs w:val="1"/>
          <w:color w:val="222222"/>
        </w:rPr>
        <w:t xml:space="preserve"> </w:t>
      </w:r>
      <w:r>
        <w:rPr>
          <w:rFonts w:ascii="Arial" w:cs="Arial" w:eastAsia="Arial" w:hAnsi="Arial"/>
          <w:sz w:val="16"/>
          <w:szCs w:val="16"/>
          <w:color w:val="222222"/>
        </w:rPr>
        <w:t>shareholder</w:t>
      </w:r>
      <w:r>
        <w:rPr>
          <w:rFonts w:ascii="Arial" w:cs="Arial" w:eastAsia="Arial" w:hAnsi="Arial"/>
          <w:sz w:val="16"/>
          <w:szCs w:val="16"/>
          <w:b w:val="1"/>
          <w:bCs w:val="1"/>
          <w:color w:val="222222"/>
        </w:rPr>
        <w:t xml:space="preserve"> </w:t>
      </w:r>
      <w:r>
        <w:rPr>
          <w:rFonts w:ascii="Arial" w:cs="Arial" w:eastAsia="Arial" w:hAnsi="Arial"/>
          <w:sz w:val="16"/>
          <w:szCs w:val="16"/>
          <w:color w:val="222222"/>
        </w:rPr>
        <w:t xml:space="preserve">derivative actions </w:t>
      </w:r>
      <w:r>
        <w:rPr>
          <w:rFonts w:ascii="Arial" w:cs="Arial" w:eastAsia="Arial" w:hAnsi="Arial"/>
          <w:sz w:val="16"/>
          <w:szCs w:val="16"/>
          <w:color w:val="000000"/>
        </w:rPr>
        <w:t>were filed on behalf of the Company by Shaoxuan Zhang,</w:t>
      </w:r>
      <w:r>
        <w:rPr>
          <w:rFonts w:ascii="Arial" w:cs="Arial" w:eastAsia="Arial" w:hAnsi="Arial"/>
          <w:sz w:val="16"/>
          <w:szCs w:val="16"/>
          <w:color w:val="222222"/>
        </w:rPr>
        <w:t xml:space="preserve"> Michael Sheller and Tyler Magnus in the </w:t>
      </w:r>
      <w:r>
        <w:rPr>
          <w:rFonts w:ascii="Arial" w:cs="Arial" w:eastAsia="Arial" w:hAnsi="Arial"/>
          <w:sz w:val="16"/>
          <w:szCs w:val="16"/>
          <w:color w:val="000000"/>
        </w:rPr>
        <w:t>U.S. District Court for the Southern</w:t>
      </w:r>
      <w:r>
        <w:rPr>
          <w:rFonts w:ascii="Arial" w:cs="Arial" w:eastAsia="Arial" w:hAnsi="Arial"/>
          <w:sz w:val="16"/>
          <w:szCs w:val="16"/>
          <w:color w:val="222222"/>
        </w:rPr>
        <w:t xml:space="preserve"> </w:t>
      </w:r>
      <w:r>
        <w:rPr>
          <w:rFonts w:ascii="Arial" w:cs="Arial" w:eastAsia="Arial" w:hAnsi="Arial"/>
          <w:sz w:val="16"/>
          <w:szCs w:val="16"/>
          <w:color w:val="000000"/>
        </w:rPr>
        <w:t xml:space="preserve">District of New York. These actions, collectively, name </w:t>
      </w:r>
      <w:r>
        <w:rPr>
          <w:rFonts w:ascii="Arial" w:cs="Arial" w:eastAsia="Arial" w:hAnsi="Arial"/>
          <w:sz w:val="16"/>
          <w:szCs w:val="16"/>
          <w:color w:val="222222"/>
        </w:rPr>
        <w:t>Yaniv Sarig, Fabrice Hamaide, Arturo Rodriguez, Greg B. Petersen, Bari A. Harlam, Amy von</w:t>
      </w:r>
      <w:r>
        <w:rPr>
          <w:rFonts w:ascii="Arial" w:cs="Arial" w:eastAsia="Arial" w:hAnsi="Arial"/>
          <w:sz w:val="16"/>
          <w:szCs w:val="16"/>
          <w:color w:val="000000"/>
        </w:rPr>
        <w:t xml:space="preserve"> </w:t>
      </w:r>
      <w:r>
        <w:rPr>
          <w:rFonts w:ascii="Arial" w:cs="Arial" w:eastAsia="Arial" w:hAnsi="Arial"/>
          <w:sz w:val="16"/>
          <w:szCs w:val="16"/>
          <w:color w:val="222222"/>
        </w:rPr>
        <w:t>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the Company is held liable in the Securities Class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The Company believes the allegations are without merit and intends to vigorously defend against these actions. The parties to these actions have agreed to stay this action pending resolution of the Securities Class Action, and given the tentative resolution of the Securities Class Action, the Company intends to engage with the parties for a resolution of these matters upon finalization of that settlement. However, the outcome of these legal proceedings are currently uncertain. Based on information available to the Company at present, the Company cannot reasonably estimate a range of loss or income for these actions.</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Sabby Contract Action</w:t>
      </w:r>
      <w:r>
        <w:rPr>
          <w:rFonts w:ascii="Arial" w:cs="Arial" w:eastAsia="Arial" w:hAnsi="Arial"/>
          <w:sz w:val="16"/>
          <w:szCs w:val="16"/>
          <w:color w:val="222222"/>
        </w:rPr>
        <w:t>—On September 20, 2021, Sabby Volatility Warrant Master Fund Ltd. (“Sabby”) sued the Company in the Supreme Court of the</w:t>
      </w:r>
      <w:r>
        <w:rPr>
          <w:rFonts w:ascii="Arial" w:cs="Arial" w:eastAsia="Arial" w:hAnsi="Arial"/>
          <w:sz w:val="16"/>
          <w:szCs w:val="16"/>
          <w:b w:val="1"/>
          <w:bCs w:val="1"/>
          <w:color w:val="auto"/>
        </w:rPr>
        <w:t xml:space="preserve"> </w:t>
      </w:r>
      <w:r>
        <w:rPr>
          <w:rFonts w:ascii="Arial" w:cs="Arial" w:eastAsia="Arial" w:hAnsi="Arial"/>
          <w:sz w:val="16"/>
          <w:szCs w:val="16"/>
          <w:color w:val="222222"/>
        </w:rPr>
        <w:t xml:space="preserve">State of New York, New York County, alleging that the Company breached the Securities Purchase Agreement, dated June 10, 2021 (the “Purchase Agreement”), pursuant to which Sabby purchased 400,000 shares of the Company’s common stock, for an aggregate price of approximately $6 million. Sabby contends that certain of the representations and warranties made by the Company in the Purchase Agreement concerning its financial condition and the accuracy of its prior disclosures were untrue and that the Company breached the Purchase Agreement’s anti-dilution and use-of-proceeds covenants on both August 9, 2021 and September 23, 2021, when the Company resolved certain defaults with High Trail. The Company intends to vigorously defend against this action, and, on December 15, 2021, the Company filed a motion to dismiss, which was fully briefed as of February 11, 2022. </w:t>
      </w:r>
      <w:r>
        <w:rPr>
          <w:rFonts w:ascii="Arial" w:cs="Arial" w:eastAsia="Arial" w:hAnsi="Arial"/>
          <w:sz w:val="16"/>
          <w:szCs w:val="16"/>
          <w:b w:val="1"/>
          <w:bCs w:val="1"/>
          <w:color w:val="000000"/>
        </w:rPr>
        <w:t>However, the</w:t>
      </w:r>
      <w:r>
        <w:rPr>
          <w:rFonts w:ascii="Arial" w:cs="Arial" w:eastAsia="Arial" w:hAnsi="Arial"/>
          <w:sz w:val="16"/>
          <w:szCs w:val="16"/>
          <w:color w:val="222222"/>
        </w:rPr>
        <w:t xml:space="preserve"> </w:t>
      </w:r>
      <w:r>
        <w:rPr>
          <w:rFonts w:ascii="Arial" w:cs="Arial" w:eastAsia="Arial" w:hAnsi="Arial"/>
          <w:sz w:val="16"/>
          <w:szCs w:val="16"/>
          <w:b w:val="1"/>
          <w:bCs w:val="1"/>
          <w:color w:val="000000"/>
        </w:rPr>
        <w:t>outcome of this legal proceeding is currently uncertain. Based on information available to the Company at present, the Company cannot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reasonably estimate a range of loss for this action.</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90" w:name="page91"/>
    <w:bookmarkEnd w:id="90"/>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 consisted of the following for the periods indicated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88"/>
              </w:rPr>
              <w:t>December</w:t>
            </w:r>
          </w:p>
        </w:tc>
        <w:tc>
          <w:tcPr>
            <w:tcW w:w="116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(62,985)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(233,846)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(58,760</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(63,078</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(235,492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income tax provision were as follows for the periods indicated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December</w:t>
            </w:r>
          </w:p>
        </w:tc>
        <w:tc>
          <w:tcPr>
            <w:tcW w:w="160" w:type="dxa"/>
            <w:vAlign w:val="bottom"/>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the Federal statutory income tax provision to the Company’s effective income tax provision is as follows for the periods indicated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statutory rates</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(49,454)</w:t>
            </w:r>
          </w:p>
        </w:tc>
        <w:tc>
          <w:tcPr>
            <w:tcW w:w="8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Permanent differences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4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Debt Extinguishment</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33,746</w:t>
            </w:r>
          </w:p>
        </w:tc>
        <w:tc>
          <w:tcPr>
            <w:tcW w:w="80" w:type="dxa"/>
            <w:vAlign w:val="bottom"/>
            <w:shd w:val="clear" w:color="auto" w:fill="CFF0FC"/>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11,066</w:t>
            </w:r>
          </w:p>
        </w:tc>
        <w:tc>
          <w:tcPr>
            <w:tcW w:w="80" w:type="dxa"/>
            <w:vAlign w:val="bottom"/>
          </w:tcPr>
          <w:p>
            <w:pPr>
              <w:spacing w:after="0"/>
              <w:rPr>
                <w:sz w:val="21"/>
                <w:szCs w:val="21"/>
                <w:color w:val="auto"/>
              </w:rPr>
            </w:pPr>
          </w:p>
        </w:tc>
      </w:tr>
      <w:tr>
        <w:trPr>
          <w:trHeight w:val="24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10,602</w:t>
            </w:r>
          </w:p>
        </w:tc>
        <w:tc>
          <w:tcPr>
            <w:tcW w:w="80" w:type="dxa"/>
            <w:vAlign w:val="bottom"/>
            <w:shd w:val="clear" w:color="auto" w:fill="CFF0FC"/>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Change in FV contingent consideration</w:t>
            </w: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(3,143)</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(2,034)</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(2,056)</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(6,424)</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Prior Year True-Up Adjustments</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(5,577)</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14,036</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9,493</w:t>
            </w:r>
          </w:p>
        </w:tc>
        <w:tc>
          <w:tcPr>
            <w:tcW w:w="8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Company’s effective tax rate was 0.08% and 0.23% for the years-ended December 31, 2020 and December 31, 2021, respectively. The effective tax rate in both 2020 and 2021 was principally due to minimum state taxes accrued against the Company’s pre-tax operating loss in each fiscal period.</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Company’s deferred tax assets and liabilities as of the dates indicated were as follows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Sales returns reserve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3,592</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Interest expense limitation</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10,151</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(37,823)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(47,316)</w:t>
            </w:r>
          </w:p>
        </w:tc>
      </w:tr>
      <w:tr>
        <w:trPr>
          <w:trHeight w:val="223"/>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(1,528)</w:t>
            </w: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(3,562)</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Less: valuation allowances</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At December 31, 2020, the Company had approximately $87.0 million of gross federal net operating losses (“NOLs”), which will begin to expire in fiscal year 2034 if unused. The Company also has approximately $45.8 million apportioned state and local NOLs that expire between 2025 and 2035, depending on the state, if not used. At December 31, 2021, the Company had approximately $152.0 million of gross federal NOLs which will begin to expire in fiscal year 2034 if unused. The Company also has approximately $79.5 million apportioned state and local NOLs that expire between 2025 and 2035, depending on the state, if not used. The NOL carryforwards for federal and state income tax purposes which, generally, can be used to reduce future taxable income.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r>
        <w:rPr>
          <w:rFonts w:ascii="Arial" w:cs="Arial" w:eastAsia="Arial" w:hAnsi="Arial"/>
          <w:sz w:val="17"/>
          <w:szCs w:val="17"/>
          <w:i w:val="1"/>
          <w:iCs w:val="1"/>
          <w:color w:val="222222"/>
        </w:rPr>
        <w:t>.</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response to COVID-19, various governments worldwide have enacted, or are in the process of enacting, measures to provide relief to businesses negatively affected by the pandemic. On March 27, 2020,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has recognized $1.3 million of payroll related credits in other current liabilities for the years-ended December 31, 2021. The payroll related credits are recorded in other current liabilities within the consolidated balance sheet.</w:t>
      </w:r>
    </w:p>
    <w:p>
      <w:pPr>
        <w:spacing w:after="0" w:line="19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to the Company’s history of net operating losses, the Company believes it is more likely than not its federal, state and foreign deferred tax assets will not be realized as of December 31, 2021.</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major taxing jurisdictions are New Jersey, New York, Florida, Texas, Pennsylvania, Tennessee, Virginia and California.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not currently under examination for income taxes in any jurisdiction.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ind w:right="40"/>
        <w:spacing w:after="0" w:line="279" w:lineRule="auto"/>
        <w:rPr>
          <w:sz w:val="20"/>
          <w:szCs w:val="20"/>
          <w:color w:val="auto"/>
        </w:rPr>
      </w:pPr>
      <w:r>
        <w:rPr>
          <w:rFonts w:ascii="Arial" w:cs="Arial" w:eastAsia="Arial" w:hAnsi="Arial"/>
          <w:sz w:val="17"/>
          <w:szCs w:val="17"/>
          <w:color w:val="auto"/>
        </w:rPr>
        <w:t>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2020 and 2021, the Company has not recorded any tax contingency accruals for uncertain tax positions.</w:t>
      </w:r>
    </w:p>
    <w:p>
      <w:pPr>
        <w:spacing w:after="0" w:line="275" w:lineRule="exact"/>
        <w:rPr>
          <w:sz w:val="20"/>
          <w:szCs w:val="20"/>
          <w:color w:val="auto"/>
        </w:rPr>
      </w:pPr>
    </w:p>
    <w:p>
      <w:pPr>
        <w:ind w:right="7840" w:firstLine="8"/>
        <w:spacing w:after="0" w:line="377" w:lineRule="auto"/>
        <w:tabs>
          <w:tab w:leader="none" w:pos="499"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 Restated Voting Agreement</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 2018, Dr. Larisa Storozhenko, Maximus Yaney and Asher Maximus I, LLC (the “Initial Designating Parties”) entered into a voting agreement with Mr. Asher Delug, one of the stockholders of the Company and a member of the Company’s board of directors, pursuant to which Mr. Delug will have the power to vote such number of shares of common stock as is equal to: (a) all of the shares of the Company’s common stock beneficially held by the Initial Designating Parties minus (b) such number of shares of common stock representing 19.9% of the total voting power of the Company’s capital stock outstanding with respect to the election of directors, the appointment of officers and any amendments of the Company’s amended and restated certificate of incorporation or amended and restated bylaws (the “Voting Agreement”).</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Voting Agreement was amended and restated pursuant to a new Voting Agreement, dated March 13, 2019, by and among MV II, LLC, Dr. Larisa Storozhenko, Mr. Maximus Yaney, Mr. Delug and the Company (the “Restated Voting Agreement”). Under the Restated Voting Agreement, each of MV II, LLC, Dr. Larisa Storozhenko and Mr. Yaney (collectively, the “Designating Parties”) agreed to relinquish the right to vote their shares of the Company’s capital stock, and any of the Company’s other equity interests (collectively, the “Voting Interests”) by granting the Company’s board of directors the sole right to vote all of the Voting Interests as the Designating Parties’ proxyholder. The Voting Interests include all shares of the Company’s common stock currently held by the Designating Parties, as well as any of the Company’s securities or other equity interests acquired by the Designating Parties in the future. Pursuant to the proxy granted by the Designating Parties, the Company’s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the Company receives the prior approval of The Nasdaq Stock Market LLC.</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Under the Restated Voting Agreement, each of the Designating Parties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Restated Voting Agreement became effective on June 12, 2019 and will continue until the earlier to occur of (a) a Deemed Liquidation Event unless, immediately upon such Deemed Liquidation Event, the Company’s common stock is and remains listed on The Nasdaq Stock Market LLC, or</w:t>
      </w:r>
    </w:p>
    <w:p>
      <w:pPr>
        <w:ind w:right="20" w:firstLine="8"/>
        <w:spacing w:after="0" w:line="268"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Mr. Yaney’s death. For purposes of the agreement, a “Deemed Liquidation Event” means (i) the acquisition of the Company by another entity by means of any transaction or series of related transactions to which the Company is party other than a transaction or series of transactions in which the holders of the Company’s voting securities outstanding immediately prior to such transaction or series of transactions retain, immediately after such transaction or series of transactions, as a result of the Company’s shares held by such holders prior to such transaction or series of transactions, a majority of the total voting power represented by the Company’s outstanding voting securities or such other surviving or resulting entity; (ii) a sale, lease or other disposition of all or substantially all of the Company’s or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Managed PaaS business as part of reorganization of the Company approved by the Company’s board of directors.</w:t>
      </w:r>
    </w:p>
    <w:p>
      <w:pPr>
        <w:spacing w:after="0" w:line="283"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3" w:name="page94"/>
    <w:bookmarkEnd w:id="93"/>
    <w:p>
      <w:pPr>
        <w:ind w:right="140"/>
        <w:spacing w:after="0" w:line="263" w:lineRule="auto"/>
        <w:rPr>
          <w:sz w:val="20"/>
          <w:szCs w:val="20"/>
          <w:color w:val="auto"/>
        </w:rPr>
      </w:pPr>
      <w:r>
        <w:rPr>
          <w:rFonts w:ascii="Arial" w:cs="Arial" w:eastAsia="Arial" w:hAnsi="Arial"/>
          <w:sz w:val="18"/>
          <w:szCs w:val="18"/>
          <w:color w:val="auto"/>
        </w:rPr>
        <w:t>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Year-Ended December 31,</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w w:val="96"/>
              </w:rPr>
              <w:t>Weighted-average number of shares used in computing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loss per share, basic and diluted</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13,516,844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17,167,999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35,379,005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9"/>
              </w:rPr>
              <w:t>Anti-dilutive shares excluded from computation of net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per share (in shares)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3,595,078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4,975,759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3,027,361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other outstanding potentially dilutive securities, including shares of restricted common stock, common stock options (See Note 11) and common stock warrants (See Note 2) were excluded from the computation of diluted net loss per share because including them would have had an anti-dilutive effect.</w:t>
      </w:r>
    </w:p>
    <w:p>
      <w:pPr>
        <w:spacing w:after="0" w:line="228"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2019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Aussie Health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10, 2019, the Company completed the acquisition of the assets of a personal wellness company (the “Aussie Health Assets”), whose products sell primarily on the Amazon US marketplace, for total consideration of $1.3 million, which was comprised of cash of $1.1 million and a promissory note for $0.2 million that accrues interest at a rate of 8% per annum and matures on June 10, 2020. The Company also paid $0.1 million in the form of a working capital payment related to the inventory purchased within sixty days of closing.</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their estimated fair values at acquisition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4"/>
          </w:tcPr>
          <w:p>
            <w:pPr>
              <w:jc w:val="right"/>
              <w:ind w:right="174"/>
              <w:spacing w:after="0" w:line="155"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gridSpan w:val="2"/>
          </w:tcPr>
          <w:p>
            <w:pPr>
              <w:ind w:left="560"/>
              <w:spacing w:after="0"/>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w w:val="93"/>
              </w:rPr>
              <w:t>The amounts assigned to goodwill and major intangible asset classifications were as follows:</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allocated</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8"/>
              <w:spacing w:after="0" w:line="155"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&lt; 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Non-competition agreement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48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right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Truweo Assets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26, 2020, the Company completed the acquisition of the Truweo Assets, whose products sell primarily on the Amazon U.S. marketplace, for total consideration of $16.4 million, which was comprised of cash of $14.0 million and a promissory note for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55" w:right="479" w:bottom="1440" w:gutter="0" w:footer="0" w:header="0"/>
        </w:sectPr>
      </w:pPr>
    </w:p>
    <w:bookmarkStart w:id="94" w:name="page95"/>
    <w:bookmarkEnd w:id="94"/>
    <w:p>
      <w:pPr>
        <w:ind w:right="140"/>
        <w:spacing w:after="0" w:line="277" w:lineRule="auto"/>
        <w:rPr>
          <w:sz w:val="20"/>
          <w:szCs w:val="20"/>
          <w:color w:val="auto"/>
        </w:rPr>
      </w:pPr>
      <w:r>
        <w:rPr>
          <w:rFonts w:ascii="Arial" w:cs="Arial" w:eastAsia="Arial" w:hAnsi="Arial"/>
          <w:sz w:val="18"/>
          <w:szCs w:val="18"/>
          <w:color w:val="auto"/>
        </w:rPr>
        <w:t>$2.4 million. The promissory note accrues interest at a rate of 8% per annum, with $0.6 million principal and accrued interest payments due on November 30, 2021, February 28, 2022, and May 31, 2022 and matures on August 22, 2022.</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 estimated fair values at acquisition date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120" w:type="dxa"/>
            <w:vAlign w:val="bottom"/>
            <w:shd w:val="clear" w:color="auto" w:fill="CFF0FC"/>
          </w:tcPr>
          <w:p>
            <w:pPr>
              <w:spacing w:after="0"/>
              <w:rPr>
                <w:sz w:val="19"/>
                <w:szCs w:val="19"/>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 (in thousands, except the useful life):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Amount Allocated</w:t>
            </w:r>
          </w:p>
        </w:tc>
        <w:tc>
          <w:tcPr>
            <w:tcW w:w="20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 (in years)</w:t>
            </w: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n.a.</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3,900</w:t>
            </w:r>
          </w:p>
        </w:tc>
        <w:tc>
          <w:tcPr>
            <w:tcW w:w="19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10</w:t>
            </w: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9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7"/>
              </w:rPr>
              <w:t>&lt;1</w:t>
            </w:r>
          </w:p>
        </w:tc>
      </w:tr>
      <w:tr>
        <w:trPr>
          <w:trHeight w:val="229"/>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Transition services agreement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96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9"/>
              </w:rPr>
              <w:t>3</w:t>
            </w: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15,845</w:t>
            </w:r>
          </w:p>
        </w:tc>
        <w:tc>
          <w:tcPr>
            <w:tcW w:w="20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Truweo products into the Company’s existing sales channels.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Smash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 2020, the Company completed the acquisition of the Smash Assets, which consisted of products sold primarily on the Amazon U.S. marketplace, for total consideration comprised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 In addition, subject to achievement of certain contribution margin thresholds on certain products of the acquired business for the fiscal years ending December 31, 2021 and December 31, 2022, the sellers will be entitled to receive earn out payments.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 estimated fair values at acquisition date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7"/>
        </w:trPr>
        <w:tc>
          <w:tcPr>
            <w:tcW w:w="4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4"/>
                <w:szCs w:val="14"/>
                <w:color w:val="auto"/>
              </w:rPr>
              <w:t>(in thousands)</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Trademarks</w:t>
            </w:r>
          </w:p>
        </w:tc>
        <w:tc>
          <w:tcPr>
            <w:tcW w:w="3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27,600</w:t>
            </w:r>
          </w:p>
        </w:tc>
        <w:tc>
          <w:tcPr>
            <w:tcW w:w="12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Production deposits</w:t>
            </w:r>
          </w:p>
        </w:tc>
        <w:tc>
          <w:tcPr>
            <w:tcW w:w="3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AP and other liabilities</w:t>
            </w:r>
          </w:p>
        </w:tc>
        <w:tc>
          <w:tcPr>
            <w:tcW w:w="3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(3,088)</w:t>
            </w:r>
          </w:p>
        </w:tc>
      </w:tr>
      <w:tr>
        <w:trPr>
          <w:trHeight w:val="236"/>
        </w:trPr>
        <w:tc>
          <w:tcPr>
            <w:tcW w:w="4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79,052</w:t>
            </w:r>
          </w:p>
        </w:tc>
        <w:tc>
          <w:tcPr>
            <w:tcW w:w="12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 (in thousands, except the useful life):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Amount Allocated</w:t>
            </w:r>
          </w:p>
        </w:tc>
        <w:tc>
          <w:tcPr>
            <w:tcW w:w="2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 (in years)</w:t>
            </w:r>
          </w:p>
        </w:tc>
        <w:tc>
          <w:tcPr>
            <w:tcW w:w="0" w:type="dxa"/>
            <w:vAlign w:val="bottom"/>
          </w:tcPr>
          <w:p>
            <w:pPr>
              <w:spacing w:after="0"/>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34,739</w:t>
            </w:r>
          </w:p>
        </w:tc>
        <w:tc>
          <w:tcPr>
            <w:tcW w:w="2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19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Net Intangible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62,339</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Smash products into the Company’s existing sales channels.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Healing Solutions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February 2, 2021 (the “Closing Date”), the Company entered into and closed the Asset Purchase Agreement with Healing Solutions, LLC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Asset Purchase was accounted for as a business combination using the acquisition method of accounting in accordance with ASC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3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addition, Healing Solutions will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Healing Solutions is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the Company in its sole discretion, acting reasonably. If, on or before the date that is 15 months after the Closing Date, an Earn-Out Consideration Event (as defined in the Asset Purchase Agreement) has occurred, then Healing Solutions shall be entitled to receive up to a maximum of 528,670 shares of common stock (the “Earn-</w:t>
      </w:r>
    </w:p>
    <w:p>
      <w:pPr>
        <w:spacing w:after="0" w:line="5"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 xml:space="preserve">Out Shares”), which number of shares is subject to reduction in accordance with the terms of the Asset Purchase Agreement based on the time period within which the Earn-Out Consideration Event occurs. See </w:t>
      </w:r>
      <w:r>
        <w:rPr>
          <w:rFonts w:ascii="Arial" w:cs="Arial" w:eastAsia="Arial" w:hAnsi="Arial"/>
          <w:sz w:val="18"/>
          <w:szCs w:val="18"/>
          <w:i w:val="1"/>
          <w:iCs w:val="1"/>
          <w:color w:val="auto"/>
        </w:rPr>
        <w:t>Contingent earn-out liability considerations section</w:t>
      </w:r>
      <w:r>
        <w:rPr>
          <w:rFonts w:ascii="Arial" w:cs="Arial" w:eastAsia="Arial" w:hAnsi="Arial"/>
          <w:sz w:val="18"/>
          <w:szCs w:val="18"/>
          <w:color w:val="auto"/>
        </w:rPr>
        <w:t xml:space="preserve"> below</w:t>
      </w:r>
      <w:r>
        <w:rPr>
          <w:rFonts w:ascii="Arial" w:cs="Arial" w:eastAsia="Arial" w:hAnsi="Arial"/>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 estimated fair values at acquisition date:</w:t>
      </w:r>
    </w:p>
    <w:p>
      <w:pPr>
        <w:spacing w:after="0" w:line="46"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Amount</w:t>
      </w:r>
    </w:p>
    <w:p>
      <w:pPr>
        <w:spacing w:after="0" w:line="23"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5715</wp:posOffset>
            </wp:positionV>
            <wp:extent cx="11912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Cash purchase price</w:t>
            </w:r>
          </w:p>
        </w:tc>
        <w:tc>
          <w:tcPr>
            <w:tcW w:w="600" w:type="dxa"/>
            <w:vAlign w:val="bottom"/>
          </w:tcPr>
          <w:p>
            <w:pPr>
              <w:spacing w:after="0"/>
              <w:rPr>
                <w:sz w:val="20"/>
                <w:szCs w:val="20"/>
                <w:color w:val="auto"/>
              </w:rPr>
            </w:pPr>
          </w:p>
        </w:tc>
        <w:tc>
          <w:tcPr>
            <w:tcW w:w="3020" w:type="dxa"/>
            <w:vAlign w:val="bottom"/>
            <w:gridSpan w:val="2"/>
          </w:tcPr>
          <w:p>
            <w:pPr>
              <w:jc w:val="right"/>
              <w:ind w:right="120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1,387,759 shares of Common Stock issued at the Closing</w:t>
            </w: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39,454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Seller note for inventory</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consideration to be paid</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Borders>
              <w:bottom w:val="single" w:sz="8" w:color="auto"/>
            </w:tcBorders>
          </w:tcPr>
          <w:p>
            <w:pPr>
              <w:jc w:val="right"/>
              <w:ind w:right="120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w w:val="94"/>
              </w:rPr>
              <w:t>The amounts assigned to goodwill and major intangible asset classifications were as follows:</w:t>
            </w: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gridSpan w:val="2"/>
          </w:tcPr>
          <w:p>
            <w:pPr>
              <w:jc w:val="right"/>
              <w:ind w:right="987"/>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gridSpan w:val="2"/>
          </w:tcPr>
          <w:p>
            <w:pPr>
              <w:jc w:val="right"/>
              <w:ind w:right="687"/>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Working Capital</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39,975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71,292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Squatty Potty Assets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t xml:space="preserve">acquired inventory. In addition, and subject to the achievement of contribution margin metrics for the year-ended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 See </w:t>
      </w:r>
      <w:r>
        <w:rPr>
          <w:rFonts w:ascii="Arial" w:cs="Arial" w:eastAsia="Arial" w:hAnsi="Arial"/>
          <w:sz w:val="18"/>
          <w:szCs w:val="18"/>
          <w:i w:val="1"/>
          <w:iCs w:val="1"/>
          <w:color w:val="auto"/>
        </w:rPr>
        <w:t xml:space="preserve">Contingent earn-out liability considerations section </w:t>
      </w:r>
      <w:r>
        <w:rPr>
          <w:rFonts w:ascii="Arial" w:cs="Arial" w:eastAsia="Arial" w:hAnsi="Arial"/>
          <w:sz w:val="18"/>
          <w:szCs w:val="18"/>
          <w:color w:val="auto"/>
        </w:rPr>
        <w:t>below</w:t>
      </w:r>
      <w:r>
        <w:rPr>
          <w:rFonts w:ascii="Arial" w:cs="Arial" w:eastAsia="Arial" w:hAnsi="Arial"/>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 estimated fair values at acquisition date: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allocated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Transition services payments</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880" w:type="dxa"/>
            <w:vAlign w:val="bottom"/>
            <w:shd w:val="clear" w:color="auto" w:fill="CFF0FC"/>
          </w:tcPr>
          <w:p>
            <w:pPr>
              <w:spacing w:after="0"/>
              <w:rPr>
                <w:sz w:val="19"/>
                <w:szCs w:val="19"/>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consideration</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w w:val="99"/>
              </w:rPr>
              <w:t>The amounts assigned to goodwill and major intangible asset classifications were as follows:</w:t>
            </w:r>
          </w:p>
        </w:tc>
        <w:tc>
          <w:tcPr>
            <w:tcW w:w="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Goodwill (1)</w:t>
            </w:r>
          </w:p>
        </w:tc>
        <w:tc>
          <w:tcPr>
            <w:tcW w:w="880" w:type="dxa"/>
            <w:vAlign w:val="bottom"/>
            <w:shd w:val="clear" w:color="auto" w:fill="CFF0FC"/>
          </w:tcPr>
          <w:p>
            <w:pPr>
              <w:spacing w:after="0"/>
              <w:rPr>
                <w:sz w:val="19"/>
                <w:szCs w:val="19"/>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assets acquired</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77"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Goodwill is expected to be deductible for tax purposes. The goodwill is attributable to expected synergies resulting from integrating the Squatty Potty products into the Company’s existing sales channel.</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Photo Paper Direct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May 5, 2021, the Company closed the acquisition of all outstanding stock of e-commerce company Photo Paper Direct Ltd. (“Photo Paper Direct”), a leading online seller of printing supplies. As consideration for Photo Paper Direct’s stock, the Company paid 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 See </w:t>
      </w:r>
      <w:r>
        <w:rPr>
          <w:rFonts w:ascii="Arial" w:cs="Arial" w:eastAsia="Arial" w:hAnsi="Arial"/>
          <w:sz w:val="16"/>
          <w:szCs w:val="16"/>
          <w:i w:val="1"/>
          <w:iCs w:val="1"/>
          <w:color w:val="auto"/>
        </w:rPr>
        <w:t>Contingent earn-out liability considerations section</w:t>
      </w:r>
      <w:r>
        <w:rPr>
          <w:rFonts w:ascii="Arial" w:cs="Arial" w:eastAsia="Arial" w:hAnsi="Arial"/>
          <w:sz w:val="16"/>
          <w:szCs w:val="16"/>
          <w:color w:val="auto"/>
        </w:rPr>
        <w:t xml:space="preserve"> below</w:t>
      </w:r>
      <w:r>
        <w:rPr>
          <w:rFonts w:ascii="Arial" w:cs="Arial" w:eastAsia="Arial" w:hAnsi="Arial"/>
          <w:sz w:val="16"/>
          <w:szCs w:val="16"/>
          <w:i w:val="1"/>
          <w:iCs w:val="1"/>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 estimated fair values at acquisition date: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allocated</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3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704,548 shares of common stock issued</w:t>
            </w:r>
          </w:p>
        </w:tc>
        <w:tc>
          <w:tcPr>
            <w:tcW w:w="37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376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earnout liability</w:t>
            </w:r>
          </w:p>
        </w:tc>
        <w:tc>
          <w:tcPr>
            <w:tcW w:w="3760" w:type="dxa"/>
            <w:vAlign w:val="bottom"/>
            <w:tcBorders>
              <w:bottom w:val="single" w:sz="8" w:color="CFF0FC"/>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37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25,617</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760" w:type="dxa"/>
            <w:vAlign w:val="bottom"/>
            <w:vMerge w:val="restart"/>
          </w:tcPr>
          <w:p>
            <w:pPr>
              <w:jc w:val="right"/>
              <w:ind w:right="2310"/>
              <w:spacing w:after="0"/>
              <w:rPr>
                <w:sz w:val="20"/>
                <w:szCs w:val="20"/>
                <w:color w:val="auto"/>
              </w:rPr>
            </w:pPr>
            <w:r>
              <w:rPr>
                <w:rFonts w:ascii="Arial" w:cs="Arial" w:eastAsia="Arial" w:hAnsi="Arial"/>
                <w:sz w:val="18"/>
                <w:szCs w:val="18"/>
                <w:color w:val="auto"/>
              </w:rPr>
              <w:t>F-37</w:t>
            </w: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9"/>
              </w:rPr>
              <w:t>The amounts assigned to goodwill and major intangible asset classifications were as follows:</w:t>
            </w:r>
          </w:p>
        </w:tc>
        <w:tc>
          <w:tcPr>
            <w:tcW w:w="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Total</w:t>
            </w:r>
          </w:p>
        </w:tc>
      </w:tr>
      <w:tr>
        <w:trPr>
          <w:trHeight w:val="243"/>
        </w:trPr>
        <w:tc>
          <w:tcPr>
            <w:tcW w:w="58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80" w:type="dxa"/>
            <w:vAlign w:val="bottom"/>
            <w:gridSpan w:val="2"/>
          </w:tcPr>
          <w:p>
            <w:pPr>
              <w:jc w:val="right"/>
              <w:ind w:right="800"/>
              <w:spacing w:after="0"/>
              <w:rPr>
                <w:sz w:val="20"/>
                <w:szCs w:val="20"/>
                <w:color w:val="auto"/>
              </w:rPr>
            </w:pPr>
            <w:r>
              <w:rPr>
                <w:rFonts w:ascii="Arial" w:cs="Arial" w:eastAsia="Arial" w:hAnsi="Arial"/>
                <w:sz w:val="18"/>
                <w:szCs w:val="18"/>
                <w:color w:val="auto"/>
              </w:rPr>
              <w:t>(in thousands)</w:t>
            </w: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PP&amp;E</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Real Property</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Goodwill (1)</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15,774</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 (2)</w:t>
            </w:r>
          </w:p>
        </w:tc>
        <w:tc>
          <w:tcPr>
            <w:tcW w:w="8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(1,481)</w:t>
            </w: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assets acquired</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25,617</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00" w:hanging="368"/>
        <w:spacing w:after="0" w:line="254"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measurement period adjustment was recorded that resulted in a deferred tax liability of $1.5 million, and corresponding increase in goodwill.</w:t>
      </w: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unaudited pro forma information illustrates the impact of the acquisitions on the Company’s net revenue for the years-ended December 31, 2021, 2020 and 2019. The acquisitions are reflected in the following pro forma information as if the acquisitions had occurred on January 1, 2019.</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(in thousands)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247,767</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Aussie Health Assets net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Smash net revenue (1)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Truweo net revenue (2)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Healing Solutions net revenue (3)</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Squatty Potty net revenue (4)</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6,024</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Photo Paper Direct net revenue (5)</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20" w:type="dxa"/>
            <w:vAlign w:val="bottom"/>
            <w:shd w:val="clear" w:color="auto" w:fill="CFF0FC"/>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revenue pro forma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167,146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387,277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264,725</w:t>
            </w:r>
          </w:p>
        </w:tc>
        <w:tc>
          <w:tcPr>
            <w:tcW w:w="1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as reported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(34,751)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(34,077)</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Aussie Health Assets 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Smash operating income (1)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Truweo operating income (2)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Healing Solutions operating income (3)</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Squatty Potty operating income (4)</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19"/>
                <w:szCs w:val="19"/>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Photo Paper Direct operating income (5)</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FF0FC"/>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Operating loss (income) pro forma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(30,771)</w:t>
            </w:r>
          </w:p>
        </w:tc>
        <w:tc>
          <w:tcPr>
            <w:tcW w:w="1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368"/>
        <w:spacing w:after="0" w:line="255"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2020, net revenue, as reported, includes $16.1 million of net revenue from this acquisition. For the year-ended December 31, 2020, operating income, as reported, includes $4.5 million of operating income from this acquisition.</w:t>
      </w:r>
    </w:p>
    <w:p>
      <w:pPr>
        <w:spacing w:after="0" w:line="2" w:lineRule="exact"/>
        <w:rPr>
          <w:rFonts w:ascii="Arial" w:cs="Arial" w:eastAsia="Arial" w:hAnsi="Arial"/>
          <w:sz w:val="18"/>
          <w:szCs w:val="18"/>
          <w:color w:val="auto"/>
        </w:rPr>
      </w:pPr>
    </w:p>
    <w:p>
      <w:pPr>
        <w:ind w:left="740" w:right="80" w:hanging="368"/>
        <w:spacing w:after="0" w:line="249"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2020, net revenue, as reported, includes $1.6 million of net revenue from this acquisition. For the year-ended December 31, 2020, operating income, as reported, includes $0.7 million of operating income from this acquisition.</w:t>
      </w:r>
    </w:p>
    <w:p>
      <w:pPr>
        <w:ind w:left="740" w:hanging="368"/>
        <w:spacing w:after="0"/>
        <w:tabs>
          <w:tab w:leader="none" w:pos="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In the accompanying consolidated financial statements </w:t>
      </w:r>
      <w:r>
        <w:rPr>
          <w:rFonts w:ascii="Arial" w:cs="Arial" w:eastAsia="Arial" w:hAnsi="Arial"/>
          <w:sz w:val="19"/>
          <w:szCs w:val="19"/>
          <w:color w:val="auto"/>
        </w:rPr>
        <w:t>for the year-ended December 31, 2021, net revenue, as reported, includes</w:t>
      </w:r>
    </w:p>
    <w:p>
      <w:pPr>
        <w:spacing w:after="0" w:line="25" w:lineRule="exact"/>
        <w:rPr>
          <w:sz w:val="20"/>
          <w:szCs w:val="20"/>
          <w:color w:val="auto"/>
        </w:rPr>
      </w:pPr>
    </w:p>
    <w:p>
      <w:pPr>
        <w:ind w:left="740" w:right="780"/>
        <w:spacing w:after="0" w:line="236" w:lineRule="auto"/>
        <w:rPr>
          <w:sz w:val="20"/>
          <w:szCs w:val="20"/>
          <w:color w:val="auto"/>
        </w:rPr>
      </w:pPr>
      <w:r>
        <w:rPr>
          <w:rFonts w:ascii="Arial" w:cs="Arial" w:eastAsia="Arial" w:hAnsi="Arial"/>
          <w:sz w:val="22"/>
          <w:szCs w:val="22"/>
          <w:color w:val="auto"/>
        </w:rPr>
        <w:t>$33.1 million of net revenue from this acquisition. For the year-ended December 31, 2021, operating income, as reported, includes $10.7 million of operating income from this acquisition.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98" w:name="page99"/>
    <w:bookmarkEnd w:id="98"/>
    <w:p>
      <w:pPr>
        <w:ind w:left="740" w:right="80" w:hanging="368"/>
        <w:spacing w:after="0" w:line="255"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2021, net revenue, as reported includes $10.1 million of net revenue from this acquisition. For the year-ended December 31, 2021, operating income, as reported, includes $4.2 million of operating income from this acquisition</w:t>
      </w:r>
    </w:p>
    <w:p>
      <w:pPr>
        <w:spacing w:after="0" w:line="2" w:lineRule="exact"/>
        <w:rPr>
          <w:rFonts w:ascii="Arial" w:cs="Arial" w:eastAsia="Arial" w:hAnsi="Arial"/>
          <w:sz w:val="18"/>
          <w:szCs w:val="18"/>
          <w:color w:val="auto"/>
        </w:rPr>
      </w:pPr>
    </w:p>
    <w:p>
      <w:pPr>
        <w:jc w:val="both"/>
        <w:ind w:left="740" w:right="80" w:hanging="368"/>
        <w:spacing w:after="0" w:line="255"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2021, net revenue, as reported includes $11.6 million of net revenue from this acquisition. For the year-ended December 31, 2021, operating loss, as reported, includes $1.3 million of operating income from this acquisition.</w:t>
      </w:r>
    </w:p>
    <w:p>
      <w:pPr>
        <w:spacing w:after="0" w:line="1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engaged a third-party valuation specialist to perform a valuation of the intangible assets acquired for all acquisitions. In performing the valuation, the Company’s management assessed the reasonableness of the projected financial information (“PFI”) by comparing it to the Company’s historical results and financial information for a peer group of the most similar public companies. Based on this review, the Company’s management determined the PFI is reasonable for business and intangible asset valuation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For the year-ended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1, 2020, the acquisition date, the initial fair value amount of the earn-out payment was appropriately $9.8 million. As of December 31, 2020, the fair value amount of the earn-out payment with respect to the Smash Assets was approximately $22.5 million, representing a change of fair value impact of approximately $12.7 million. As of December 31, 2021, the fair value amount of the earn-out payment with respect to the Smash Assets was approximately $5.2 million related to the calendar year 2022 earnout. The calendar year 2021 earnout is $0.0 million as it was not achieved.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of the Healing Solutions Assets, Healing Solutions was entitled to earn-out payments based on the achievement of certain contribution margin thresholds on certain products of the acquired business. If the earn-out consideration event occurred: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was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was to issue 264,335 shares of common stock to Healing Solutions; or after 15 months, the Company would not had any obligation to issue any shares of its common stock to Healing Solutions.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2021, the acquisition date, the initial fair value amount of the earn-out payment with respect to the Healing Solutions Assets was appropriately $16.5 million. In November 2021, the Company issued 1.4 million shares of common stock in full settlement of the earn-out. As of December 31, 2021 there is no remaining earn-out liability related to Healing Solutions.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8"/>
          <w:szCs w:val="18"/>
          <w:color w:val="auto"/>
        </w:rPr>
        <w:t>months ended December 31, 2021, the maximum payment amount is $3.9 million and if the termination of the transition service agreement is prior to the date that is nine months following the Closing Date, an additional $3.9 million.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5, 2021, the acquisition date, the initial fair value amount of the earn-out payment with respect to the Squatty Potty Assets was appropriately $3.5 million. As of December 31, 2021, the fair value amount of the earn-out payment with respect to the Squatty Potty Assets was approximately $4.0 million, representing a net change of fair value impact of approximately $0.5 million for year-ended December 31, 2021.</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5, 2021, the acquisition date of Photo Paper Direct Ltd. (“Photo Paper Direct”), the initial fair value amount of the earn-out payment with respect to the Photo Paper Direct acquisition was appropriately $0.9 million. As of December 31, 2021, the fair value amount of the earn-out payment with respect to the Photo Paper Direct acquisition was approximately $0.0 million as the earnout was not achieved, representing a net change of fair value impact of approximately $0.9 million for the year-ended December 31,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carrying value of estimated contingent earn-out liabilities (in thousands) as of December 31, 2021 (in thousands):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w w:val="97"/>
              </w:rPr>
              <w:t>December 31, 2021</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Smash</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Healing</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Squatty</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1"/>
              </w:rPr>
              <w:t>Photo Paper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4"/>
              </w:rPr>
              <w:t>Solutions</w:t>
            </w: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Potty</w:t>
            </w: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Direct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r>
      <w:tr>
        <w:trPr>
          <w:trHeight w:val="232"/>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shd w:val="clear" w:color="auto" w:fill="CFF0FC"/>
          </w:tcPr>
          <w:p>
            <w:pPr>
              <w:spacing w:after="0"/>
              <w:rPr>
                <w:sz w:val="20"/>
                <w:szCs w:val="20"/>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w w:val="95"/>
              </w:rPr>
              <w:t>Acquisition date fair value of contingent earn-out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and inventory to be settled in 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tcPr>
          <w:p>
            <w:pPr>
              <w:spacing w:after="0"/>
              <w:rPr>
                <w:sz w:val="20"/>
                <w:szCs w:val="20"/>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(17,291)</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(12,808)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(30,529)</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Payment of contingent earn-out liability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$3.8 million payment relating to Healing Solutions earn-out was made with 1.4 million of the Company's common stock in November 2021. This resulted in a settlement charge of $4.2 million due to the difference of fair value of the shares issued on the settlement date versus the fair value of the earn-out on the date of the settlement.</w:t>
      </w:r>
    </w:p>
    <w:p>
      <w:pPr>
        <w:spacing w:after="0" w:line="396"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changes in the Company’s intangible assets as of December 31, 2020 and December 31, 2021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1, 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Goodwill</w:t>
            </w: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Impairments</w:t>
            </w: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7"/>
              </w:rPr>
              <w:t>46,573</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8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ind w:left="42"/>
              <w:spacing w:after="0"/>
              <w:rPr>
                <w:sz w:val="20"/>
                <w:szCs w:val="20"/>
                <w:color w:val="auto"/>
              </w:rPr>
            </w:pPr>
            <w:r>
              <w:rPr>
                <w:rFonts w:ascii="Arial" w:cs="Arial" w:eastAsia="Arial" w:hAnsi="Arial"/>
                <w:sz w:val="18"/>
                <w:szCs w:val="18"/>
                <w:color w:val="auto"/>
                <w:w w:val="98"/>
              </w:rPr>
              <w:t>$  47,318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20"/>
          <w:szCs w:val="20"/>
          <w:color w:val="auto"/>
        </w:rPr>
        <w:t>-</w:t>
      </w:r>
    </w:p>
    <w:tbl>
      <w:tblPr>
        <w:tblLayout w:type="fixed"/>
        <w:tblInd w:w="20" w:type="dxa"/>
        <w:tblCellMar>
          <w:top w:w="0" w:type="dxa"/>
          <w:left w:w="0" w:type="dxa"/>
          <w:bottom w:w="0" w:type="dxa"/>
          <w:right w:w="0" w:type="dxa"/>
        </w:tblCellMar>
      </w:tblP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December 31, 2021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Goodwill</w:t>
            </w: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Impairments</w:t>
            </w: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7"/>
              </w:rPr>
              <w:t>72,623</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7"/>
              </w:rPr>
              <w:t>$   119,941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8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ind w:left="42"/>
              <w:spacing w:after="0"/>
              <w:rPr>
                <w:sz w:val="20"/>
                <w:szCs w:val="20"/>
                <w:color w:val="auto"/>
              </w:rPr>
            </w:pPr>
            <w:r>
              <w:rPr>
                <w:rFonts w:ascii="Arial" w:cs="Arial" w:eastAsia="Arial" w:hAnsi="Arial"/>
                <w:sz w:val="18"/>
                <w:szCs w:val="18"/>
                <w:color w:val="auto"/>
                <w:w w:val="92"/>
              </w:rPr>
              <w:t>$ 119,941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The following tables summarize the changes in the Company’s intangible assets as of December 31, 2020 and December 31, 2021 (in thousands):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8"/>
              </w:rPr>
              <w:t>December 31, 2020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Impairments</w:t>
            </w: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$ 31,368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tcPr>
          <w:p>
            <w:pPr>
              <w:ind w:left="240"/>
              <w:spacing w:after="0"/>
              <w:rPr>
                <w:sz w:val="20"/>
                <w:szCs w:val="20"/>
                <w:color w:val="auto"/>
              </w:rPr>
            </w:pPr>
            <w:r>
              <w:rPr>
                <w:rFonts w:ascii="Arial" w:cs="Arial" w:eastAsia="Arial" w:hAnsi="Arial"/>
                <w:sz w:val="18"/>
                <w:szCs w:val="18"/>
                <w:color w:val="auto"/>
              </w:rPr>
              <w:t>Total intangibles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31,611</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8"/>
              </w:rPr>
              <w:t>December 31, 2021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Impairments</w:t>
            </w: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65,910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(6,332)</w:t>
            </w: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$ 59,578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Customer relations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800" w:type="dxa"/>
            <w:vAlign w:val="bottom"/>
          </w:tcPr>
          <w:p>
            <w:pPr>
              <w:jc w:val="right"/>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tcPr>
          <w:p>
            <w:pPr>
              <w:ind w:left="240"/>
              <w:spacing w:after="0"/>
              <w:rPr>
                <w:sz w:val="20"/>
                <w:szCs w:val="20"/>
                <w:color w:val="auto"/>
              </w:rPr>
            </w:pPr>
            <w:r>
              <w:rPr>
                <w:rFonts w:ascii="Arial" w:cs="Arial" w:eastAsia="Arial" w:hAnsi="Arial"/>
                <w:sz w:val="18"/>
                <w:szCs w:val="18"/>
                <w:color w:val="auto"/>
              </w:rPr>
              <w:t>Total intangibles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estimated aggregate amortization of our in-place intangible assets and favorable intangible assets for the next five years and thereafter (amounts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7180" w:type="dxa"/>
            <w:vAlign w:val="bottom"/>
            <w:shd w:val="clear" w:color="auto" w:fill="CFF0FC"/>
          </w:tcPr>
          <w:p>
            <w:pPr>
              <w:spacing w:after="0"/>
              <w:rPr>
                <w:sz w:val="20"/>
                <w:szCs w:val="20"/>
                <w:color w:val="auto"/>
              </w:rPr>
            </w:pPr>
            <w:r>
              <w:rPr>
                <w:rFonts w:ascii="Arial" w:cs="Arial" w:eastAsia="Arial" w:hAnsi="Arial"/>
                <w:sz w:val="20"/>
                <w:szCs w:val="20"/>
                <w:color w:val="auto"/>
              </w:rPr>
              <w:t>2022</w:t>
            </w:r>
          </w:p>
        </w:tc>
        <w:tc>
          <w:tcPr>
            <w:tcW w:w="1180" w:type="dxa"/>
            <w:vAlign w:val="bottom"/>
            <w:shd w:val="clear" w:color="auto" w:fill="CFF0FC"/>
          </w:tcPr>
          <w:p>
            <w:pPr>
              <w:jc w:val="right"/>
              <w:ind w:right="981"/>
              <w:spacing w:after="0"/>
              <w:rPr>
                <w:sz w:val="20"/>
                <w:szCs w:val="20"/>
                <w:color w:val="auto"/>
              </w:rPr>
            </w:pPr>
            <w:r>
              <w:rPr>
                <w:rFonts w:ascii="Arial" w:cs="Arial" w:eastAsia="Arial" w:hAnsi="Arial"/>
                <w:sz w:val="20"/>
                <w:szCs w:val="2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7,228</w:t>
            </w:r>
          </w:p>
        </w:tc>
        <w:tc>
          <w:tcPr>
            <w:tcW w:w="120" w:type="dxa"/>
            <w:vAlign w:val="bottom"/>
            <w:shd w:val="clear" w:color="auto" w:fill="CFF0FC"/>
          </w:tcPr>
          <w:p>
            <w:pPr>
              <w:spacing w:after="0"/>
              <w:rPr>
                <w:sz w:val="21"/>
                <w:szCs w:val="21"/>
                <w:color w:val="auto"/>
              </w:rPr>
            </w:pPr>
          </w:p>
        </w:tc>
      </w:tr>
      <w:tr>
        <w:trPr>
          <w:trHeight w:val="243"/>
        </w:trPr>
        <w:tc>
          <w:tcPr>
            <w:tcW w:w="7180" w:type="dxa"/>
            <w:vAlign w:val="bottom"/>
          </w:tcPr>
          <w:p>
            <w:pPr>
              <w:spacing w:after="0"/>
              <w:rPr>
                <w:sz w:val="20"/>
                <w:szCs w:val="20"/>
                <w:color w:val="auto"/>
              </w:rPr>
            </w:pPr>
            <w:r>
              <w:rPr>
                <w:rFonts w:ascii="Arial" w:cs="Arial" w:eastAsia="Arial" w:hAnsi="Arial"/>
                <w:sz w:val="20"/>
                <w:szCs w:val="20"/>
                <w:color w:val="auto"/>
              </w:rPr>
              <w:t>2023</w:t>
            </w:r>
          </w:p>
        </w:tc>
        <w:tc>
          <w:tcPr>
            <w:tcW w:w="1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7,214</w:t>
            </w:r>
          </w:p>
        </w:tc>
        <w:tc>
          <w:tcPr>
            <w:tcW w:w="120" w:type="dxa"/>
            <w:vAlign w:val="bottom"/>
          </w:tcPr>
          <w:p>
            <w:pPr>
              <w:spacing w:after="0"/>
              <w:rPr>
                <w:sz w:val="21"/>
                <w:szCs w:val="21"/>
                <w:color w:val="auto"/>
              </w:rPr>
            </w:pPr>
          </w:p>
        </w:tc>
      </w:tr>
      <w:tr>
        <w:trPr>
          <w:trHeight w:val="243"/>
        </w:trPr>
        <w:tc>
          <w:tcPr>
            <w:tcW w:w="7180" w:type="dxa"/>
            <w:vAlign w:val="bottom"/>
            <w:shd w:val="clear" w:color="auto" w:fill="CFF0FC"/>
          </w:tcPr>
          <w:p>
            <w:pPr>
              <w:spacing w:after="0"/>
              <w:rPr>
                <w:sz w:val="20"/>
                <w:szCs w:val="20"/>
                <w:color w:val="auto"/>
              </w:rPr>
            </w:pPr>
            <w:r>
              <w:rPr>
                <w:rFonts w:ascii="Arial" w:cs="Arial" w:eastAsia="Arial" w:hAnsi="Arial"/>
                <w:sz w:val="20"/>
                <w:szCs w:val="20"/>
                <w:color w:val="auto"/>
              </w:rPr>
              <w:t>2024</w:t>
            </w:r>
          </w:p>
        </w:tc>
        <w:tc>
          <w:tcPr>
            <w:tcW w:w="1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7,171</w:t>
            </w:r>
          </w:p>
        </w:tc>
        <w:tc>
          <w:tcPr>
            <w:tcW w:w="120" w:type="dxa"/>
            <w:vAlign w:val="bottom"/>
            <w:shd w:val="clear" w:color="auto" w:fill="CFF0FC"/>
          </w:tcPr>
          <w:p>
            <w:pPr>
              <w:spacing w:after="0"/>
              <w:rPr>
                <w:sz w:val="21"/>
                <w:szCs w:val="21"/>
                <w:color w:val="auto"/>
              </w:rPr>
            </w:pPr>
          </w:p>
        </w:tc>
      </w:tr>
      <w:tr>
        <w:trPr>
          <w:trHeight w:val="243"/>
        </w:trPr>
        <w:tc>
          <w:tcPr>
            <w:tcW w:w="7180" w:type="dxa"/>
            <w:vAlign w:val="bottom"/>
          </w:tcPr>
          <w:p>
            <w:pPr>
              <w:spacing w:after="0"/>
              <w:rPr>
                <w:sz w:val="20"/>
                <w:szCs w:val="20"/>
                <w:color w:val="auto"/>
              </w:rPr>
            </w:pPr>
            <w:r>
              <w:rPr>
                <w:rFonts w:ascii="Arial" w:cs="Arial" w:eastAsia="Arial" w:hAnsi="Arial"/>
                <w:sz w:val="20"/>
                <w:szCs w:val="20"/>
                <w:color w:val="auto"/>
              </w:rPr>
              <w:t>2025</w:t>
            </w:r>
          </w:p>
        </w:tc>
        <w:tc>
          <w:tcPr>
            <w:tcW w:w="1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7,130</w:t>
            </w:r>
          </w:p>
        </w:tc>
        <w:tc>
          <w:tcPr>
            <w:tcW w:w="120" w:type="dxa"/>
            <w:vAlign w:val="bottom"/>
          </w:tcPr>
          <w:p>
            <w:pPr>
              <w:spacing w:after="0"/>
              <w:rPr>
                <w:sz w:val="21"/>
                <w:szCs w:val="21"/>
                <w:color w:val="auto"/>
              </w:rPr>
            </w:pPr>
          </w:p>
        </w:tc>
      </w:tr>
      <w:tr>
        <w:trPr>
          <w:trHeight w:val="243"/>
        </w:trPr>
        <w:tc>
          <w:tcPr>
            <w:tcW w:w="7180" w:type="dxa"/>
            <w:vAlign w:val="bottom"/>
            <w:shd w:val="clear" w:color="auto" w:fill="CFF0FC"/>
          </w:tcPr>
          <w:p>
            <w:pPr>
              <w:spacing w:after="0"/>
              <w:rPr>
                <w:sz w:val="20"/>
                <w:szCs w:val="20"/>
                <w:color w:val="auto"/>
              </w:rPr>
            </w:pPr>
            <w:r>
              <w:rPr>
                <w:rFonts w:ascii="Arial" w:cs="Arial" w:eastAsia="Arial" w:hAnsi="Arial"/>
                <w:sz w:val="20"/>
                <w:szCs w:val="20"/>
                <w:color w:val="auto"/>
              </w:rPr>
              <w:t>2026</w:t>
            </w:r>
          </w:p>
        </w:tc>
        <w:tc>
          <w:tcPr>
            <w:tcW w:w="1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7,130</w:t>
            </w:r>
          </w:p>
        </w:tc>
        <w:tc>
          <w:tcPr>
            <w:tcW w:w="120" w:type="dxa"/>
            <w:vAlign w:val="bottom"/>
            <w:shd w:val="clear" w:color="auto" w:fill="CFF0FC"/>
          </w:tcPr>
          <w:p>
            <w:pPr>
              <w:spacing w:after="0"/>
              <w:rPr>
                <w:sz w:val="21"/>
                <w:szCs w:val="21"/>
                <w:color w:val="auto"/>
              </w:rPr>
            </w:pPr>
          </w:p>
        </w:tc>
      </w:tr>
      <w:tr>
        <w:trPr>
          <w:trHeight w:val="243"/>
        </w:trPr>
        <w:tc>
          <w:tcPr>
            <w:tcW w:w="71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Thereafter</w:t>
            </w:r>
          </w:p>
        </w:tc>
        <w:tc>
          <w:tcPr>
            <w:tcW w:w="1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29,082</w:t>
            </w:r>
          </w:p>
        </w:tc>
        <w:tc>
          <w:tcPr>
            <w:tcW w:w="120" w:type="dxa"/>
            <w:vAlign w:val="bottom"/>
            <w:tcBorders>
              <w:bottom w:val="single" w:sz="8" w:color="CFF0FC"/>
            </w:tcBorders>
          </w:tcPr>
          <w:p>
            <w:pPr>
              <w:spacing w:after="0"/>
              <w:rPr>
                <w:sz w:val="21"/>
                <w:szCs w:val="21"/>
                <w:color w:val="auto"/>
              </w:rPr>
            </w:pPr>
          </w:p>
        </w:tc>
      </w:tr>
      <w:tr>
        <w:trPr>
          <w:trHeight w:val="237"/>
        </w:trPr>
        <w:tc>
          <w:tcPr>
            <w:tcW w:w="7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118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20"/>
                <w:szCs w:val="20"/>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64,955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38"/>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and Warrants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“Private Placement”), (i) 6,436,322 shares of the Company’s common stock (the “Shares”), par value $0.0001 per share (the “Common Stock”),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“Private Placement”).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 The Private Placement closed on March 4, 2022. The Company intends to use the proceeds from the Private Placement for working capital purposes, the conduct of its business and other general corporate purposes, which may include acquisitions, investments in or licenses of complementary products, technologies or businesses, operating expenses and capital expenditures. In connection with the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has agreed to file a registration statement covering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the resale by the Purchasers of the Shares and Warrant Shares (together, the “Registrable Securities”) within 30 days following the agreement date.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Securities Class Action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222222"/>
        </w:rPr>
        <w:t xml:space="preserve">On March 10, 2022, </w:t>
      </w:r>
      <w:r>
        <w:rPr>
          <w:rFonts w:ascii="Arial" w:cs="Arial" w:eastAsia="Arial" w:hAnsi="Arial"/>
          <w:sz w:val="16"/>
          <w:szCs w:val="16"/>
          <w:color w:val="000000"/>
        </w:rPr>
        <w:t>the Company reached an agreement in principle, subject to negotiation of a formal memorandum of understanding, the execution of</w:t>
      </w:r>
      <w:r>
        <w:rPr>
          <w:rFonts w:ascii="Arial" w:cs="Arial" w:eastAsia="Arial" w:hAnsi="Arial"/>
          <w:sz w:val="16"/>
          <w:szCs w:val="16"/>
          <w:color w:val="222222"/>
        </w:rPr>
        <w:t xml:space="preserve"> </w:t>
      </w:r>
      <w:r>
        <w:rPr>
          <w:rFonts w:ascii="Arial" w:cs="Arial" w:eastAsia="Arial" w:hAnsi="Arial"/>
          <w:sz w:val="16"/>
          <w:szCs w:val="16"/>
          <w:color w:val="000000"/>
        </w:rPr>
        <w:t xml:space="preserve">final settlement documents, and court approval, to resolve the securities class action lawsuit that was initiated on May 13, 2021, in the U.S. District Court for the Southern District of New York by Andrew Tate, naming the Company, Yaniv Sarig and Fabrice </w:t>
      </w:r>
      <w:r>
        <w:rPr>
          <w:rFonts w:ascii="Arial" w:cs="Arial" w:eastAsia="Arial" w:hAnsi="Arial"/>
          <w:sz w:val="16"/>
          <w:szCs w:val="16"/>
          <w:color w:val="222222"/>
        </w:rPr>
        <w:t>Hamaide as defendants.</w:t>
      </w:r>
      <w:r>
        <w:rPr>
          <w:rFonts w:ascii="Arial" w:cs="Arial" w:eastAsia="Arial" w:hAnsi="Arial"/>
          <w:sz w:val="16"/>
          <w:szCs w:val="16"/>
          <w:color w:val="000000"/>
        </w:rPr>
        <w:t xml:space="preserve"> If that process does not succeed, the Company is prepared to continue the full defense of this action. </w:t>
      </w:r>
      <w:r>
        <w:rPr>
          <w:rFonts w:ascii="Arial" w:cs="Arial" w:eastAsia="Arial" w:hAnsi="Arial"/>
          <w:sz w:val="16"/>
          <w:szCs w:val="16"/>
          <w:color w:val="222222"/>
        </w:rPr>
        <w:t>The agreement in principle contemplates that the Company will pay $1.3</w:t>
      </w:r>
      <w:r>
        <w:rPr>
          <w:rFonts w:ascii="Arial" w:cs="Arial" w:eastAsia="Arial" w:hAnsi="Arial"/>
          <w:sz w:val="16"/>
          <w:szCs w:val="16"/>
          <w:color w:val="000000"/>
        </w:rPr>
        <w:t xml:space="preserve"> </w:t>
      </w:r>
      <w:r>
        <w:rPr>
          <w:rFonts w:ascii="Arial" w:cs="Arial" w:eastAsia="Arial" w:hAnsi="Arial"/>
          <w:sz w:val="16"/>
          <w:szCs w:val="16"/>
          <w:color w:val="222222"/>
        </w:rPr>
        <w:t xml:space="preserve">million and the Company has recorded an accrual for such amount </w:t>
      </w:r>
      <w:r>
        <w:rPr>
          <w:rFonts w:ascii="Arial" w:cs="Arial" w:eastAsia="Arial" w:hAnsi="Arial"/>
          <w:sz w:val="16"/>
          <w:szCs w:val="16"/>
          <w:color w:val="000000"/>
        </w:rPr>
        <w:t>within “accounts payable” on the consolidated balance sheets</w:t>
      </w:r>
      <w:r>
        <w:rPr>
          <w:rFonts w:ascii="Arial" w:cs="Arial" w:eastAsia="Arial" w:hAnsi="Arial"/>
          <w:sz w:val="16"/>
          <w:szCs w:val="16"/>
          <w:color w:val="222222"/>
        </w:rPr>
        <w:t>.</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47" w:right="5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ATERIAN,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to Costs &amp;</w:t>
            </w:r>
          </w:p>
        </w:tc>
        <w:tc>
          <w:tcPr>
            <w:tcW w:w="16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to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Expenses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Accounts</w:t>
            </w:r>
          </w:p>
        </w:tc>
        <w:tc>
          <w:tcPr>
            <w:tcW w:w="2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or Deductions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Description</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Year-ended December 31, 2019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Deferred tax valuation allowance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Year-ended December 31, 2020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valuation allowance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Year-ended December 31, 2021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Deferred tax valuation allowance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37,823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Our principal executive officer and principal financial officer have concluded, based on their evaluation, that our disclosure controls and procedures were effective as of December 31, 2021. This Annual Report does not include an attestation report of our registered public accounting firm.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Annual Report.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control objectives.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2021. In making this assessment, management used the criteria set forth in 2013 by the Committee of Sponsoring Organizations of the Treadway Commission (“COSO”) in “Internal Control-Integrated Framework.” Based on management’s assessment using the COSO criteria, management has concluded that our internal control over financial reporting was effective as of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1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on Schedule 14A to be filed with the SEC in connection with our 2022 annual meeting of stockholders (the “Proxy Statement”), which we expect to file not later than 120 days after the end of our year-ended December 31, 2021, and is incorporated in this report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2021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2021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2021 and is incorporated in this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which we expect to file not later than 120 days after the end of our year-ended December 31, 2021 and is incorporated in this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80" w:type="dxa"/>
            <w:vAlign w:val="bottom"/>
          </w:tcPr>
          <w:p>
            <w:pPr>
              <w:jc w:val="center"/>
              <w:ind w:right="1308"/>
              <w:spacing w:after="0"/>
              <w:rPr>
                <w:sz w:val="20"/>
                <w:szCs w:val="20"/>
                <w:color w:val="auto"/>
              </w:rPr>
            </w:pPr>
            <w:r>
              <w:rPr>
                <w:rFonts w:ascii="Arial" w:cs="Arial" w:eastAsia="Arial" w:hAnsi="Arial"/>
                <w:sz w:val="14"/>
                <w:szCs w:val="14"/>
                <w:b w:val="1"/>
                <w:bCs w:val="1"/>
                <w:color w:val="auto"/>
                <w:w w:val="98"/>
              </w:rPr>
              <w:t>Exhibit</w:t>
            </w:r>
          </w:p>
        </w:tc>
        <w:tc>
          <w:tcPr>
            <w:tcW w:w="20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1880" w:type="dxa"/>
            <w:vAlign w:val="bottom"/>
          </w:tcPr>
          <w:p>
            <w:pPr>
              <w:jc w:val="center"/>
              <w:ind w:right="1308"/>
              <w:spacing w:after="0"/>
              <w:rPr>
                <w:sz w:val="20"/>
                <w:szCs w:val="20"/>
                <w:color w:val="auto"/>
              </w:rPr>
            </w:pPr>
            <w:r>
              <w:rPr>
                <w:rFonts w:ascii="Arial" w:cs="Arial" w:eastAsia="Arial" w:hAnsi="Arial"/>
                <w:sz w:val="14"/>
                <w:szCs w:val="14"/>
                <w:b w:val="1"/>
                <w:bCs w:val="1"/>
                <w:color w:val="auto"/>
                <w:w w:val="94"/>
              </w:rPr>
              <w:t>Number</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1833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86" w:lineRule="exact"/>
        <w:rPr>
          <w:sz w:val="20"/>
          <w:szCs w:val="20"/>
          <w:color w:val="auto"/>
        </w:rPr>
      </w:pPr>
    </w:p>
    <w:p>
      <w:pPr>
        <w:ind w:left="280"/>
        <w:spacing w:after="0"/>
        <w:tabs>
          <w:tab w:leader="none" w:pos="940" w:val="left"/>
        </w:tabs>
        <w:rPr>
          <w:rFonts w:ascii="Arial" w:cs="Arial" w:eastAsia="Arial" w:hAnsi="Arial"/>
          <w:sz w:val="15"/>
          <w:szCs w:val="15"/>
          <w:u w:val="single" w:color="auto"/>
          <w:color w:val="0000EE"/>
        </w:rPr>
      </w:pPr>
      <w:r>
        <w:rPr>
          <w:rFonts w:ascii="Arial" w:cs="Arial" w:eastAsia="Arial" w:hAnsi="Arial"/>
          <w:sz w:val="18"/>
          <w:szCs w:val="18"/>
          <w:color w:val="auto"/>
        </w:rPr>
        <w:t>2.1†</w:t>
      </w:r>
      <w:r>
        <w:rPr>
          <w:sz w:val="20"/>
          <w:szCs w:val="20"/>
          <w:color w:val="auto"/>
        </w:rPr>
        <w:tab/>
      </w:r>
      <w:hyperlink r:id="rId138">
        <w:r>
          <w:rPr>
            <w:rFonts w:ascii="Arial" w:cs="Arial" w:eastAsia="Arial" w:hAnsi="Arial"/>
            <w:sz w:val="15"/>
            <w:szCs w:val="15"/>
            <w:u w:val="single" w:color="auto"/>
            <w:color w:val="0000EE"/>
          </w:rPr>
          <w:t>Asset Purchase Agreement, dated December 1, 2020, by and among</w:t>
        </w:r>
      </w:hyperlink>
    </w:p>
    <w:p>
      <w:pPr>
        <w:spacing w:after="0" w:line="23" w:lineRule="exact"/>
        <w:rPr>
          <w:sz w:val="20"/>
          <w:szCs w:val="20"/>
          <w:color w:val="auto"/>
        </w:rPr>
      </w:pPr>
    </w:p>
    <w:p>
      <w:pPr>
        <w:ind w:left="960" w:right="60" w:firstLine="6"/>
        <w:spacing w:after="0" w:line="255" w:lineRule="auto"/>
        <w:tabs>
          <w:tab w:leader="none" w:pos="1210" w:val="left"/>
        </w:tabs>
        <w:numPr>
          <w:ilvl w:val="0"/>
          <w:numId w:val="62"/>
        </w:numPr>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Aterian, Inc. and Truweo, LLC, as Purchaser, (ii) 9830 Macarthur LLC,</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Reliance Equities Group, LLC and ZN Direct LLC, as Sellers and (iii) Jelena</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Puzovic, as Founder.</w:t>
        </w:r>
      </w:hyperlink>
    </w:p>
    <w:p>
      <w:pPr>
        <w:spacing w:after="0" w:line="95" w:lineRule="exact"/>
        <w:rPr>
          <w:rFonts w:ascii="Arial" w:cs="Arial" w:eastAsia="Arial" w:hAnsi="Arial"/>
          <w:sz w:val="18"/>
          <w:szCs w:val="18"/>
          <w:u w:val="single" w:color="auto"/>
          <w:color w:val="0000EE"/>
        </w:rPr>
      </w:pPr>
    </w:p>
    <w:p>
      <w:pPr>
        <w:ind w:left="960" w:right="260" w:hanging="690"/>
        <w:spacing w:after="0" w:line="29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r:id="rId139">
        <w:r>
          <w:rPr>
            <w:rFonts w:ascii="Arial" w:cs="Arial" w:eastAsia="Arial" w:hAnsi="Arial"/>
            <w:sz w:val="16"/>
            <w:szCs w:val="16"/>
            <w:u w:val="single" w:color="auto"/>
            <w:color w:val="0000EE"/>
          </w:rPr>
          <w:t>Asset Purchase Agreement, dated February 2, 2021, by and among (i)</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Aterian, Inc. and Truweo, LLC, as Purchaser, (ii) Healing Solutions, LLC,</w:t>
        </w:r>
      </w:hyperlink>
    </w:p>
    <w:p>
      <w:pPr>
        <w:ind w:left="960" w:right="80" w:firstLine="6"/>
        <w:spacing w:after="0" w:line="260" w:lineRule="auto"/>
        <w:tabs>
          <w:tab w:leader="none" w:pos="1275" w:val="left"/>
        </w:tabs>
        <w:numPr>
          <w:ilvl w:val="0"/>
          <w:numId w:val="63"/>
        </w:numPr>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Jason R. Hope, and (iv) for the purposes of Section 5.11 and Article VII,</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Super Transcontinental Holdings LLC.</w:t>
        </w:r>
      </w:hyperlink>
    </w:p>
    <w:p>
      <w:pPr>
        <w:spacing w:after="0" w:line="91" w:lineRule="exact"/>
        <w:rPr>
          <w:rFonts w:ascii="Arial" w:cs="Arial" w:eastAsia="Arial" w:hAnsi="Arial"/>
          <w:sz w:val="18"/>
          <w:szCs w:val="18"/>
          <w:u w:val="single" w:color="auto"/>
          <w:color w:val="0000EE"/>
        </w:rPr>
      </w:pPr>
    </w:p>
    <w:p>
      <w:pPr>
        <w:ind w:left="960" w:right="120" w:hanging="690"/>
        <w:spacing w:after="0" w:line="255"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140">
        <w:r>
          <w:rPr>
            <w:rFonts w:ascii="Arial" w:cs="Arial" w:eastAsia="Arial" w:hAnsi="Arial"/>
            <w:sz w:val="18"/>
            <w:szCs w:val="18"/>
            <w:u w:val="single" w:color="auto"/>
            <w:color w:val="0000EE"/>
          </w:rPr>
          <w:t>Asset Purchase Agreement, dated May 5, 2021, by and among (i) the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Company and Truweo, LLC, as Purchaser, (ii) Squatty Potty, LLC, and (iii)</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for the purposes of Section 5.7, Section 5.8, Section 5.11, Section 5.13 and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Article VII, Edwards SP Holdings, LLC, Team Lindsey, LLC, SLEKT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Investments, LLC, Sachs Capital Fund II, LLC, Sachs Capital-Squatty, LLC</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and Bevel Acquisition II, LLC.</w:t>
        </w:r>
      </w:hyperlink>
    </w:p>
    <w:p>
      <w:pPr>
        <w:spacing w:after="0" w:line="98" w:lineRule="exact"/>
        <w:rPr>
          <w:rFonts w:ascii="Arial" w:cs="Arial" w:eastAsia="Arial" w:hAnsi="Arial"/>
          <w:sz w:val="18"/>
          <w:szCs w:val="18"/>
          <w:u w:val="single" w:color="auto"/>
          <w:color w:val="0000EE"/>
        </w:rPr>
      </w:pPr>
    </w:p>
    <w:p>
      <w:pPr>
        <w:ind w:left="960" w:right="300" w:hanging="690"/>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141">
        <w:r>
          <w:rPr>
            <w:rFonts w:ascii="Arial" w:cs="Arial" w:eastAsia="Arial" w:hAnsi="Arial"/>
            <w:sz w:val="18"/>
            <w:szCs w:val="18"/>
            <w:u w:val="single" w:color="auto"/>
            <w:color w:val="0000EE"/>
          </w:rPr>
          <w:t>Stock Purchase Agreement, dated May 5, 2021, by and among (i)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Compay and Truweo, LLC, as Purchaser, (ii) Photo Paper Direct Ltd, (iii)</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Josef Eitan, and (iv) Ran Nir.</w:t>
        </w:r>
      </w:hyperlink>
    </w:p>
    <w:p>
      <w:pPr>
        <w:spacing w:after="0" w:line="86" w:lineRule="exact"/>
        <w:rPr>
          <w:rFonts w:ascii="Arial" w:cs="Arial" w:eastAsia="Arial" w:hAnsi="Arial"/>
          <w:sz w:val="18"/>
          <w:szCs w:val="18"/>
          <w:u w:val="single" w:color="auto"/>
          <w:color w:val="0000EE"/>
        </w:rPr>
      </w:pPr>
    </w:p>
    <w:p>
      <w:pPr>
        <w:ind w:left="960" w:right="100" w:hanging="645"/>
        <w:spacing w:after="0" w:line="274"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142">
        <w:r>
          <w:rPr>
            <w:rFonts w:ascii="Arial" w:cs="Arial" w:eastAsia="Arial" w:hAnsi="Arial"/>
            <w:sz w:val="17"/>
            <w:szCs w:val="17"/>
            <w:u w:val="single" w:color="auto"/>
            <w:color w:val="0000EE"/>
          </w:rPr>
          <w:t>Certificate of Amendment to Amended and Restated Certificate of Incorporation</w:t>
        </w:r>
      </w:hyperlink>
      <w:r>
        <w:rPr>
          <w:rFonts w:ascii="Arial" w:cs="Arial" w:eastAsia="Arial" w:hAnsi="Arial"/>
          <w:sz w:val="17"/>
          <w:szCs w:val="17"/>
          <w:u w:val="single" w:color="auto"/>
          <w:color w:val="0000EE"/>
        </w:rPr>
        <w:t xml:space="preserve"> </w:t>
      </w:r>
      <w:hyperlink r:id="rId142">
        <w:r>
          <w:rPr>
            <w:rFonts w:ascii="Arial" w:cs="Arial" w:eastAsia="Arial" w:hAnsi="Arial"/>
            <w:sz w:val="17"/>
            <w:szCs w:val="17"/>
            <w:u w:val="single" w:color="auto"/>
            <w:color w:val="0000EE"/>
          </w:rPr>
          <w:t>of Aterian, Inc.</w:t>
        </w:r>
      </w:hyperlink>
    </w:p>
    <w:p>
      <w:pPr>
        <w:spacing w:after="0" w:line="80" w:lineRule="exact"/>
        <w:rPr>
          <w:sz w:val="20"/>
          <w:szCs w:val="20"/>
          <w:color w:val="auto"/>
        </w:rPr>
      </w:pPr>
    </w:p>
    <w:p>
      <w:pPr>
        <w:ind w:left="960" w:right="480" w:hanging="645"/>
        <w:spacing w:after="0" w:line="274"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3.3</w:t>
      </w:r>
      <w:r>
        <w:rPr>
          <w:sz w:val="20"/>
          <w:szCs w:val="20"/>
          <w:color w:val="auto"/>
        </w:rPr>
        <w:tab/>
      </w:r>
      <w:hyperlink r:id="rId143">
        <w:r>
          <w:rPr>
            <w:rFonts w:ascii="Arial" w:cs="Arial" w:eastAsia="Arial" w:hAnsi="Arial"/>
            <w:sz w:val="17"/>
            <w:szCs w:val="17"/>
            <w:u w:val="single" w:color="auto"/>
            <w:color w:val="0000EE"/>
          </w:rPr>
          <w:t>Certificate of Correction of Certificate of Amendment to the Amended and</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Restated Certificate of Incorporation of Aterian, Inc.</w:t>
        </w:r>
      </w:hyperlink>
    </w:p>
    <w:p>
      <w:pPr>
        <w:spacing w:after="0" w:line="84"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144">
        <w:r>
          <w:rPr>
            <w:rFonts w:ascii="Arial" w:cs="Arial" w:eastAsia="Arial" w:hAnsi="Arial"/>
            <w:sz w:val="16"/>
            <w:szCs w:val="16"/>
            <w:u w:val="single" w:color="auto"/>
            <w:color w:val="0000EE"/>
          </w:rPr>
          <w:t>Amended and Restated Certificate of Incorporation of Aterian, Inc.</w:t>
        </w:r>
      </w:hyperlink>
    </w:p>
    <w:p>
      <w:pPr>
        <w:spacing w:after="0" w:line="131"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45">
        <w:r>
          <w:rPr>
            <w:rFonts w:ascii="Arial" w:cs="Arial" w:eastAsia="Arial" w:hAnsi="Arial"/>
            <w:sz w:val="16"/>
            <w:szCs w:val="16"/>
            <w:u w:val="single" w:color="auto"/>
            <w:color w:val="0000EE"/>
          </w:rPr>
          <w:t>Amended and Restated Bylaws of Aterian, Inc.</w:t>
        </w:r>
      </w:hyperlink>
    </w:p>
    <w:p>
      <w:pPr>
        <w:spacing w:after="0" w:line="131"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46">
        <w:r>
          <w:rPr>
            <w:rFonts w:ascii="Arial" w:cs="Arial" w:eastAsia="Arial" w:hAnsi="Arial"/>
            <w:sz w:val="16"/>
            <w:szCs w:val="16"/>
            <w:u w:val="single" w:color="auto"/>
            <w:color w:val="0000EE"/>
          </w:rPr>
          <w:t>Form of Common Stock Certificate.</w:t>
        </w:r>
      </w:hyperlink>
    </w:p>
    <w:p>
      <w:pPr>
        <w:spacing w:after="0" w:line="131" w:lineRule="exact"/>
        <w:rPr>
          <w:sz w:val="20"/>
          <w:szCs w:val="20"/>
          <w:color w:val="auto"/>
        </w:rPr>
      </w:pPr>
    </w:p>
    <w:p>
      <w:pPr>
        <w:ind w:left="960" w:right="280" w:hanging="695"/>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47">
        <w:r>
          <w:rPr>
            <w:rFonts w:ascii="Arial" w:cs="Arial" w:eastAsia="Arial" w:hAnsi="Arial"/>
            <w:sz w:val="18"/>
            <w:szCs w:val="18"/>
            <w:u w:val="single" w:color="auto"/>
            <w:color w:val="0000EE"/>
          </w:rPr>
          <w:t>Form of Registration Rights Agreement, dated as of April 6, 2018, among</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Aterian, Inc. and the purchasers party thereto.</w:t>
        </w:r>
      </w:hyperlink>
    </w:p>
    <w:p>
      <w:pPr>
        <w:spacing w:after="0" w:line="76"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48">
        <w:r>
          <w:rPr>
            <w:rFonts w:ascii="Arial" w:cs="Arial" w:eastAsia="Arial" w:hAnsi="Arial"/>
            <w:sz w:val="16"/>
            <w:szCs w:val="16"/>
            <w:u w:val="single" w:color="auto"/>
            <w:color w:val="0000EE"/>
          </w:rPr>
          <w:t>Warrant to Purchase Stock, issued to MidCap Financial Trust on September 4,</w:t>
        </w:r>
      </w:hyperlink>
    </w:p>
    <w:p>
      <w:pPr>
        <w:spacing w:after="0" w:line="23" w:lineRule="exact"/>
        <w:rPr>
          <w:sz w:val="20"/>
          <w:szCs w:val="20"/>
          <w:color w:val="auto"/>
        </w:rPr>
      </w:pPr>
    </w:p>
    <w:p>
      <w:pPr>
        <w:ind w:left="96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2018.</w:t>
        </w:r>
      </w:hyperlink>
    </w:p>
    <w:p>
      <w:pPr>
        <w:spacing w:after="0" w:line="116" w:lineRule="exact"/>
        <w:rPr>
          <w:sz w:val="20"/>
          <w:szCs w:val="20"/>
          <w:color w:val="auto"/>
        </w:rPr>
      </w:pPr>
    </w:p>
    <w:p>
      <w:pPr>
        <w:ind w:left="960" w:right="600" w:hanging="645"/>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49">
        <w:r>
          <w:rPr>
            <w:rFonts w:ascii="Arial" w:cs="Arial" w:eastAsia="Arial" w:hAnsi="Arial"/>
            <w:sz w:val="18"/>
            <w:szCs w:val="18"/>
            <w:u w:val="single" w:color="auto"/>
            <w:color w:val="0000EE"/>
          </w:rPr>
          <w:t>Form of Warrant, issued to Katalyst Securities LLC and its assigns on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September 4, 2018.</w:t>
        </w:r>
      </w:hyperlink>
    </w:p>
    <w:p>
      <w:pPr>
        <w:spacing w:after="0" w:line="76" w:lineRule="exact"/>
        <w:rPr>
          <w:sz w:val="20"/>
          <w:szCs w:val="20"/>
          <w:color w:val="auto"/>
        </w:rPr>
      </w:pPr>
    </w:p>
    <w:p>
      <w:pPr>
        <w:ind w:left="960" w:right="400" w:hanging="645"/>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50">
        <w:r>
          <w:rPr>
            <w:rFonts w:ascii="Arial" w:cs="Arial" w:eastAsia="Arial" w:hAnsi="Arial"/>
            <w:sz w:val="18"/>
            <w:szCs w:val="18"/>
            <w:u w:val="single" w:color="auto"/>
            <w:color w:val="0000EE"/>
          </w:rPr>
          <w:t>Form of Warrant, issued to Horizon Technology Finance Corporation on</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December 31, 2019.</w:t>
        </w:r>
      </w:hyperlink>
    </w:p>
    <w:p>
      <w:pPr>
        <w:spacing w:after="0" w:line="76"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51">
        <w:r>
          <w:rPr>
            <w:rFonts w:ascii="Arial" w:cs="Arial" w:eastAsia="Arial" w:hAnsi="Arial"/>
            <w:sz w:val="16"/>
            <w:szCs w:val="16"/>
            <w:u w:val="single" w:color="auto"/>
            <w:color w:val="0000EE"/>
          </w:rPr>
          <w:t>Amendment No. 1 to Registration Rights Agreement, dated as of March 2,</w:t>
        </w:r>
      </w:hyperlink>
    </w:p>
    <w:p>
      <w:pPr>
        <w:spacing w:after="0" w:line="23" w:lineRule="exact"/>
        <w:rPr>
          <w:sz w:val="20"/>
          <w:szCs w:val="20"/>
          <w:color w:val="auto"/>
        </w:rPr>
      </w:pPr>
    </w:p>
    <w:p>
      <w:pPr>
        <w:ind w:left="960"/>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2019, among Aterian, Inc. and the investors party thereto.</w:t>
        </w:r>
      </w:hyperlink>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6350</wp:posOffset>
            </wp:positionV>
            <wp:extent cx="29146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820" w:val="left"/>
          <w:tab w:leader="none" w:pos="2400" w:val="left"/>
          <w:tab w:leader="none" w:pos="38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6350</wp:posOffset>
            </wp:positionV>
            <wp:extent cx="29146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tabs>
          <w:tab w:leader="none" w:pos="820" w:val="left"/>
          <w:tab w:leader="none" w:pos="2380" w:val="left"/>
          <w:tab w:leader="none" w:pos="3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12/1/2020</w:t>
      </w:r>
      <w:r>
        <w:rPr>
          <w:sz w:val="20"/>
          <w:szCs w:val="20"/>
          <w:color w:val="auto"/>
        </w:rPr>
        <w:tab/>
      </w: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tabs>
          <w:tab w:leader="none" w:pos="820" w:val="left"/>
          <w:tab w:leader="none" w:pos="2420" w:val="left"/>
          <w:tab w:leader="none" w:pos="3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2/3/2020</w:t>
      </w:r>
      <w:r>
        <w:rPr>
          <w:sz w:val="20"/>
          <w:szCs w:val="20"/>
          <w:color w:val="auto"/>
        </w:rPr>
        <w:tab/>
      </w: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001-38937</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5/11/2021</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769"/>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001-38937</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5/11/2021</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2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001-38937</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4/30/2021</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2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001-38937</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4/30/2021</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001-38937</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4/30/2021</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001-38937</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6/14/2019</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333-231381</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5/24/2019</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53"/>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333-231381</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5/10/2019</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53"/>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333-231381</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5/10/2019</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54"/>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333-231381</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5/10/2019</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53"/>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333-231381</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5/10/2019</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53"/>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333-231381</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5/10/2019</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2">
            <w:col w:w="6580" w:space="220"/>
            <w:col w:w="4300"/>
          </w:cols>
          <w:pgMar w:left="320" w:top="877" w:right="47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40" w:type="dxa"/>
            <w:vAlign w:val="bottom"/>
            <w:gridSpan w:val="29"/>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vMerge w:val="restart"/>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vMerge w:val="restart"/>
          </w:tcPr>
          <w:p>
            <w:pPr>
              <w:spacing w:after="0"/>
              <w:rPr>
                <w:sz w:val="9"/>
                <w:szCs w:val="9"/>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Number</w:t>
            </w:r>
          </w:p>
        </w:tc>
        <w:tc>
          <w:tcPr>
            <w:tcW w:w="60" w:type="dxa"/>
            <w:vAlign w:val="bottom"/>
            <w:vMerge w:val="restart"/>
          </w:tcPr>
          <w:p>
            <w:pPr>
              <w:spacing w:after="0"/>
              <w:rPr>
                <w:sz w:val="9"/>
                <w:szCs w:val="9"/>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Filing Date</w:t>
            </w:r>
          </w:p>
        </w:tc>
        <w:tc>
          <w:tcPr>
            <w:tcW w:w="60" w:type="dxa"/>
            <w:vAlign w:val="bottom"/>
            <w:vMerge w:val="restart"/>
          </w:tcPr>
          <w:p>
            <w:pPr>
              <w:spacing w:after="0"/>
              <w:rPr>
                <w:sz w:val="9"/>
                <w:szCs w:val="9"/>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29"/>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5000" w:type="dxa"/>
            <w:vAlign w:val="bottom"/>
            <w:tcBorders>
              <w:bottom w:val="single" w:sz="8" w:color="0000EE"/>
            </w:tcBorders>
            <w:gridSpan w:val="21"/>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Warrant to Purchase Shares of Common Stock, issued to Third Creek</w:t>
              </w:r>
            </w:hyperlink>
          </w:p>
        </w:tc>
        <w:tc>
          <w:tcPr>
            <w:tcW w:w="680" w:type="dxa"/>
            <w:vAlign w:val="bottom"/>
            <w:gridSpan w:val="14"/>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Advisors, LLC on August 18, 2020.</w:t>
              </w:r>
            </w:hyperlink>
          </w:p>
        </w:tc>
        <w:tc>
          <w:tcPr>
            <w:tcW w:w="3080" w:type="dxa"/>
            <w:vAlign w:val="bottom"/>
            <w:gridSpan w:val="29"/>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11/9/2020</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Warrant to Purchase Stock, dated December 22, 2021.</w:t>
              </w:r>
            </w:hyperlink>
          </w:p>
        </w:tc>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12/27/2021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Description of Securities of Aterian, Inc.</w:t>
              </w:r>
            </w:hyperlink>
          </w:p>
        </w:tc>
        <w:tc>
          <w:tcPr>
            <w:tcW w:w="1580" w:type="dxa"/>
            <w:vAlign w:val="bottom"/>
            <w:tcBorders>
              <w:top w:val="single" w:sz="8" w:color="0000EE"/>
            </w:tcBorders>
            <w:gridSpan w:val="11"/>
          </w:tcPr>
          <w:p>
            <w:pPr>
              <w:spacing w:after="0"/>
              <w:rPr>
                <w:sz w:val="24"/>
                <w:szCs w:val="24"/>
                <w:color w:val="auto"/>
              </w:rPr>
            </w:pPr>
          </w:p>
        </w:tc>
        <w:tc>
          <w:tcPr>
            <w:tcW w:w="1160" w:type="dxa"/>
            <w:vAlign w:val="bottom"/>
            <w:gridSpan w:val="15"/>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2680" w:type="dxa"/>
            <w:vAlign w:val="bottom"/>
            <w:tcBorders>
              <w:bottom w:val="single" w:sz="8" w:color="0000EE"/>
            </w:tcBorders>
            <w:gridSpan w:val="7"/>
          </w:tcPr>
          <w:p>
            <w:pPr>
              <w:spacing w:after="0"/>
              <w:rPr>
                <w:rFonts w:ascii="Arial" w:cs="Arial" w:eastAsia="Arial" w:hAnsi="Arial"/>
                <w:sz w:val="18"/>
                <w:szCs w:val="18"/>
                <w:color w:val="0000EE"/>
                <w:w w:val="92"/>
              </w:rPr>
            </w:pPr>
            <w:hyperlink r:id="rId157">
              <w:r>
                <w:rPr>
                  <w:rFonts w:ascii="Arial" w:cs="Arial" w:eastAsia="Arial" w:hAnsi="Arial"/>
                  <w:sz w:val="18"/>
                  <w:szCs w:val="18"/>
                  <w:color w:val="0000EE"/>
                  <w:w w:val="92"/>
                </w:rPr>
                <w:t>Form of Indemnification Agreement.</w:t>
              </w:r>
            </w:hyperlink>
          </w:p>
        </w:tc>
        <w:tc>
          <w:tcPr>
            <w:tcW w:w="3000" w:type="dxa"/>
            <w:vAlign w:val="bottom"/>
            <w:gridSpan w:val="28"/>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5/24/2019</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3740" w:type="dxa"/>
            <w:vAlign w:val="bottom"/>
            <w:tcBorders>
              <w:bottom w:val="single" w:sz="8" w:color="0000EE"/>
            </w:tcBorders>
            <w:gridSpan w:val="16"/>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2014 Amended and Restated Equity Incentive Plan.</w:t>
              </w:r>
            </w:hyperlink>
          </w:p>
        </w:tc>
        <w:tc>
          <w:tcPr>
            <w:tcW w:w="1940" w:type="dxa"/>
            <w:vAlign w:val="bottom"/>
            <w:gridSpan w:val="19"/>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5360" w:type="dxa"/>
            <w:vAlign w:val="bottom"/>
            <w:tcBorders>
              <w:bottom w:val="single" w:sz="8" w:color="0000EE"/>
            </w:tcBorders>
            <w:gridSpan w:val="26"/>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Form of Stock Option Grant Notice and Form of Stock Option Agreement</w:t>
              </w:r>
            </w:hyperlink>
          </w:p>
        </w:tc>
        <w:tc>
          <w:tcPr>
            <w:tcW w:w="32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gridSpan w:val="35"/>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(2014 Amended and Restated Equity Incentive Plan).</w:t>
              </w:r>
            </w:hyperlink>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3840" w:type="dxa"/>
            <w:vAlign w:val="bottom"/>
            <w:tcBorders>
              <w:top w:val="single" w:sz="8" w:color="0000EE"/>
            </w:tcBorders>
            <w:gridSpan w:val="17"/>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Amended and Restated 2018 Equity Incentive Plan.</w:t>
              </w:r>
            </w:hyperlink>
          </w:p>
        </w:tc>
        <w:tc>
          <w:tcPr>
            <w:tcW w:w="1840" w:type="dxa"/>
            <w:vAlign w:val="bottom"/>
            <w:gridSpan w:val="18"/>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333-232087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5/28/2921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4"/>
                <w:szCs w:val="24"/>
                <w:color w:val="auto"/>
              </w:rPr>
            </w:pPr>
          </w:p>
        </w:tc>
        <w:tc>
          <w:tcPr>
            <w:tcW w:w="5220" w:type="dxa"/>
            <w:vAlign w:val="bottom"/>
            <w:tcBorders>
              <w:bottom w:val="single" w:sz="8" w:color="0000EE"/>
            </w:tcBorders>
            <w:gridSpan w:val="23"/>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Form of Notice of Stock Option Grant and Form of Stock Option Award</w:t>
              </w:r>
            </w:hyperlink>
          </w:p>
        </w:tc>
        <w:tc>
          <w:tcPr>
            <w:tcW w:w="460" w:type="dxa"/>
            <w:vAlign w:val="bottom"/>
            <w:gridSpan w:val="12"/>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Agreement (2018 Equity Incentive Plan).</w:t>
              </w:r>
            </w:hyperlink>
          </w:p>
        </w:tc>
        <w:tc>
          <w:tcPr>
            <w:tcW w:w="2700" w:type="dxa"/>
            <w:vAlign w:val="bottom"/>
            <w:gridSpan w:val="25"/>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4"/>
              </w:rPr>
            </w:pPr>
            <w:hyperlink r:id="rId162">
              <w:r>
                <w:rPr>
                  <w:rFonts w:ascii="Arial" w:cs="Arial" w:eastAsia="Arial" w:hAnsi="Arial"/>
                  <w:sz w:val="18"/>
                  <w:szCs w:val="18"/>
                  <w:color w:val="0000EE"/>
                  <w:w w:val="94"/>
                </w:rPr>
                <w:t>Form of Notice of Grant of Restricted Shares and Form of Restricted Share</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Award Agreement (2018 Equity Incentive Plan).</w:t>
              </w:r>
            </w:hyperlink>
          </w:p>
        </w:tc>
        <w:tc>
          <w:tcPr>
            <w:tcW w:w="1920" w:type="dxa"/>
            <w:vAlign w:val="bottom"/>
            <w:tcBorders>
              <w:top w:val="single" w:sz="8" w:color="0000EE"/>
            </w:tcBorders>
            <w:gridSpan w:val="15"/>
          </w:tcPr>
          <w:p>
            <w:pPr>
              <w:spacing w:after="0"/>
              <w:rPr>
                <w:sz w:val="17"/>
                <w:szCs w:val="17"/>
                <w:color w:val="auto"/>
              </w:rPr>
            </w:pPr>
          </w:p>
        </w:tc>
        <w:tc>
          <w:tcPr>
            <w:tcW w:w="260" w:type="dxa"/>
            <w:vAlign w:val="bottom"/>
            <w:gridSpan w:val="8"/>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S-8</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333-232087</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6/12/2019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rPr>
            </w:pPr>
            <w:hyperlink r:id="rId163">
              <w:r>
                <w:rPr>
                  <w:rFonts w:ascii="Arial" w:cs="Arial" w:eastAsia="Arial" w:hAnsi="Arial"/>
                  <w:sz w:val="18"/>
                  <w:szCs w:val="18"/>
                  <w:color w:val="0000EE"/>
                </w:rPr>
                <w:t>Amended and Restated Aterian, Inc. 2019 Equity Plan.</w:t>
              </w:r>
            </w:hyperlink>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333-256635</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5/28/2021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Form of Notice of Grant of Restricted Shares and Form of Restricted Share</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Award Agreement (Aterian, Inc. 2019 Equity Plan).</w:t>
              </w:r>
            </w:hyperlink>
          </w:p>
        </w:tc>
        <w:tc>
          <w:tcPr>
            <w:tcW w:w="1680" w:type="dxa"/>
            <w:vAlign w:val="bottom"/>
            <w:tcBorders>
              <w:top w:val="single" w:sz="8" w:color="0000EE"/>
            </w:tcBorders>
            <w:gridSpan w:val="11"/>
          </w:tcPr>
          <w:p>
            <w:pPr>
              <w:spacing w:after="0"/>
              <w:rPr>
                <w:sz w:val="17"/>
                <w:szCs w:val="17"/>
                <w:color w:val="auto"/>
              </w:rPr>
            </w:pPr>
          </w:p>
        </w:tc>
        <w:tc>
          <w:tcPr>
            <w:tcW w:w="260" w:type="dxa"/>
            <w:vAlign w:val="bottom"/>
            <w:gridSpan w:val="8"/>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10.18</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10.9#+</w:t>
            </w:r>
          </w:p>
        </w:tc>
        <w:tc>
          <w:tcPr>
            <w:tcW w:w="100" w:type="dxa"/>
            <w:vAlign w:val="bottom"/>
          </w:tcPr>
          <w:p>
            <w:pPr>
              <w:spacing w:after="0"/>
              <w:rPr>
                <w:sz w:val="24"/>
                <w:szCs w:val="24"/>
                <w:color w:val="auto"/>
              </w:rPr>
            </w:pPr>
          </w:p>
        </w:tc>
        <w:tc>
          <w:tcPr>
            <w:tcW w:w="5620" w:type="dxa"/>
            <w:vAlign w:val="bottom"/>
            <w:tcBorders>
              <w:bottom w:val="single" w:sz="8" w:color="0000EE"/>
            </w:tcBorders>
            <w:gridSpan w:val="3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Employment Agreement dated May 14, 2018, by and between Aterian Group,</w:t>
              </w:r>
            </w:hyperlink>
          </w:p>
        </w:tc>
        <w:tc>
          <w:tcPr>
            <w:tcW w:w="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Inc. and Joseph Risico.</w:t>
              </w:r>
            </w:hyperlink>
          </w:p>
        </w:tc>
        <w:tc>
          <w:tcPr>
            <w:tcW w:w="4000" w:type="dxa"/>
            <w:vAlign w:val="bottom"/>
            <w:gridSpan w:val="32"/>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1"/>
              </w:rPr>
              <w:t>10.10#+</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8"/>
              </w:rPr>
            </w:pPr>
            <w:hyperlink r:id="rId166">
              <w:r>
                <w:rPr>
                  <w:rFonts w:ascii="Arial" w:cs="Arial" w:eastAsia="Arial" w:hAnsi="Arial"/>
                  <w:sz w:val="18"/>
                  <w:szCs w:val="18"/>
                  <w:color w:val="0000EE"/>
                  <w:w w:val="98"/>
                </w:rPr>
                <w:t>Employment Agreement dated January 1, 2016, by and between Aterian</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Group, Inc. and Mihal Chaouat-Fix.</w:t>
              </w:r>
            </w:hyperlink>
          </w:p>
        </w:tc>
        <w:tc>
          <w:tcPr>
            <w:tcW w:w="2600" w:type="dxa"/>
            <w:vAlign w:val="bottom"/>
            <w:tcBorders>
              <w:top w:val="single" w:sz="8" w:color="0000EE"/>
            </w:tcBorders>
            <w:gridSpan w:val="16"/>
          </w:tcPr>
          <w:p>
            <w:pPr>
              <w:spacing w:after="0"/>
              <w:rPr>
                <w:sz w:val="17"/>
                <w:szCs w:val="17"/>
                <w:color w:val="auto"/>
              </w:rPr>
            </w:pPr>
          </w:p>
        </w:tc>
        <w:tc>
          <w:tcPr>
            <w:tcW w:w="480" w:type="dxa"/>
            <w:vAlign w:val="bottom"/>
            <w:gridSpan w:val="13"/>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00" w:type="dxa"/>
            <w:vAlign w:val="bottom"/>
          </w:tcPr>
          <w:p>
            <w:pPr>
              <w:spacing w:after="0"/>
              <w:rPr>
                <w:sz w:val="24"/>
                <w:szCs w:val="24"/>
                <w:color w:val="auto"/>
              </w:rPr>
            </w:pPr>
          </w:p>
        </w:tc>
        <w:tc>
          <w:tcPr>
            <w:tcW w:w="5580" w:type="dxa"/>
            <w:vAlign w:val="bottom"/>
            <w:tcBorders>
              <w:bottom w:val="single" w:sz="8" w:color="0000EE"/>
            </w:tcBorders>
            <w:gridSpan w:val="32"/>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Employment Agreement dated April 1, 2015, by and between Aterian Group,</w:t>
              </w:r>
            </w:hyperlink>
          </w:p>
        </w:tc>
        <w:tc>
          <w:tcPr>
            <w:tcW w:w="10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gridSpan w:val="3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Inc. and Yaniv Sarig.</w:t>
              </w:r>
            </w:hyperlink>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Independent Contractor Agreement dated August 14, 2017, by and between</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Aterian Group, Inc. and Tomer Pascal.</w:t>
              </w:r>
            </w:hyperlink>
          </w:p>
        </w:tc>
        <w:tc>
          <w:tcPr>
            <w:tcW w:w="240" w:type="dxa"/>
            <w:vAlign w:val="bottom"/>
            <w:gridSpan w:val="7"/>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1"/>
              </w:rPr>
              <w:t>10.13#+</w:t>
            </w:r>
          </w:p>
        </w:tc>
        <w:tc>
          <w:tcPr>
            <w:tcW w:w="100" w:type="dxa"/>
            <w:vAlign w:val="bottom"/>
          </w:tcPr>
          <w:p>
            <w:pPr>
              <w:spacing w:after="0"/>
              <w:rPr>
                <w:sz w:val="24"/>
                <w:szCs w:val="24"/>
                <w:color w:val="auto"/>
              </w:rPr>
            </w:pPr>
          </w:p>
        </w:tc>
        <w:tc>
          <w:tcPr>
            <w:tcW w:w="5500" w:type="dxa"/>
            <w:vAlign w:val="bottom"/>
            <w:tcBorders>
              <w:bottom w:val="single" w:sz="8" w:color="0000EE"/>
            </w:tcBorders>
            <w:gridSpan w:val="30"/>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Employment Agreement dated November 27, 2018, by and between Aterian</w:t>
              </w:r>
            </w:hyperlink>
          </w:p>
        </w:tc>
        <w:tc>
          <w:tcPr>
            <w:tcW w:w="18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Group, Inc. and Roi Zahut.</w:t>
              </w:r>
            </w:hyperlink>
          </w:p>
        </w:tc>
        <w:tc>
          <w:tcPr>
            <w:tcW w:w="3720" w:type="dxa"/>
            <w:vAlign w:val="bottom"/>
            <w:gridSpan w:val="31"/>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8"/>
              </w:rPr>
            </w:pPr>
            <w:hyperlink r:id="rId170">
              <w:r>
                <w:rPr>
                  <w:rFonts w:ascii="Arial" w:cs="Arial" w:eastAsia="Arial" w:hAnsi="Arial"/>
                  <w:sz w:val="18"/>
                  <w:szCs w:val="18"/>
                  <w:color w:val="0000EE"/>
                  <w:w w:val="98"/>
                </w:rPr>
                <w:t>Restated Voting Agreement dated March 13, 2019, by and among MV II,</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LLC, Maximus Yaney, Larisa Storozhenko and Aterian, Inc.</w:t>
              </w:r>
            </w:hyperlink>
          </w:p>
        </w:tc>
        <w:tc>
          <w:tcPr>
            <w:tcW w:w="420" w:type="dxa"/>
            <w:vAlign w:val="bottom"/>
            <w:gridSpan w:val="11"/>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5/10/2019</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5520" w:type="dxa"/>
            <w:vAlign w:val="bottom"/>
            <w:tcBorders>
              <w:bottom w:val="single" w:sz="8" w:color="0000EE"/>
            </w:tcBorders>
            <w:gridSpan w:val="31"/>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Lock-Up, Voting and Standstill Agreement, dated December 1, 2020, by and</w:t>
              </w:r>
            </w:hyperlink>
          </w:p>
        </w:tc>
        <w:tc>
          <w:tcPr>
            <w:tcW w:w="16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gridSpan w:val="35"/>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between Aterian, Inc. and 9830 Macarthur LLC.</w:t>
              </w:r>
            </w:hyperlink>
          </w:p>
        </w:tc>
        <w:tc>
          <w:tcPr>
            <w:tcW w:w="80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12/1/2020</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10.16+</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6"/>
              </w:rPr>
            </w:pPr>
            <w:hyperlink r:id="rId172">
              <w:r>
                <w:rPr>
                  <w:rFonts w:ascii="Arial" w:cs="Arial" w:eastAsia="Arial" w:hAnsi="Arial"/>
                  <w:sz w:val="18"/>
                  <w:szCs w:val="18"/>
                  <w:color w:val="0000EE"/>
                  <w:w w:val="96"/>
                </w:rPr>
                <w:t>Non-Negotiable Promissory Note, dated December 1, 2020, from Aterian,</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Inc. to 9830 Macarthur LLC.</w:t>
              </w:r>
            </w:hyperlink>
          </w:p>
        </w:tc>
        <w:tc>
          <w:tcPr>
            <w:tcW w:w="3240" w:type="dxa"/>
            <w:vAlign w:val="bottom"/>
            <w:tcBorders>
              <w:top w:val="single" w:sz="8" w:color="0000EE"/>
            </w:tcBorders>
            <w:gridSpan w:val="20"/>
          </w:tcPr>
          <w:p>
            <w:pPr>
              <w:spacing w:after="0"/>
              <w:rPr>
                <w:sz w:val="17"/>
                <w:szCs w:val="17"/>
                <w:color w:val="auto"/>
              </w:rPr>
            </w:pPr>
          </w:p>
        </w:tc>
        <w:tc>
          <w:tcPr>
            <w:tcW w:w="340" w:type="dxa"/>
            <w:vAlign w:val="bottom"/>
            <w:gridSpan w:val="10"/>
          </w:tcPr>
          <w:p>
            <w:pPr>
              <w:spacing w:after="0"/>
              <w:rPr>
                <w:sz w:val="17"/>
                <w:szCs w:val="17"/>
                <w:color w:val="auto"/>
              </w:rPr>
            </w:pPr>
          </w:p>
        </w:tc>
        <w:tc>
          <w:tcPr>
            <w:tcW w:w="80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2"/>
              </w:rPr>
              <w:t>12/1/2020</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5680" w:type="dxa"/>
            <w:vAlign w:val="bottom"/>
            <w:gridSpan w:val="35"/>
          </w:tcPr>
          <w:p>
            <w:pPr>
              <w:spacing w:after="0"/>
              <w:rPr>
                <w:rFonts w:ascii="Arial" w:cs="Arial" w:eastAsia="Arial" w:hAnsi="Arial"/>
                <w:sz w:val="18"/>
                <w:szCs w:val="18"/>
                <w:color w:val="0000EE"/>
                <w:w w:val="95"/>
              </w:rPr>
            </w:pPr>
            <w:hyperlink r:id="rId173">
              <w:r>
                <w:rPr>
                  <w:rFonts w:ascii="Arial" w:cs="Arial" w:eastAsia="Arial" w:hAnsi="Arial"/>
                  <w:sz w:val="18"/>
                  <w:szCs w:val="18"/>
                  <w:color w:val="0000EE"/>
                  <w:w w:val="95"/>
                </w:rPr>
                <w:t>Lock-Up, Voting and Standstill Agreement, dated February 2, 2021, by and</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between Aterian Inc. and Healing Solutions, LLC.</w:t>
              </w:r>
            </w:hyperlink>
          </w:p>
        </w:tc>
        <w:tc>
          <w:tcPr>
            <w:tcW w:w="260" w:type="dxa"/>
            <w:vAlign w:val="bottom"/>
            <w:gridSpan w:val="8"/>
          </w:tcPr>
          <w:p>
            <w:pPr>
              <w:spacing w:after="0"/>
              <w:rPr>
                <w:sz w:val="17"/>
                <w:szCs w:val="17"/>
                <w:color w:val="auto"/>
              </w:rPr>
            </w:pPr>
          </w:p>
        </w:tc>
        <w:tc>
          <w:tcPr>
            <w:tcW w:w="80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1"/>
              </w:rPr>
              <w:t>2/3/2021</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gridSpan w:val="1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10.18+</w:t>
            </w:r>
          </w:p>
        </w:tc>
        <w:tc>
          <w:tcPr>
            <w:tcW w:w="100" w:type="dxa"/>
            <w:vAlign w:val="bottom"/>
          </w:tcPr>
          <w:p>
            <w:pPr>
              <w:spacing w:after="0"/>
              <w:rPr>
                <w:sz w:val="24"/>
                <w:szCs w:val="24"/>
                <w:color w:val="auto"/>
              </w:rPr>
            </w:pPr>
          </w:p>
        </w:tc>
        <w:tc>
          <w:tcPr>
            <w:tcW w:w="5460" w:type="dxa"/>
            <w:vAlign w:val="bottom"/>
            <w:tcBorders>
              <w:bottom w:val="single" w:sz="8" w:color="0000EE"/>
            </w:tcBorders>
            <w:gridSpan w:val="29"/>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Manufacturing Supply Agreement, dated February 2, 2021, by and between</w:t>
              </w:r>
            </w:hyperlink>
          </w:p>
        </w:tc>
        <w:tc>
          <w:tcPr>
            <w:tcW w:w="22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gridSpan w:val="35"/>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Aterian Group, Inc. and Healing Solutions, LLC.</w:t>
              </w:r>
            </w:hyperlink>
          </w:p>
        </w:tc>
        <w:tc>
          <w:tcPr>
            <w:tcW w:w="80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91"/>
              </w:rPr>
              <w:t>2/3/2021</w:t>
            </w:r>
          </w:p>
        </w:tc>
        <w:tc>
          <w:tcPr>
            <w:tcW w:w="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574"/>
        </w:trPr>
        <w:tc>
          <w:tcPr>
            <w:tcW w:w="8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520" w:type="dxa"/>
            <w:vAlign w:val="bottom"/>
            <w:tcBorders>
              <w:top w:val="single" w:sz="8" w:color="0000EE"/>
            </w:tcBorders>
            <w:gridSpan w:val="12"/>
          </w:tcPr>
          <w:p>
            <w:pPr>
              <w:spacing w:after="0"/>
              <w:rPr>
                <w:sz w:val="24"/>
                <w:szCs w:val="24"/>
                <w:color w:val="auto"/>
              </w:rPr>
            </w:pPr>
          </w:p>
        </w:tc>
        <w:tc>
          <w:tcPr>
            <w:tcW w:w="1460" w:type="dxa"/>
            <w:vAlign w:val="bottom"/>
            <w:gridSpan w:val="8"/>
          </w:tcPr>
          <w:p>
            <w:pPr>
              <w:jc w:val="right"/>
              <w:ind w:right="24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gridSpan w:val="18"/>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10.19+</w:t>
            </w:r>
          </w:p>
        </w:tc>
        <w:tc>
          <w:tcPr>
            <w:tcW w:w="100" w:type="dxa"/>
            <w:vAlign w:val="bottom"/>
          </w:tcPr>
          <w:p>
            <w:pPr>
              <w:spacing w:after="0"/>
              <w:rPr>
                <w:sz w:val="24"/>
                <w:szCs w:val="24"/>
                <w:color w:val="auto"/>
              </w:rPr>
            </w:pPr>
          </w:p>
        </w:tc>
        <w:tc>
          <w:tcPr>
            <w:tcW w:w="5640" w:type="dxa"/>
            <w:vAlign w:val="bottom"/>
            <w:gridSpan w:val="28"/>
          </w:tcPr>
          <w:p>
            <w:pPr>
              <w:spacing w:after="0"/>
              <w:rPr>
                <w:rFonts w:ascii="Arial" w:cs="Arial" w:eastAsia="Arial" w:hAnsi="Arial"/>
                <w:sz w:val="18"/>
                <w:szCs w:val="18"/>
                <w:color w:val="0000EE"/>
                <w:w w:val="97"/>
              </w:rPr>
            </w:pPr>
            <w:hyperlink r:id="rId177">
              <w:r>
                <w:rPr>
                  <w:rFonts w:ascii="Arial" w:cs="Arial" w:eastAsia="Arial" w:hAnsi="Arial"/>
                  <w:sz w:val="18"/>
                  <w:szCs w:val="18"/>
                  <w:color w:val="0000EE"/>
                  <w:w w:val="97"/>
                </w:rPr>
                <w:t>Consulting Agreement, dated February 2, 2021, by and between Aterian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Group, Inc. and Richard Perry.</w:t>
              </w:r>
            </w:hyperlink>
          </w:p>
        </w:tc>
        <w:tc>
          <w:tcPr>
            <w:tcW w:w="2980" w:type="dxa"/>
            <w:vAlign w:val="bottom"/>
            <w:tcBorders>
              <w:top w:val="single" w:sz="8" w:color="0000EE"/>
            </w:tcBorders>
            <w:gridSpan w:val="9"/>
          </w:tcPr>
          <w:p>
            <w:pPr>
              <w:spacing w:after="0"/>
              <w:rPr>
                <w:sz w:val="17"/>
                <w:szCs w:val="17"/>
                <w:color w:val="auto"/>
              </w:rPr>
            </w:pPr>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10.20+</w:t>
            </w:r>
          </w:p>
        </w:tc>
        <w:tc>
          <w:tcPr>
            <w:tcW w:w="100" w:type="dxa"/>
            <w:vAlign w:val="bottom"/>
          </w:tcPr>
          <w:p>
            <w:pPr>
              <w:spacing w:after="0"/>
              <w:rPr>
                <w:sz w:val="24"/>
                <w:szCs w:val="24"/>
                <w:color w:val="auto"/>
              </w:rPr>
            </w:pPr>
          </w:p>
        </w:tc>
        <w:tc>
          <w:tcPr>
            <w:tcW w:w="5640" w:type="dxa"/>
            <w:vAlign w:val="bottom"/>
            <w:gridSpan w:val="28"/>
          </w:tcPr>
          <w:p>
            <w:pPr>
              <w:spacing w:after="0"/>
              <w:rPr>
                <w:rFonts w:ascii="Arial" w:cs="Arial" w:eastAsia="Arial" w:hAnsi="Arial"/>
                <w:sz w:val="18"/>
                <w:szCs w:val="18"/>
                <w:color w:val="0000EE"/>
                <w:w w:val="97"/>
              </w:rPr>
            </w:pPr>
            <w:hyperlink r:id="rId178">
              <w:r>
                <w:rPr>
                  <w:rFonts w:ascii="Arial" w:cs="Arial" w:eastAsia="Arial" w:hAnsi="Arial"/>
                  <w:sz w:val="18"/>
                  <w:szCs w:val="18"/>
                  <w:color w:val="0000EE"/>
                  <w:w w:val="97"/>
                </w:rPr>
                <w:t>Consulting Agreement, dated February 2, 2021, by and between Aterian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Group, Inc. and Christopher Marshall.</w:t>
              </w:r>
            </w:hyperlink>
          </w:p>
        </w:tc>
        <w:tc>
          <w:tcPr>
            <w:tcW w:w="2440" w:type="dxa"/>
            <w:vAlign w:val="bottom"/>
            <w:tcBorders>
              <w:top w:val="single" w:sz="8" w:color="0000EE"/>
            </w:tcBorders>
            <w:gridSpan w:val="5"/>
          </w:tcPr>
          <w:p>
            <w:pPr>
              <w:spacing w:after="0"/>
              <w:rPr>
                <w:sz w:val="17"/>
                <w:szCs w:val="17"/>
                <w:color w:val="auto"/>
              </w:rPr>
            </w:pPr>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10.21+</w:t>
            </w:r>
          </w:p>
        </w:tc>
        <w:tc>
          <w:tcPr>
            <w:tcW w:w="100" w:type="dxa"/>
            <w:vAlign w:val="bottom"/>
          </w:tcPr>
          <w:p>
            <w:pPr>
              <w:spacing w:after="0"/>
              <w:rPr>
                <w:sz w:val="24"/>
                <w:szCs w:val="24"/>
                <w:color w:val="auto"/>
              </w:rPr>
            </w:pPr>
          </w:p>
        </w:tc>
        <w:tc>
          <w:tcPr>
            <w:tcW w:w="5640" w:type="dxa"/>
            <w:vAlign w:val="bottom"/>
            <w:gridSpan w:val="28"/>
          </w:tcPr>
          <w:p>
            <w:pPr>
              <w:spacing w:after="0"/>
              <w:rPr>
                <w:rFonts w:ascii="Arial" w:cs="Arial" w:eastAsia="Arial" w:hAnsi="Arial"/>
                <w:sz w:val="18"/>
                <w:szCs w:val="18"/>
                <w:color w:val="0000EE"/>
                <w:w w:val="97"/>
              </w:rPr>
            </w:pPr>
            <w:hyperlink r:id="rId179">
              <w:r>
                <w:rPr>
                  <w:rFonts w:ascii="Arial" w:cs="Arial" w:eastAsia="Arial" w:hAnsi="Arial"/>
                  <w:sz w:val="18"/>
                  <w:szCs w:val="18"/>
                  <w:color w:val="0000EE"/>
                  <w:w w:val="97"/>
                </w:rPr>
                <w:t>Consulting Agreement, dated February 2, 2021, by and between Aterian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Group, Inc. and Quinn McCullough.</w:t>
              </w:r>
            </w:hyperlink>
          </w:p>
        </w:tc>
        <w:tc>
          <w:tcPr>
            <w:tcW w:w="2560" w:type="dxa"/>
            <w:vAlign w:val="bottom"/>
            <w:tcBorders>
              <w:top w:val="single" w:sz="8" w:color="0000EE"/>
            </w:tcBorders>
            <w:gridSpan w:val="8"/>
          </w:tcPr>
          <w:p>
            <w:pPr>
              <w:spacing w:after="0"/>
              <w:rPr>
                <w:sz w:val="17"/>
                <w:szCs w:val="17"/>
                <w:color w:val="auto"/>
              </w:rPr>
            </w:pPr>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10.22+</w:t>
            </w:r>
          </w:p>
        </w:tc>
        <w:tc>
          <w:tcPr>
            <w:tcW w:w="100" w:type="dxa"/>
            <w:vAlign w:val="bottom"/>
          </w:tcPr>
          <w:p>
            <w:pPr>
              <w:spacing w:after="0"/>
              <w:rPr>
                <w:sz w:val="24"/>
                <w:szCs w:val="24"/>
                <w:color w:val="auto"/>
              </w:rPr>
            </w:pPr>
          </w:p>
        </w:tc>
        <w:tc>
          <w:tcPr>
            <w:tcW w:w="5220" w:type="dxa"/>
            <w:vAlign w:val="bottom"/>
            <w:tcBorders>
              <w:bottom w:val="single" w:sz="8" w:color="0000EE"/>
            </w:tcBorders>
            <w:gridSpan w:val="20"/>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Transition Services Agreement, dated February 2, 2021, by and between</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Healing Solutions, LLC and Truweo, LLC.</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24"/>
                <w:szCs w:val="24"/>
                <w:color w:val="auto"/>
              </w:rPr>
            </w:pPr>
          </w:p>
        </w:tc>
        <w:tc>
          <w:tcPr>
            <w:tcW w:w="5020" w:type="dxa"/>
            <w:vAlign w:val="bottom"/>
            <w:tcBorders>
              <w:bottom w:val="single" w:sz="8" w:color="0000EE"/>
            </w:tcBorders>
            <w:gridSpan w:val="18"/>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Voting and Standstill Agreement, dated May 5, 2021, by and between</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Aterian, Inc. and Squatty Potty, LLC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10.24+</w:t>
            </w:r>
          </w:p>
        </w:tc>
        <w:tc>
          <w:tcPr>
            <w:tcW w:w="100" w:type="dxa"/>
            <w:vAlign w:val="bottom"/>
          </w:tcPr>
          <w:p>
            <w:pPr>
              <w:spacing w:after="0"/>
              <w:rPr>
                <w:sz w:val="24"/>
                <w:szCs w:val="24"/>
                <w:color w:val="auto"/>
              </w:rPr>
            </w:pPr>
          </w:p>
        </w:tc>
        <w:tc>
          <w:tcPr>
            <w:tcW w:w="5440" w:type="dxa"/>
            <w:vAlign w:val="bottom"/>
            <w:tcBorders>
              <w:bottom w:val="single" w:sz="8" w:color="0000EE"/>
            </w:tcBorders>
            <w:gridSpan w:val="23"/>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Consulting Agreement, dated May 5, 2021, by and between Aterian Group,</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Inc. and Bernie Kropfelder.</w:t>
              </w:r>
            </w:hyperlink>
          </w:p>
        </w:tc>
        <w:tc>
          <w:tcPr>
            <w:tcW w:w="3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10.25+</w:t>
            </w:r>
          </w:p>
        </w:tc>
        <w:tc>
          <w:tcPr>
            <w:tcW w:w="100" w:type="dxa"/>
            <w:vAlign w:val="bottom"/>
          </w:tcPr>
          <w:p>
            <w:pPr>
              <w:spacing w:after="0"/>
              <w:rPr>
                <w:sz w:val="24"/>
                <w:szCs w:val="24"/>
                <w:color w:val="auto"/>
              </w:rPr>
            </w:pPr>
          </w:p>
        </w:tc>
        <w:tc>
          <w:tcPr>
            <w:tcW w:w="5440" w:type="dxa"/>
            <w:vAlign w:val="bottom"/>
            <w:tcBorders>
              <w:bottom w:val="single" w:sz="8" w:color="0000EE"/>
            </w:tcBorders>
            <w:gridSpan w:val="23"/>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Consulting Agreement, dated May 5, 2021, by and between Aterian Group,</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Inc. and Tani Alge</w:t>
              </w:r>
              <w:r>
                <w:rPr>
                  <w:rFonts w:ascii="Arial" w:cs="Arial" w:eastAsia="Arial" w:hAnsi="Arial"/>
                  <w:sz w:val="18"/>
                  <w:szCs w:val="18"/>
                  <w:color w:val="000000"/>
                </w:rPr>
                <w:t>r.</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10.26+</w:t>
            </w:r>
          </w:p>
        </w:tc>
        <w:tc>
          <w:tcPr>
            <w:tcW w:w="100" w:type="dxa"/>
            <w:vAlign w:val="bottom"/>
          </w:tcPr>
          <w:p>
            <w:pPr>
              <w:spacing w:after="0"/>
              <w:rPr>
                <w:sz w:val="24"/>
                <w:szCs w:val="24"/>
                <w:color w:val="auto"/>
              </w:rPr>
            </w:pPr>
          </w:p>
        </w:tc>
        <w:tc>
          <w:tcPr>
            <w:tcW w:w="5440" w:type="dxa"/>
            <w:vAlign w:val="bottom"/>
            <w:tcBorders>
              <w:bottom w:val="single" w:sz="8" w:color="0000EE"/>
            </w:tcBorders>
            <w:gridSpan w:val="23"/>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Consulting Agreement, dated May 5, 2021, by and between Aterian Group,</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Inc. and Jeff Ela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10.27+</w:t>
            </w:r>
          </w:p>
        </w:tc>
        <w:tc>
          <w:tcPr>
            <w:tcW w:w="100" w:type="dxa"/>
            <w:vAlign w:val="bottom"/>
          </w:tcPr>
          <w:p>
            <w:pPr>
              <w:spacing w:after="0"/>
              <w:rPr>
                <w:sz w:val="24"/>
                <w:szCs w:val="24"/>
                <w:color w:val="auto"/>
              </w:rPr>
            </w:pPr>
          </w:p>
        </w:tc>
        <w:tc>
          <w:tcPr>
            <w:tcW w:w="5500" w:type="dxa"/>
            <w:vAlign w:val="bottom"/>
            <w:tcBorders>
              <w:bottom w:val="single" w:sz="8" w:color="0000EE"/>
            </w:tcBorders>
            <w:gridSpan w:val="26"/>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Transition Services Agreement, dated May 5, 2021, by and between Squatty</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Potty, LLC and Truweo, LLC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4"/>
                <w:szCs w:val="24"/>
                <w:color w:val="auto"/>
              </w:rPr>
            </w:pPr>
          </w:p>
        </w:tc>
        <w:tc>
          <w:tcPr>
            <w:tcW w:w="5640" w:type="dxa"/>
            <w:vAlign w:val="bottom"/>
            <w:tcBorders>
              <w:bottom w:val="single" w:sz="8" w:color="0000EE"/>
            </w:tcBorders>
            <w:gridSpan w:val="28"/>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Shareholder Agreement, dated May 5, 2021, by and between Aterian, Inc. and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Josef Eitan</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4"/>
                <w:szCs w:val="24"/>
                <w:color w:val="auto"/>
              </w:rPr>
            </w:pPr>
          </w:p>
        </w:tc>
        <w:tc>
          <w:tcPr>
            <w:tcW w:w="5640" w:type="dxa"/>
            <w:vAlign w:val="bottom"/>
            <w:tcBorders>
              <w:bottom w:val="single" w:sz="8" w:color="0000EE"/>
            </w:tcBorders>
            <w:gridSpan w:val="28"/>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Shareholder Agreement, dated May 5, 2021, by and between Aterian, Inc. and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Ran Nir.</w:t>
              </w:r>
            </w:hyperlink>
          </w:p>
        </w:tc>
        <w:tc>
          <w:tcPr>
            <w:tcW w:w="50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4"/>
                <w:szCs w:val="24"/>
                <w:color w:val="auto"/>
              </w:rPr>
            </w:pPr>
          </w:p>
        </w:tc>
        <w:tc>
          <w:tcPr>
            <w:tcW w:w="5460" w:type="dxa"/>
            <w:vAlign w:val="bottom"/>
            <w:tcBorders>
              <w:bottom w:val="single" w:sz="8" w:color="0000EE"/>
            </w:tcBorders>
            <w:gridSpan w:val="24"/>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Amendment to Lock-Up, Voting and Standstill Agreement, dated as of May</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31, 2021, by and between Aterian, Inc. and Healing Solutions LLC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4"/>
                <w:szCs w:val="24"/>
                <w:color w:val="auto"/>
              </w:rPr>
            </w:pPr>
          </w:p>
        </w:tc>
        <w:tc>
          <w:tcPr>
            <w:tcW w:w="5460" w:type="dxa"/>
            <w:vAlign w:val="bottom"/>
            <w:tcBorders>
              <w:bottom w:val="single" w:sz="8" w:color="0000EE"/>
            </w:tcBorders>
            <w:gridSpan w:val="24"/>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Amendment to Lock-Up, Voting and Standstill Agreement, dated as of May</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31, 2021, by and between Aterian, Inc. and 9830 Macarthur LLC.</w:t>
              </w:r>
            </w:hyperlink>
          </w:p>
        </w:tc>
        <w:tc>
          <w:tcPr>
            <w:tcW w:w="9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10.32+</w:t>
            </w:r>
          </w:p>
        </w:tc>
        <w:tc>
          <w:tcPr>
            <w:tcW w:w="100" w:type="dxa"/>
            <w:vAlign w:val="bottom"/>
          </w:tcPr>
          <w:p>
            <w:pPr>
              <w:spacing w:after="0"/>
              <w:rPr>
                <w:sz w:val="24"/>
                <w:szCs w:val="24"/>
                <w:color w:val="auto"/>
              </w:rPr>
            </w:pPr>
          </w:p>
        </w:tc>
        <w:tc>
          <w:tcPr>
            <w:tcW w:w="5640" w:type="dxa"/>
            <w:vAlign w:val="bottom"/>
            <w:gridSpan w:val="28"/>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Credit and Security Agreement, dated as December 22, 2021, by and Aterian,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Inc. and its subsidiaries party thereto as “Credit Parties”, the lenders party</w:t>
              </w:r>
            </w:hyperlink>
          </w:p>
        </w:tc>
        <w:tc>
          <w:tcPr>
            <w:tcW w:w="24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w w:val="97"/>
              </w:rPr>
            </w:pPr>
            <w:hyperlink r:id="rId190">
              <w:r>
                <w:rPr>
                  <w:rFonts w:ascii="Arial" w:cs="Arial" w:eastAsia="Arial" w:hAnsi="Arial"/>
                  <w:sz w:val="18"/>
                  <w:szCs w:val="18"/>
                  <w:color w:val="0000EE"/>
                  <w:w w:val="97"/>
                </w:rPr>
                <w:t>thereto from time to time and Midcap Funding IV Trust, as administrative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90">
              <w:r>
                <w:rPr>
                  <w:rFonts w:ascii="Arial" w:cs="Arial" w:eastAsia="Arial" w:hAnsi="Arial"/>
                  <w:sz w:val="18"/>
                  <w:szCs w:val="18"/>
                  <w:color w:val="0000EE"/>
                  <w:w w:val="84"/>
                </w:rPr>
                <w:t>agent</w:t>
              </w:r>
            </w:hyperlink>
          </w:p>
        </w:tc>
        <w:tc>
          <w:tcPr>
            <w:tcW w:w="4920" w:type="dxa"/>
            <w:vAlign w:val="bottom"/>
            <w:tcBorders>
              <w:top w:val="single" w:sz="8" w:color="0000EE"/>
            </w:tcBorders>
            <w:gridSpan w:val="19"/>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7"/>
              </w:rPr>
              <w:t>21.1 *</w:t>
            </w:r>
          </w:p>
        </w:tc>
        <w:tc>
          <w:tcPr>
            <w:tcW w:w="100" w:type="dxa"/>
            <w:vAlign w:val="bottom"/>
          </w:tcPr>
          <w:p>
            <w:pPr>
              <w:spacing w:after="0"/>
              <w:rPr>
                <w:sz w:val="24"/>
                <w:szCs w:val="24"/>
                <w:color w:val="auto"/>
              </w:rPr>
            </w:pPr>
          </w:p>
        </w:tc>
        <w:tc>
          <w:tcPr>
            <w:tcW w:w="27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List of Subsidiaries of the Registrant.</w:t>
              </w:r>
            </w:hyperlink>
          </w:p>
        </w:tc>
        <w:tc>
          <w:tcPr>
            <w:tcW w:w="29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100" w:type="dxa"/>
            <w:vAlign w:val="bottom"/>
          </w:tcPr>
          <w:p>
            <w:pPr>
              <w:spacing w:after="0"/>
              <w:rPr>
                <w:sz w:val="24"/>
                <w:szCs w:val="24"/>
                <w:color w:val="auto"/>
              </w:rPr>
            </w:pPr>
          </w:p>
        </w:tc>
        <w:tc>
          <w:tcPr>
            <w:tcW w:w="48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Consent of Deloitte &amp; Touche LLP, Independent Registered Public</w:t>
              </w:r>
            </w:hyperlink>
          </w:p>
        </w:tc>
        <w:tc>
          <w:tcPr>
            <w:tcW w:w="8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Accounting Firm.</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0" w:type="dxa"/>
            <w:vAlign w:val="bottom"/>
            <w:gridSpan w:val="1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100" w:type="dxa"/>
            <w:vAlign w:val="bottom"/>
          </w:tcPr>
          <w:p>
            <w:pPr>
              <w:spacing w:after="0"/>
              <w:rPr>
                <w:sz w:val="24"/>
                <w:szCs w:val="24"/>
                <w:color w:val="auto"/>
              </w:rPr>
            </w:pPr>
          </w:p>
        </w:tc>
        <w:tc>
          <w:tcPr>
            <w:tcW w:w="548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Power of Attorney (included on the signature page to this Annual Report on</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2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Form 10-K).</w:t>
              </w:r>
            </w:hyperlink>
          </w:p>
        </w:tc>
        <w:tc>
          <w:tcPr>
            <w:tcW w:w="0" w:type="dxa"/>
            <w:vAlign w:val="bottom"/>
          </w:tcPr>
          <w:p>
            <w:pPr>
              <w:spacing w:after="0"/>
              <w:rPr>
                <w:sz w:val="1"/>
                <w:szCs w:val="1"/>
                <w:color w:val="auto"/>
              </w:rPr>
            </w:pPr>
          </w:p>
        </w:tc>
      </w:tr>
      <w:tr>
        <w:trPr>
          <w:trHeight w:val="574"/>
        </w:trPr>
        <w:tc>
          <w:tcPr>
            <w:tcW w:w="8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00" w:type="dxa"/>
            <w:vAlign w:val="bottom"/>
            <w:tcBorders>
              <w:top w:val="single" w:sz="8" w:color="0000EE"/>
            </w:tcBorders>
            <w:gridSpan w:val="4"/>
          </w:tcPr>
          <w:p>
            <w:pPr>
              <w:spacing w:after="0"/>
              <w:rPr>
                <w:sz w:val="24"/>
                <w:szCs w:val="24"/>
                <w:color w:val="auto"/>
              </w:rPr>
            </w:pPr>
          </w:p>
        </w:tc>
        <w:tc>
          <w:tcPr>
            <w:tcW w:w="3920" w:type="dxa"/>
            <w:vAlign w:val="bottom"/>
            <w:gridSpan w:val="12"/>
          </w:tcPr>
          <w:p>
            <w:pPr>
              <w:jc w:val="right"/>
              <w:ind w:right="8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9146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File Number</w:t>
            </w:r>
          </w:p>
        </w:tc>
        <w:tc>
          <w:tcPr>
            <w:tcW w:w="60" w:type="dxa"/>
            <w:vAlign w:val="bottom"/>
          </w:tcPr>
          <w:p>
            <w:pPr>
              <w:spacing w:after="0"/>
              <w:rPr>
                <w:sz w:val="14"/>
                <w:szCs w:val="14"/>
                <w:color w:val="auto"/>
              </w:rPr>
            </w:pPr>
          </w:p>
        </w:tc>
        <w:tc>
          <w:tcPr>
            <w:tcW w:w="17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Filing Date</w:t>
            </w:r>
          </w:p>
        </w:tc>
        <w:tc>
          <w:tcPr>
            <w:tcW w:w="60" w:type="dxa"/>
            <w:vAlign w:val="bottom"/>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r>
      <w:tr>
        <w:trPr>
          <w:trHeight w:val="547"/>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r>
      <w:tr>
        <w:trPr>
          <w:trHeight w:val="553"/>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553"/>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r>
      <w:tr>
        <w:trPr>
          <w:trHeight w:val="553"/>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10.8</w:t>
            </w:r>
          </w:p>
        </w:tc>
      </w:tr>
      <w:tr>
        <w:trPr>
          <w:trHeight w:val="770"/>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769"/>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769"/>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770"/>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r>
      <w:tr>
        <w:trPr>
          <w:trHeight w:val="769"/>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r>
      <w:tr>
        <w:trPr>
          <w:trHeight w:val="769"/>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554"/>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001-389927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r>
      <w:tr>
        <w:trPr>
          <w:trHeight w:val="553"/>
        </w:trPr>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001-389927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8/9/2021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10.15</w:t>
            </w:r>
          </w:p>
        </w:tc>
      </w:tr>
      <w:tr>
        <w:trPr>
          <w:trHeight w:val="553"/>
        </w:trPr>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001-389927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8/9/2021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985"/>
        </w:trPr>
        <w:tc>
          <w:tcPr>
            <w:tcW w:w="8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001-389927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12/27/2021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r>
    </w:tbl>
    <w:p>
      <w:pPr>
        <w:sectPr>
          <w:pgSz w:w="11900" w:h="16838" w:orient="portrait"/>
          <w:cols w:equalWidth="0" w:num="2">
            <w:col w:w="6600" w:space="40"/>
            <w:col w:w="4600"/>
          </w:cols>
          <w:pgMar w:left="320" w:top="333"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40" w:type="dxa"/>
            <w:vAlign w:val="bottom"/>
            <w:gridSpan w:val="8"/>
            <w:vMerge w:val="restart"/>
          </w:tcPr>
          <w:p>
            <w:pPr>
              <w:ind w:left="2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vMerge w:val="restart"/>
          </w:tcPr>
          <w:p>
            <w:pPr>
              <w:spacing w:after="0"/>
              <w:rPr>
                <w:sz w:val="9"/>
                <w:szCs w:val="9"/>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60" w:type="dxa"/>
            <w:vAlign w:val="bottom"/>
            <w:vMerge w:val="restart"/>
          </w:tcPr>
          <w:p>
            <w:pPr>
              <w:spacing w:after="0"/>
              <w:rPr>
                <w:sz w:val="9"/>
                <w:szCs w:val="9"/>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Number</w:t>
            </w:r>
          </w:p>
        </w:tc>
        <w:tc>
          <w:tcPr>
            <w:tcW w:w="60" w:type="dxa"/>
            <w:vAlign w:val="bottom"/>
            <w:vMerge w:val="restart"/>
          </w:tcPr>
          <w:p>
            <w:pPr>
              <w:spacing w:after="0"/>
              <w:rPr>
                <w:sz w:val="9"/>
                <w:szCs w:val="9"/>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Filing Date</w:t>
            </w:r>
          </w:p>
        </w:tc>
        <w:tc>
          <w:tcPr>
            <w:tcW w:w="60" w:type="dxa"/>
            <w:vAlign w:val="bottom"/>
            <w:vMerge w:val="restart"/>
          </w:tcPr>
          <w:p>
            <w:pPr>
              <w:spacing w:after="0"/>
              <w:rPr>
                <w:sz w:val="9"/>
                <w:szCs w:val="9"/>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5640" w:type="dxa"/>
            <w:vAlign w:val="bottom"/>
            <w:tcBorders>
              <w:bottom w:val="single" w:sz="8" w:color="auto"/>
            </w:tcBorders>
            <w:gridSpan w:val="8"/>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5680" w:type="dxa"/>
            <w:vAlign w:val="bottom"/>
            <w:gridSpan w:val="9"/>
          </w:tcPr>
          <w:p>
            <w:pPr>
              <w:spacing w:after="0"/>
              <w:rPr>
                <w:rFonts w:ascii="Arial" w:cs="Arial" w:eastAsia="Arial" w:hAnsi="Arial"/>
                <w:sz w:val="18"/>
                <w:szCs w:val="18"/>
                <w:color w:val="0000EE"/>
                <w:w w:val="96"/>
              </w:rPr>
            </w:pPr>
            <w:hyperlink w:anchor="page118">
              <w:r>
                <w:rPr>
                  <w:rFonts w:ascii="Arial" w:cs="Arial" w:eastAsia="Arial" w:hAnsi="Arial"/>
                  <w:sz w:val="18"/>
                  <w:szCs w:val="18"/>
                  <w:color w:val="0000EE"/>
                  <w:w w:val="96"/>
                </w:rPr>
                <w:t>Certifications of the Principal Executive Officer pursuant to Rule 13a-14(a)</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or 15d-14(a) of the Securities Exchange Act of 1934.</w:t>
              </w:r>
            </w:hyperlink>
          </w:p>
        </w:tc>
        <w:tc>
          <w:tcPr>
            <w:tcW w:w="24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5680" w:type="dxa"/>
            <w:vAlign w:val="bottom"/>
            <w:gridSpan w:val="9"/>
          </w:tcPr>
          <w:p>
            <w:pPr>
              <w:spacing w:after="0"/>
              <w:rPr>
                <w:rFonts w:ascii="Arial" w:cs="Arial" w:eastAsia="Arial" w:hAnsi="Arial"/>
                <w:sz w:val="18"/>
                <w:szCs w:val="18"/>
                <w:color w:val="0000EE"/>
                <w:w w:val="93"/>
              </w:rPr>
            </w:pPr>
            <w:hyperlink w:anchor="page119">
              <w:r>
                <w:rPr>
                  <w:rFonts w:ascii="Arial" w:cs="Arial" w:eastAsia="Arial" w:hAnsi="Arial"/>
                  <w:sz w:val="18"/>
                  <w:szCs w:val="18"/>
                  <w:color w:val="0000EE"/>
                  <w:w w:val="93"/>
                </w:rPr>
                <w:t>Certifications of the Principal Financial Officer pursuant to Rule 13a-14(a) or</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15d-14(a) of the Securities Exchange Act of 1934.</w:t>
              </w:r>
            </w:hyperlink>
          </w:p>
        </w:tc>
        <w:tc>
          <w:tcPr>
            <w:tcW w:w="194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1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Certifications of the Principal Executive Officer and Principal Financial</w:t>
              </w:r>
            </w:hyperlink>
          </w:p>
        </w:tc>
        <w:tc>
          <w:tcPr>
            <w:tcW w:w="50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gridSpan w:val="9"/>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Officer pursuant to 18 U.S.C. Section 1350, as adopted pursuant to Section</w:t>
              </w:r>
            </w:hyperlink>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906 of the Sarbanes-Oxley Act of 2002.</w:t>
              </w:r>
            </w:hyperlink>
          </w:p>
        </w:tc>
        <w:tc>
          <w:tcPr>
            <w:tcW w:w="2520" w:type="dxa"/>
            <w:vAlign w:val="bottom"/>
            <w:tcBorders>
              <w:top w:val="single" w:sz="8" w:color="0000EE"/>
            </w:tcBorders>
            <w:gridSpan w:val="4"/>
          </w:tcPr>
          <w:p>
            <w:pPr>
              <w:spacing w:after="0"/>
              <w:rPr>
                <w:sz w:val="17"/>
                <w:szCs w:val="17"/>
                <w:color w:val="auto"/>
              </w:rPr>
            </w:pPr>
          </w:p>
        </w:tc>
        <w:tc>
          <w:tcPr>
            <w:tcW w:w="2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60" w:hanging="862"/>
        <w:spacing w:after="0"/>
        <w:tabs>
          <w:tab w:leader="none" w:pos="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00" w:right="220" w:hanging="492"/>
        <w:spacing w:after="0" w:line="265"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ind w:left="500" w:right="200" w:hanging="492"/>
        <w:spacing w:after="0" w:line="290"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ATERIAN,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58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30"/>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220" w:type="dxa"/>
            <w:vAlign w:val="bottom"/>
          </w:tcPr>
          <w:p>
            <w:pPr>
              <w:spacing w:after="0"/>
              <w:rPr>
                <w:sz w:val="20"/>
                <w:szCs w:val="20"/>
                <w:color w:val="auto"/>
              </w:rPr>
            </w:pPr>
            <w:r>
              <w:rPr>
                <w:rFonts w:ascii="Arial" w:cs="Arial" w:eastAsia="Arial" w:hAnsi="Arial"/>
                <w:sz w:val="18"/>
                <w:szCs w:val="18"/>
                <w:color w:val="auto"/>
              </w:rPr>
              <w:t>March 16, 2022</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3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jointly and severally, Yaniv Sarig, Arturo Rodriguez and Joseph A. Risico,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Signature</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700" w:type="dxa"/>
            <w:vAlign w:val="bottom"/>
            <w:tcBorders>
              <w:bottom w:val="single" w:sz="8" w:color="auto"/>
            </w:tcBorders>
          </w:tcPr>
          <w:p>
            <w:pPr>
              <w:jc w:val="right"/>
              <w:ind w:right="3052"/>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0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Date</w:t>
            </w:r>
          </w:p>
        </w:tc>
      </w:tr>
      <w:tr>
        <w:trPr>
          <w:trHeight w:val="33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Yaniv Sarig</w:t>
            </w:r>
          </w:p>
        </w:tc>
        <w:tc>
          <w:tcPr>
            <w:tcW w:w="80" w:type="dxa"/>
            <w:vAlign w:val="bottom"/>
          </w:tcPr>
          <w:p>
            <w:pPr>
              <w:spacing w:after="0"/>
              <w:rPr>
                <w:sz w:val="24"/>
                <w:szCs w:val="24"/>
                <w:color w:val="auto"/>
              </w:rPr>
            </w:pPr>
          </w:p>
        </w:tc>
        <w:tc>
          <w:tcPr>
            <w:tcW w:w="7020" w:type="dxa"/>
            <w:vAlign w:val="bottom"/>
            <w:gridSpan w:val="3"/>
          </w:tcPr>
          <w:p>
            <w:pPr>
              <w:jc w:val="center"/>
              <w:ind w:right="3460"/>
              <w:spacing w:after="0"/>
              <w:rPr>
                <w:sz w:val="20"/>
                <w:szCs w:val="20"/>
                <w:color w:val="auto"/>
              </w:rPr>
            </w:pPr>
            <w:r>
              <w:rPr>
                <w:rFonts w:ascii="Arial" w:cs="Arial" w:eastAsia="Arial" w:hAnsi="Arial"/>
                <w:sz w:val="18"/>
                <w:szCs w:val="18"/>
                <w:color w:val="auto"/>
                <w:w w:val="92"/>
              </w:rPr>
              <w:t>President, Chief Executive Officer and 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1"/>
              </w:rPr>
              <w:t>Yaniv Sarig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20" w:type="dxa"/>
            <w:vAlign w:val="bottom"/>
            <w:gridSpan w:val="2"/>
          </w:tcPr>
          <w:p>
            <w:pPr>
              <w:jc w:val="center"/>
              <w:ind w:right="364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Arturo Rodriguez</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4"/>
              </w:rPr>
              <w:t>Arturo Rodriguez</w:t>
            </w:r>
          </w:p>
        </w:tc>
        <w:tc>
          <w:tcPr>
            <w:tcW w:w="80" w:type="dxa"/>
            <w:vAlign w:val="bottom"/>
          </w:tcPr>
          <w:p>
            <w:pPr>
              <w:spacing w:after="0"/>
              <w:rPr>
                <w:sz w:val="19"/>
                <w:szCs w:val="19"/>
                <w:color w:val="auto"/>
              </w:rPr>
            </w:pPr>
          </w:p>
        </w:tc>
        <w:tc>
          <w:tcPr>
            <w:tcW w:w="7020" w:type="dxa"/>
            <w:vAlign w:val="bottom"/>
            <w:gridSpan w:val="3"/>
          </w:tcPr>
          <w:p>
            <w:pPr>
              <w:jc w:val="center"/>
              <w:ind w:right="3460"/>
              <w:spacing w:after="0"/>
              <w:rPr>
                <w:sz w:val="20"/>
                <w:szCs w:val="20"/>
                <w:color w:val="auto"/>
              </w:rPr>
            </w:pPr>
            <w:r>
              <w:rPr>
                <w:rFonts w:ascii="Arial" w:cs="Arial" w:eastAsia="Arial" w:hAnsi="Arial"/>
                <w:sz w:val="18"/>
                <w:szCs w:val="18"/>
                <w:color w:val="auto"/>
                <w:w w:val="93"/>
              </w:rPr>
              <w:t>(Principal Accounting and Financial Officer)</w:t>
            </w: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Kurtz</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9"/>
              </w:rPr>
              <w:t>William Kurtz</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Susan Lattmann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8"/>
              </w:rPr>
              <w:t>Susan Lattmann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Sarah Liebel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0"/>
              </w:rPr>
              <w:t>Sarah Liebel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4"/>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 B. Petersen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9"/>
              </w:rPr>
              <w:t>Greg B. Petersen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Amy von Walter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4"/>
              </w:rPr>
              <w:t>Amy von Walter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Bari Harlam</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16, 2022</w:t>
            </w: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2"/>
              </w:rPr>
              <w:t>Bari Harlam</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755"/>
        </w:trPr>
        <w:tc>
          <w:tcPr>
            <w:tcW w:w="2080" w:type="dxa"/>
            <w:vAlign w:val="bottom"/>
          </w:tcPr>
          <w:p>
            <w:pPr>
              <w:spacing w:after="0"/>
              <w:rPr>
                <w:sz w:val="24"/>
                <w:szCs w:val="24"/>
                <w:color w:val="auto"/>
              </w:rPr>
            </w:pPr>
          </w:p>
        </w:tc>
        <w:tc>
          <w:tcPr>
            <w:tcW w:w="6980" w:type="dxa"/>
            <w:vAlign w:val="bottom"/>
            <w:gridSpan w:val="3"/>
          </w:tcPr>
          <w:p>
            <w:pPr>
              <w:jc w:val="right"/>
              <w:ind w:right="325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4.9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TERIAN</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authorized capital stock of Aterian,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consists of:</w:t>
      </w:r>
    </w:p>
    <w:p>
      <w:pPr>
        <w:spacing w:after="0" w:line="206" w:lineRule="exact"/>
        <w:rPr>
          <w:sz w:val="20"/>
          <w:szCs w:val="20"/>
          <w:color w:val="auto"/>
        </w:rPr>
      </w:pPr>
    </w:p>
    <w:p>
      <w:pPr>
        <w:ind w:left="880" w:hanging="440"/>
        <w:spacing w:after="0"/>
        <w:tabs>
          <w:tab w:leader="none" w:pos="8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500,000,000 shares of common stock, $0.0001 par value per share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and</w:t>
      </w:r>
    </w:p>
    <w:p>
      <w:pPr>
        <w:spacing w:after="0" w:line="8" w:lineRule="exact"/>
        <w:rPr>
          <w:rFonts w:ascii="Arial" w:cs="Arial" w:eastAsia="Arial" w:hAnsi="Arial"/>
          <w:sz w:val="22"/>
          <w:szCs w:val="22"/>
          <w:color w:val="auto"/>
        </w:rPr>
      </w:pPr>
    </w:p>
    <w:p>
      <w:pPr>
        <w:ind w:left="880" w:hanging="440"/>
        <w:spacing w:after="0"/>
        <w:tabs>
          <w:tab w:leader="none" w:pos="8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10,000,000 shares of preferred stock, $0.0001 par value per share (“</w:t>
      </w:r>
      <w:r>
        <w:rPr>
          <w:rFonts w:ascii="Arial" w:cs="Arial" w:eastAsia="Arial" w:hAnsi="Arial"/>
          <w:sz w:val="22"/>
          <w:szCs w:val="22"/>
          <w:b w:val="1"/>
          <w:bCs w:val="1"/>
          <w:i w:val="1"/>
          <w:iCs w:val="1"/>
          <w:color w:val="auto"/>
        </w:rPr>
        <w:t>Preferred Stock</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b w:val="1"/>
          <w:bCs w:val="1"/>
          <w:i w:val="1"/>
          <w:iCs w:val="1"/>
          <w:color w:val="auto"/>
        </w:rPr>
        <w:t xml:space="preserve">Dividend Rights. </w:t>
      </w:r>
      <w:r>
        <w:rPr>
          <w:rFonts w:ascii="Arial" w:cs="Arial" w:eastAsia="Arial" w:hAnsi="Arial"/>
          <w:sz w:val="22"/>
          <w:szCs w:val="22"/>
          <w:color w:val="auto"/>
        </w:rPr>
        <w:t>Dividends may be declared and paid on Common Stock if, as and when determined by the Company’s board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subject to any preferential dividend or other rights of any then outstanding Preferred Stock and to the requirements of applicable law.</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b w:val="1"/>
          <w:bCs w:val="1"/>
          <w:i w:val="1"/>
          <w:iCs w:val="1"/>
          <w:color w:val="auto"/>
        </w:rPr>
        <w:t xml:space="preserve">Voting Rights. </w:t>
      </w:r>
      <w:r>
        <w:rPr>
          <w:rFonts w:ascii="Arial" w:cs="Arial" w:eastAsia="Arial" w:hAnsi="Arial"/>
          <w:sz w:val="19"/>
          <w:szCs w:val="19"/>
          <w:color w:val="auto"/>
        </w:rPr>
        <w:t>Holders of Common Stock are entitled to one vote for each share held on all matters submitted to a vote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stockholders. The Company’s Amended and Restated Certificate of Incorporation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does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outstanding Preferred Stock may be entitled to elect. The Certificate of Incorporation establishes a classified board of directors that is divided into three classes with staggered three-year terms. Only the directors in one class will be subject to election at each annual meeting of the Company’s stockholders, with the directors in the other classes continuing for the remainder of their respective three-year terms. The Certificate of Incorporation and the Company’s Amended and Restated Bylaws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also provide that the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the Certificate of Incorporation. See the section of this exhibit entitled “Anti-Takeover Effects of Certain Provisions of the Company’s Certificate of Incorporation, Bylaws and General Corporation Law of the State of Delaware” for additional details regarding the anti-takeover provisions of the Certificate of Incorporation and Bylaws.</w:t>
      </w:r>
    </w:p>
    <w:p>
      <w:pPr>
        <w:spacing w:after="0" w:line="160"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b w:val="1"/>
          <w:bCs w:val="1"/>
          <w:i w:val="1"/>
          <w:iCs w:val="1"/>
          <w:color w:val="auto"/>
        </w:rPr>
        <w:t xml:space="preserve">No Preemptive or Similar Rights. </w:t>
      </w:r>
      <w:r>
        <w:rPr>
          <w:rFonts w:ascii="Arial" w:cs="Arial" w:eastAsia="Arial" w:hAnsi="Arial"/>
          <w:sz w:val="22"/>
          <w:szCs w:val="22"/>
          <w:color w:val="auto"/>
        </w:rPr>
        <w:t>The Common Stock is not entitled to preemptive rights, and is not subject to conversion,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redemption or sinking fund provisions.</w:t>
      </w:r>
    </w:p>
    <w:p>
      <w:pPr>
        <w:spacing w:after="0" w:line="175" w:lineRule="exact"/>
        <w:rPr>
          <w:sz w:val="20"/>
          <w:szCs w:val="20"/>
          <w:color w:val="auto"/>
        </w:rPr>
      </w:pPr>
    </w:p>
    <w:p>
      <w:pPr>
        <w:jc w:val="both"/>
        <w:ind w:right="240"/>
        <w:spacing w:after="0" w:line="287" w:lineRule="auto"/>
        <w:rPr>
          <w:sz w:val="20"/>
          <w:szCs w:val="20"/>
          <w:color w:val="auto"/>
        </w:rPr>
      </w:pPr>
      <w:r>
        <w:rPr>
          <w:rFonts w:ascii="Arial" w:cs="Arial" w:eastAsia="Arial" w:hAnsi="Arial"/>
          <w:sz w:val="19"/>
          <w:szCs w:val="19"/>
          <w:b w:val="1"/>
          <w:bCs w:val="1"/>
          <w:i w:val="1"/>
          <w:iCs w:val="1"/>
          <w:color w:val="auto"/>
        </w:rPr>
        <w:t xml:space="preserve">Right to Receive Liquidation Distributions. </w:t>
      </w:r>
      <w:r>
        <w:rPr>
          <w:rFonts w:ascii="Arial" w:cs="Arial" w:eastAsia="Arial" w:hAnsi="Arial"/>
          <w:sz w:val="19"/>
          <w:szCs w:val="19"/>
          <w:color w:val="auto"/>
        </w:rPr>
        <w:t>If the Company becomes subject to a liquidation, dissolution or winding-up,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legally available for distribution to its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ind w:right="240"/>
        <w:spacing w:after="0" w:line="250" w:lineRule="auto"/>
        <w:rPr>
          <w:sz w:val="20"/>
          <w:szCs w:val="20"/>
          <w:color w:val="auto"/>
        </w:rPr>
      </w:pPr>
      <w:r>
        <w:rPr>
          <w:rFonts w:ascii="Arial" w:cs="Arial" w:eastAsia="Arial" w:hAnsi="Arial"/>
          <w:sz w:val="22"/>
          <w:szCs w:val="22"/>
          <w:b w:val="1"/>
          <w:bCs w:val="1"/>
          <w:i w:val="1"/>
          <w:iCs w:val="1"/>
          <w:color w:val="auto"/>
        </w:rPr>
        <w:t xml:space="preserve">Fully Paid and Non-Assessable. </w:t>
      </w:r>
      <w:r>
        <w:rPr>
          <w:rFonts w:ascii="Arial" w:cs="Arial" w:eastAsia="Arial" w:hAnsi="Arial"/>
          <w:sz w:val="22"/>
          <w:szCs w:val="22"/>
          <w:color w:val="auto"/>
        </w:rPr>
        <w:t>All of the outstanding shares of Common Stock are duly authorized, validly issued, fully 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non-assessable.</w:t>
      </w:r>
    </w:p>
    <w:p>
      <w:pPr>
        <w:spacing w:after="0" w:line="175" w:lineRule="exact"/>
        <w:rPr>
          <w:sz w:val="20"/>
          <w:szCs w:val="20"/>
          <w:color w:val="auto"/>
        </w:rPr>
      </w:pPr>
    </w:p>
    <w:p>
      <w:pPr>
        <w:ind w:right="940"/>
        <w:spacing w:after="0" w:line="274" w:lineRule="auto"/>
        <w:rPr>
          <w:sz w:val="20"/>
          <w:szCs w:val="20"/>
          <w:color w:val="auto"/>
        </w:rPr>
      </w:pPr>
      <w:r>
        <w:rPr>
          <w:rFonts w:ascii="Arial" w:cs="Arial" w:eastAsia="Arial" w:hAnsi="Arial"/>
          <w:sz w:val="21"/>
          <w:szCs w:val="21"/>
          <w:b w:val="1"/>
          <w:bCs w:val="1"/>
          <w:i w:val="1"/>
          <w:iCs w:val="1"/>
          <w:color w:val="auto"/>
        </w:rPr>
        <w:t>Anti-Takeover Provisions</w:t>
      </w:r>
      <w:r>
        <w:rPr>
          <w:rFonts w:ascii="Arial" w:cs="Arial" w:eastAsia="Arial" w:hAnsi="Arial"/>
          <w:sz w:val="21"/>
          <w:szCs w:val="21"/>
          <w:color w:val="auto"/>
        </w:rPr>
        <w:t>. See the below section titled “Anti-Takeover Effects of Certain Provisions of the Company’s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Certificate of Incorporation, Bylaws and General Corporation Law of the State of Delaware”.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Common Stock is listed on the Nasdaq Capital Market under the symbol “ATER”.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Board is authorized, subject to limitations prescribed by Delaware law, to issue up to 10,000,000 shares of Preferred Stock in one or more series, to determine and fix from time to time the number of shares to be included in such series, and to fix the voting powers, designations, preferences and other rights, qualifications and restrictions thereof, including dividend rights, conversion rights, redemption privileges and liquidation preferences of such series, in each case without further vote or action by the stockholders. The Board can also increase or decrease the number of shares of any such series, but not below the number of shares of such series then outstanding, without any further vote or action by the stockholders.</w:t>
      </w:r>
    </w:p>
    <w:p>
      <w:pPr>
        <w:spacing w:after="0" w:line="150"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the Common Stock and the voting and other rights of the holders of Common Stock. The Company has no current plans to issue any shares of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As of December 31, 2021, the Company had outstanding warrants to purchase an aggregate of 440,959 shares of Common Stock as follows:</w:t>
      </w:r>
    </w:p>
    <w:p>
      <w:pPr>
        <w:spacing w:after="0" w:line="175" w:lineRule="exact"/>
        <w:rPr>
          <w:sz w:val="20"/>
          <w:szCs w:val="20"/>
          <w:color w:val="auto"/>
        </w:rPr>
      </w:pPr>
    </w:p>
    <w:p>
      <w:pPr>
        <w:ind w:left="880" w:right="720" w:hanging="440"/>
        <w:spacing w:after="0" w:line="239" w:lineRule="auto"/>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warrants to purchase an aggregate of 139,036 shares with an exercise price of $15.60 per share, all of which are currently exercisable and expire on September 4, 2023;</w:t>
      </w:r>
    </w:p>
    <w:p>
      <w:pPr>
        <w:ind w:left="880" w:right="280" w:hanging="440"/>
        <w:spacing w:after="0" w:line="230" w:lineRule="auto"/>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warrants to purchase an aggregate of 76,923 shares with an exercise price of $15.60 per share, all of which are currently exercisable and expire on June 14, 2024, which shall be automatically exercised on a “cashless” basis upon expiration if the fair market value of the Common Stock is greater than the exercise price of the warrant on the expiration date of the warrant;</w:t>
      </w:r>
    </w:p>
    <w:p>
      <w:pPr>
        <w:spacing w:after="0" w:line="2" w:lineRule="exact"/>
        <w:rPr>
          <w:rFonts w:ascii="Arial" w:cs="Arial" w:eastAsia="Arial" w:hAnsi="Arial"/>
          <w:sz w:val="22"/>
          <w:szCs w:val="22"/>
          <w:color w:val="auto"/>
        </w:rPr>
      </w:pPr>
    </w:p>
    <w:p>
      <w:pPr>
        <w:ind w:left="880" w:right="40" w:hanging="440"/>
        <w:spacing w:after="0" w:line="230" w:lineRule="auto"/>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warrant to purchase an aggregate of 25,000 shares with an exercise price of $9.09 per share, all of which are currently exercisable and expire on August 18, 2030; and</w:t>
      </w:r>
    </w:p>
    <w:p>
      <w:pPr>
        <w:spacing w:after="0" w:line="1" w:lineRule="exact"/>
        <w:rPr>
          <w:rFonts w:ascii="Arial" w:cs="Arial" w:eastAsia="Arial" w:hAnsi="Arial"/>
          <w:sz w:val="22"/>
          <w:szCs w:val="22"/>
          <w:color w:val="auto"/>
        </w:rPr>
      </w:pPr>
    </w:p>
    <w:p>
      <w:pPr>
        <w:ind w:left="880" w:right="140" w:hanging="440"/>
        <w:spacing w:after="0" w:line="236" w:lineRule="auto"/>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warrant to purchase 200,000 shares with an exercise price of $4.70, which is currently exercisable and will expire on December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spacing w:after="0" w:line="248" w:lineRule="auto"/>
        <w:rPr>
          <w:sz w:val="20"/>
          <w:szCs w:val="20"/>
          <w:color w:val="auto"/>
        </w:rPr>
      </w:pPr>
      <w:r>
        <w:rPr>
          <w:rFonts w:ascii="Arial" w:cs="Arial" w:eastAsia="Arial" w:hAnsi="Arial"/>
          <w:sz w:val="21"/>
          <w:szCs w:val="21"/>
          <w:color w:val="auto"/>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the Company under certain circumstances. Certain of the warrants also contain provisions that provide certain rights to warrant holders in the event of a fundamental transaction, including a merger or consolidation with or into another entity, such as the right to receive the same amount and kind of consideration paid to the holders of Common Stock in the fundamental transaction.</w:t>
      </w:r>
    </w:p>
    <w:p>
      <w:pPr>
        <w:spacing w:after="0" w:line="171" w:lineRule="exact"/>
        <w:rPr>
          <w:sz w:val="20"/>
          <w:szCs w:val="20"/>
          <w:color w:val="auto"/>
        </w:rPr>
      </w:pPr>
    </w:p>
    <w:p>
      <w:pPr>
        <w:ind w:right="920"/>
        <w:spacing w:after="0" w:line="256" w:lineRule="auto"/>
        <w:rPr>
          <w:sz w:val="20"/>
          <w:szCs w:val="20"/>
          <w:color w:val="auto"/>
        </w:rPr>
      </w:pPr>
      <w:r>
        <w:rPr>
          <w:rFonts w:ascii="Arial" w:cs="Arial" w:eastAsia="Arial" w:hAnsi="Arial"/>
          <w:sz w:val="22"/>
          <w:szCs w:val="22"/>
          <w:b w:val="1"/>
          <w:bCs w:val="1"/>
          <w:color w:val="auto"/>
        </w:rPr>
        <w:t>Anti-Takeover Effects of Certain Provisions of the Company’s Certificate of Incorporation, Bylaws and General Corporation Law of the State of Delaware</w:t>
      </w:r>
    </w:p>
    <w:p>
      <w:pPr>
        <w:spacing w:after="0" w:line="168"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Certain provisions of Delaware law, along with the Certificate of Incorporation and the Bylaws,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the Board. However, these provisions could have the effect of delaying, discouraging or preventing attempts to acquire the Company, which could deprive the stockholders of opportunities to sell their shares of Common Stock at prices higher than prevailing market prices.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Law</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Company is subject to Section 203 of the General Corporation Law of the State of Delaware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Choice of Forum</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Certificate of Incorporation provides that, unless the Company consents in writing to the selection of an alternative forum, the Court of Chancery of the State of Delaware will be the sole and exclusive forum for: (1) any derivative action or proceeding brought on the Company’s behalf; (2) any action asserting a claim of breach of a fiduciary duty by any of the Company’s directors, officers, employees, agents or stockholders to the Company or its stockholders, creditors or other constituents; (3) any action asserting a claim against the Company arising pursuant to any provision of the DGCL or the Certificate of Incorporation or the Bylaws; or (4) any action asserting a claim governed by the internal affairs doctrine. The provision will not apply to suits brought to enforce a duty or liability created by the Securities Act of 1933,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3" w:name="page114"/>
    <w:bookmarkEnd w:id="113"/>
    <w:p>
      <w:pPr>
        <w:spacing w:after="0" w:line="274" w:lineRule="auto"/>
        <w:rPr>
          <w:sz w:val="20"/>
          <w:szCs w:val="20"/>
          <w:color w:val="auto"/>
        </w:rPr>
      </w:pPr>
      <w:r>
        <w:rPr>
          <w:rFonts w:ascii="Arial" w:cs="Arial" w:eastAsia="Arial" w:hAnsi="Arial"/>
          <w:sz w:val="19"/>
          <w:szCs w:val="19"/>
          <w:color w:val="auto"/>
        </w:rPr>
        <w:t>amended,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the Company of its duties to comply with federal securities laws and the rules and regulations thereunder, and its stockholders will not be deemed to have waived the Company’s compliance with these laws, rules and regulations. The Certificate of Incorporation also provides that any person or entity purchasing or otherwise acquiring any interest in shares of the Company’s capital stock will be deemed to have notice of and to have consented to this choice of forum provision.</w:t>
      </w:r>
    </w:p>
    <w:p>
      <w:pPr>
        <w:spacing w:after="0" w:line="158"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This choice of forum provision in the Certificate of Incorporation may limit a stockholder’s ability to bring a claim in a judicial forum that it finds favorable for disputes with the Company or its directors, officers, employees or agents, which may discourage such lawsuits against the Company and its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Board of Directors Vacancies</w:t>
      </w:r>
      <w:r>
        <w:rPr>
          <w:rFonts w:ascii="Arial" w:cs="Arial" w:eastAsia="Arial" w:hAnsi="Arial"/>
          <w:sz w:val="21"/>
          <w:szCs w:val="21"/>
          <w:color w:val="auto"/>
        </w:rPr>
        <w:t>. Any vacancy or newly created directorship in the Board, however occurring, shall be filled only by</w:t>
      </w:r>
      <w:r>
        <w:rPr>
          <w:rFonts w:ascii="Arial" w:cs="Arial" w:eastAsia="Arial" w:hAnsi="Arial"/>
          <w:sz w:val="21"/>
          <w:szCs w:val="21"/>
          <w:i w:val="1"/>
          <w:iCs w:val="1"/>
          <w:color w:val="auto"/>
        </w:rPr>
        <w:t xml:space="preserve"> </w:t>
      </w:r>
      <w:r>
        <w:rPr>
          <w:rFonts w:ascii="Arial" w:cs="Arial" w:eastAsia="Arial" w:hAnsi="Arial"/>
          <w:sz w:val="21"/>
          <w:szCs w:val="21"/>
          <w:color w:val="auto"/>
        </w:rPr>
        <w:t>the vote of a majority of the directors then in office, although less than a quorum, and shall not be filled by the stockholders, unless the Board determines by resolution that any such vacancy or newly created directorship shall be filled by the stockholders. In addition, the number of directors constituting the Board shall be determined from time to time by a resolution adopted by the Board. These provisions may prevent a stockholder from increasing the size of the Board and then gaining control of the Board by filling the resulting vacancies with its own nominees. This makes it more difficult to change the composition of the Board and promotes continuity of management.</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i w:val="1"/>
          <w:iCs w:val="1"/>
          <w:color w:val="auto"/>
        </w:rPr>
        <w:t>Classified Board</w:t>
      </w:r>
      <w:r>
        <w:rPr>
          <w:rFonts w:ascii="Arial" w:cs="Arial" w:eastAsia="Arial" w:hAnsi="Arial"/>
          <w:sz w:val="19"/>
          <w:szCs w:val="19"/>
          <w:color w:val="auto"/>
        </w:rPr>
        <w:t>. The Board is divided into three classes. The directors in each class will serve for a three-year term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the directors initially assigned to Class I, whose term shall expire at the first annual meeting of stockholders following the Company’s initial public offering and those assigned to Class II, whose term shall expire to the second annual meeting of stockholders following the Company’s initial public offering),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150" w:lineRule="exact"/>
        <w:rPr>
          <w:sz w:val="20"/>
          <w:szCs w:val="20"/>
          <w:color w:val="auto"/>
        </w:rPr>
      </w:pPr>
    </w:p>
    <w:p>
      <w:pPr>
        <w:jc w:val="both"/>
        <w:ind w:right="300"/>
        <w:spacing w:after="0" w:line="297" w:lineRule="auto"/>
        <w:rPr>
          <w:sz w:val="20"/>
          <w:szCs w:val="20"/>
          <w:color w:val="auto"/>
        </w:rPr>
      </w:pPr>
      <w:r>
        <w:rPr>
          <w:rFonts w:ascii="Arial" w:cs="Arial" w:eastAsia="Arial" w:hAnsi="Arial"/>
          <w:sz w:val="19"/>
          <w:szCs w:val="19"/>
          <w:i w:val="1"/>
          <w:iCs w:val="1"/>
          <w:color w:val="auto"/>
        </w:rPr>
        <w:t>Stockholder Meetings</w:t>
      </w:r>
      <w:r>
        <w:rPr>
          <w:rFonts w:ascii="Arial" w:cs="Arial" w:eastAsia="Arial" w:hAnsi="Arial"/>
          <w:sz w:val="19"/>
          <w:szCs w:val="19"/>
          <w:color w:val="auto"/>
        </w:rPr>
        <w:t>. The Certificate of Incorporation and the Bylaws provide that a special meeting of stockholders may be</w:t>
      </w:r>
      <w:r>
        <w:rPr>
          <w:rFonts w:ascii="Arial" w:cs="Arial" w:eastAsia="Arial" w:hAnsi="Arial"/>
          <w:sz w:val="19"/>
          <w:szCs w:val="19"/>
          <w:i w:val="1"/>
          <w:iCs w:val="1"/>
          <w:color w:val="auto"/>
        </w:rPr>
        <w:t xml:space="preserve"> </w:t>
      </w:r>
      <w:r>
        <w:rPr>
          <w:rFonts w:ascii="Arial" w:cs="Arial" w:eastAsia="Arial" w:hAnsi="Arial"/>
          <w:sz w:val="19"/>
          <w:szCs w:val="19"/>
          <w:color w:val="auto"/>
        </w:rPr>
        <w:t>called only by the Board, the chairperson of the Board, chief executive officer or president (in the absence of a chief executive officer), thus prohibiting a stockholder (in the capacity as a stockholder) from calling a special meeting. These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4" w:name="page115"/>
    <w:bookmarkEnd w:id="114"/>
    <w:p>
      <w:pPr>
        <w:ind w:right="280"/>
        <w:spacing w:after="0" w:line="250" w:lineRule="auto"/>
        <w:rPr>
          <w:sz w:val="20"/>
          <w:szCs w:val="20"/>
          <w:color w:val="auto"/>
        </w:rPr>
      </w:pPr>
      <w:r>
        <w:rPr>
          <w:rFonts w:ascii="Arial" w:cs="Arial" w:eastAsia="Arial" w:hAnsi="Arial"/>
          <w:sz w:val="22"/>
          <w:szCs w:val="22"/>
          <w:color w:val="auto"/>
        </w:rPr>
        <w:t>might delay the ability of the stockholders to force consideration of a proposal or for stockholders controlling a majority of the capital stock to take any action, including the removal of directors.</w:t>
      </w:r>
    </w:p>
    <w:p>
      <w:pPr>
        <w:spacing w:after="0" w:line="17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Elimination of Stockholder Action by Written Consent</w:t>
      </w:r>
      <w:r>
        <w:rPr>
          <w:rFonts w:ascii="Arial" w:cs="Arial" w:eastAsia="Arial" w:hAnsi="Arial"/>
          <w:sz w:val="22"/>
          <w:szCs w:val="22"/>
          <w:color w:val="auto"/>
        </w:rPr>
        <w:t>. The Certificate of Incorporation and the Bylaws eliminate the right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to act by written consent without a meeting. As a result, a holder controlling a majority of the capital stock would not be able to amend the Bylaws or remove directors without holding a meeting of the stockholders called in accordance with the Bylaws.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 xml:space="preserve">Advance Notice Requirements for Stockholder Proposals and Director Nominations. </w:t>
      </w:r>
      <w:r>
        <w:rPr>
          <w:rFonts w:ascii="Arial" w:cs="Arial" w:eastAsia="Arial" w:hAnsi="Arial"/>
          <w:sz w:val="19"/>
          <w:szCs w:val="19"/>
          <w:color w:val="auto"/>
        </w:rPr>
        <w:t>The Bylaws establish advance notice</w:t>
      </w:r>
      <w:r>
        <w:rPr>
          <w:rFonts w:ascii="Arial" w:cs="Arial" w:eastAsia="Arial" w:hAnsi="Arial"/>
          <w:sz w:val="19"/>
          <w:szCs w:val="19"/>
          <w:i w:val="1"/>
          <w:iCs w:val="1"/>
          <w:color w:val="auto"/>
        </w:rPr>
        <w:t xml:space="preserve"> </w:t>
      </w:r>
      <w:r>
        <w:rPr>
          <w:rFonts w:ascii="Arial" w:cs="Arial" w:eastAsia="Arial" w:hAnsi="Arial"/>
          <w:sz w:val="19"/>
          <w:szCs w:val="19"/>
          <w:color w:val="auto"/>
        </w:rPr>
        <w:t>procedures with respect to 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The Company expects that these provisions may also discourage or deter a potential acquirer from conducting a solicitation of proxies to elect the acquirer’s own slate of directors or otherwise attempting to obtain control of the Company.</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22"/>
          <w:szCs w:val="22"/>
          <w:i w:val="1"/>
          <w:iCs w:val="1"/>
          <w:color w:val="auto"/>
        </w:rPr>
        <w:t>No Cumulative Voting</w:t>
      </w:r>
      <w:r>
        <w:rPr>
          <w:rFonts w:ascii="Arial" w:cs="Arial" w:eastAsia="Arial" w:hAnsi="Arial"/>
          <w:sz w:val="22"/>
          <w:szCs w:val="22"/>
          <w:color w:val="auto"/>
        </w:rPr>
        <w:t>. The Certificate of Incorporation does not permit stockholders to cumulate their votes in the election of</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directors. Accordingly, the holders of a majority of the outstanding shares of Common Stock entitled to vote in any election of directors can elect all of the directors standing for election, if they choose, other than any directors that holders of Preferred Stock may be entitled to elect.</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i w:val="1"/>
          <w:iCs w:val="1"/>
          <w:color w:val="auto"/>
        </w:rPr>
        <w:t>Directors Removed Only for Cause</w:t>
      </w:r>
      <w:r>
        <w:rPr>
          <w:rFonts w:ascii="Arial" w:cs="Arial" w:eastAsia="Arial" w:hAnsi="Arial"/>
          <w:sz w:val="22"/>
          <w:szCs w:val="22"/>
          <w:color w:val="auto"/>
        </w:rPr>
        <w:t>. The Certificate of Incorporation and the Bylaws provide that no member of the Board may</w:t>
      </w:r>
      <w:r>
        <w:rPr>
          <w:rFonts w:ascii="Arial" w:cs="Arial" w:eastAsia="Arial" w:hAnsi="Arial"/>
          <w:sz w:val="22"/>
          <w:szCs w:val="22"/>
          <w:i w:val="1"/>
          <w:iCs w:val="1"/>
          <w:color w:val="auto"/>
        </w:rPr>
        <w:t xml:space="preserve"> </w:t>
      </w:r>
      <w:r>
        <w:rPr>
          <w:rFonts w:ascii="Arial" w:cs="Arial" w:eastAsia="Arial" w:hAnsi="Arial"/>
          <w:sz w:val="22"/>
          <w:szCs w:val="22"/>
          <w:color w:val="auto"/>
        </w:rPr>
        <w:t>be removed from office by the stockholders except for cause and upon the approval of not less than two-thirds in voting power of the outstanding shares of capital stock then entitled to vote in the election of directors.</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Issuance of Undesignated Preferred Stock</w:t>
      </w:r>
      <w:r>
        <w:rPr>
          <w:rFonts w:ascii="Arial" w:cs="Arial" w:eastAsia="Arial" w:hAnsi="Arial"/>
          <w:sz w:val="22"/>
          <w:szCs w:val="22"/>
          <w:color w:val="auto"/>
        </w:rPr>
        <w:t>. The ability of the Board, without action by the stockholders, to issue up to 10,000,000</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undesignated Preferred Stock with voting or other rights or preferences as designated by the Board could impede the success of any attempt to change control of the Company. This may have the effect of deferring hostile takeovers or delaying changes in control or management of the Company.</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Amendment of Charter Provisions</w:t>
      </w:r>
      <w:r>
        <w:rPr>
          <w:rFonts w:ascii="Arial" w:cs="Arial" w:eastAsia="Arial" w:hAnsi="Arial"/>
          <w:sz w:val="21"/>
          <w:szCs w:val="21"/>
          <w:color w:val="auto"/>
        </w:rPr>
        <w:t>. The amendment of any of the above provisions, except for the provisions making it possible</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Board to issue Preferred Stock or for the stockholders to cumulate their votes, require approval by holders of at least two-thirds of the total voting power of all of the outstanding voting stock. The provisions of the DGCL, the Certificate of Incorporation and the Bylaws could have the effect of discouraging others from attempting hostile takeovers and, as a consequence, they may also inhibit temporary fluctuations in the market price of the Common Stock that often result from actual or rumored hostile takeover attempts. These provisions may also have the effect of preventing changes in the composition of the Board. It is possible that these provisions could make it more difficult to accomplish transactions that stockholders may otherwise deem to be in their best interests.</w:t>
      </w:r>
    </w:p>
    <w:p>
      <w:pPr>
        <w:sectPr>
          <w:pgSz w:w="11900" w:h="16838" w:orient="portrait"/>
          <w:cols w:equalWidth="0" w:num="1">
            <w:col w:w="11220"/>
          </w:cols>
          <w:pgMar w:left="320" w:top="361" w:right="3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3"/>
          </w:tcPr>
          <w:p>
            <w:pPr>
              <w:ind w:left="640"/>
              <w:spacing w:after="0"/>
              <w:rPr>
                <w:sz w:val="20"/>
                <w:szCs w:val="20"/>
                <w:color w:val="auto"/>
              </w:rPr>
            </w:pPr>
            <w:r>
              <w:rPr>
                <w:rFonts w:ascii="Arial" w:cs="Arial" w:eastAsia="Arial" w:hAnsi="Arial"/>
                <w:sz w:val="18"/>
                <w:szCs w:val="18"/>
                <w:b w:val="1"/>
                <w:bCs w:val="1"/>
                <w:color w:val="auto"/>
              </w:rPr>
              <w:t>List of Subsidiaries of Aterian, Inc.</w:t>
            </w:r>
          </w:p>
        </w:tc>
      </w:tr>
      <w:tr>
        <w:trPr>
          <w:trHeight w:val="366"/>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4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Jurisdiction</w:t>
            </w: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8"/>
                <w:szCs w:val="18"/>
                <w:color w:val="auto"/>
              </w:rPr>
              <w:t>Aterian Group, Inc.</w:t>
            </w: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Xtava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Sunlabz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RIF6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Vremi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hOmelabs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Vidazen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Urban Source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ZephyrBeauty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Discocart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Vueti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Punched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SweetHomeDealz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KitchenVox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Exorider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Kinetic Wave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3GirlsFromNY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ChicAlley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BoxWhale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Aussie Health Co,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Truweo,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Spiralizer,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PurSteam,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Products for Change,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Pohl &amp; Schmidt,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Mueller Austria,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Maison Contempo,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KNDirect,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Commerce Planet,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Chromatic Jammer,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Trucom,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Posture Products,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Rencare,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Kitchen Products,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Healing Solutions (Remedy)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First Hour Commerce (Remedy)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Model Trading Company (Remedy)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Choice Product Selection (Remedy)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Finest Screen (Remedy)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Sari Foods,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Squatty Potty USA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Photo Paper Direct, LLC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Photo Paper Direct Limited</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Mohawk Innovations Limited</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Shenzhen Mohawk Technology Ltd. Co.</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Mohawk Innovations Canada Inc.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Mohawk Group Poland Sp. z.o.o.</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Mohawk Research &amp; Development Ltd.</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Israel</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Mohawk Group Inc. Philippines Branch</w:t>
            </w:r>
          </w:p>
        </w:tc>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Philippines</w:t>
            </w:r>
          </w:p>
        </w:tc>
      </w:tr>
    </w:tbl>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333-239614 on Form S-3 and Registration Statement Nos. 333-23087, 333-251295 and 333-256612 on Form S-8 of our report dated March 16, 2022, relating to the financial statements of Aterian, Inc. appearing in this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ectPr>
          <w:pgSz w:w="11900" w:h="16838" w:orient="portrait"/>
          <w:cols w:equalWidth="0" w:num="1">
            <w:col w:w="11240"/>
          </w:cols>
          <w:pgMar w:left="320" w:top="35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FINANCIAL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Aterian,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63" w:lineRule="auto"/>
        <w:tabs>
          <w:tab w:leader="none" w:pos="7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120" w:right="320" w:hanging="7"/>
        <w:spacing w:after="0" w:line="263" w:lineRule="auto"/>
        <w:tabs>
          <w:tab w:leader="none" w:pos="1290" w:val="left"/>
        </w:tabs>
        <w:numPr>
          <w:ilvl w:val="2"/>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140" w:hanging="7"/>
        <w:spacing w:after="0" w:line="263" w:lineRule="auto"/>
        <w:tabs>
          <w:tab w:leader="none" w:pos="13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120" w:right="260" w:hanging="7"/>
        <w:spacing w:after="0" w:line="334" w:lineRule="auto"/>
        <w:tabs>
          <w:tab w:leader="none" w:pos="1290" w:val="left"/>
        </w:tabs>
        <w:numPr>
          <w:ilvl w:val="2"/>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20" w:right="100" w:hanging="7"/>
        <w:spacing w:after="0" w:line="263" w:lineRule="auto"/>
        <w:tabs>
          <w:tab w:leader="none" w:pos="13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560" w:right="180" w:hanging="1"/>
        <w:spacing w:after="0" w:line="325" w:lineRule="auto"/>
        <w:tabs>
          <w:tab w:leader="none" w:pos="737"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42" w:lineRule="auto"/>
        <w:tabs>
          <w:tab w:leader="none" w:pos="1280" w:val="left"/>
        </w:tabs>
        <w:numPr>
          <w:ilvl w:val="2"/>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right="340" w:firstLine="8"/>
        <w:spacing w:after="0" w:line="277" w:lineRule="auto"/>
        <w:tabs>
          <w:tab w:leader="none" w:pos="1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FINANCIAL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77" w:lineRule="exact"/>
        <w:rPr>
          <w:sz w:val="20"/>
          <w:szCs w:val="20"/>
          <w:color w:val="auto"/>
        </w:rPr>
      </w:pPr>
    </w:p>
    <w:p>
      <w:pPr>
        <w:ind w:left="740" w:hanging="181"/>
        <w:spacing w:after="0"/>
        <w:tabs>
          <w:tab w:leader="none" w:pos="7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Aterian,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63" w:lineRule="auto"/>
        <w:tabs>
          <w:tab w:leader="none" w:pos="73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120" w:right="320" w:hanging="7"/>
        <w:spacing w:after="0" w:line="263" w:lineRule="auto"/>
        <w:tabs>
          <w:tab w:leader="none" w:pos="129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140" w:hanging="7"/>
        <w:spacing w:after="0" w:line="263" w:lineRule="auto"/>
        <w:tabs>
          <w:tab w:leader="none" w:pos="13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120" w:right="260" w:hanging="7"/>
        <w:spacing w:after="0" w:line="334" w:lineRule="auto"/>
        <w:tabs>
          <w:tab w:leader="none" w:pos="1290" w:val="left"/>
        </w:tabs>
        <w:numPr>
          <w:ilvl w:val="2"/>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20" w:right="100" w:hanging="7"/>
        <w:spacing w:after="0" w:line="263" w:lineRule="auto"/>
        <w:tabs>
          <w:tab w:leader="none" w:pos="13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560" w:right="180" w:hanging="1"/>
        <w:spacing w:after="0" w:line="325" w:lineRule="auto"/>
        <w:tabs>
          <w:tab w:leader="none" w:pos="737"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42" w:lineRule="auto"/>
        <w:tabs>
          <w:tab w:leader="none" w:pos="1280" w:val="left"/>
        </w:tabs>
        <w:numPr>
          <w:ilvl w:val="2"/>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right="340" w:firstLine="8"/>
        <w:spacing w:after="0" w:line="277" w:lineRule="auto"/>
        <w:tabs>
          <w:tab w:leader="none" w:pos="1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551"/>
        <w:spacing w:after="0" w:line="286" w:lineRule="auto"/>
        <w:rPr>
          <w:sz w:val="20"/>
          <w:szCs w:val="20"/>
          <w:color w:val="auto"/>
        </w:rPr>
      </w:pPr>
      <w:r>
        <w:rPr>
          <w:rFonts w:ascii="Arial" w:cs="Arial" w:eastAsia="Arial" w:hAnsi="Arial"/>
          <w:sz w:val="17"/>
          <w:szCs w:val="17"/>
          <w:color w:val="auto"/>
        </w:rPr>
        <w:t>In connection with the Annual Report on Form 10-K of Mohawk Group Holdings, Inc. (the “Company”) for the period ended December 31, 2021 as filed with the Securities and Exchange Commission on the date hereof (the “Report”), the undersigned hereby certify, pursuant to 18 U.S.C. Section 1350, as adopted pursuant to Section 906 of the Sarbanes-Oxley Act of 2002, to their knowledge that:</w:t>
      </w:r>
    </w:p>
    <w:p>
      <w:pPr>
        <w:spacing w:after="0" w:line="17" w:lineRule="exact"/>
        <w:rPr>
          <w:sz w:val="20"/>
          <w:szCs w:val="20"/>
          <w:color w:val="auto"/>
        </w:rPr>
      </w:pPr>
    </w:p>
    <w:p>
      <w:pPr>
        <w:ind w:left="820" w:hanging="261"/>
        <w:spacing w:after="0"/>
        <w:tabs>
          <w:tab w:leader="none" w:pos="8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760" w:hanging="1"/>
        <w:spacing w:after="0" w:line="277" w:lineRule="auto"/>
        <w:tabs>
          <w:tab w:leader="none" w:pos="8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Arturo Rodriguez</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Arturo Rodriguez</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March 16, 2022</w:t>
            </w:r>
          </w:p>
        </w:tc>
        <w:tc>
          <w:tcPr>
            <w:tcW w:w="4000" w:type="dxa"/>
            <w:vAlign w:val="bottom"/>
          </w:tcPr>
          <w:p>
            <w:pPr>
              <w:spacing w:after="0"/>
              <w:rPr>
                <w:sz w:val="20"/>
                <w:szCs w:val="20"/>
                <w:color w:val="auto"/>
              </w:rPr>
            </w:pPr>
            <w:r>
              <w:rPr>
                <w:rFonts w:ascii="Arial" w:cs="Arial" w:eastAsia="Arial" w:hAnsi="Arial"/>
                <w:sz w:val="18"/>
                <w:szCs w:val="18"/>
                <w:color w:val="auto"/>
              </w:rPr>
              <w:t>March 16, 2022</w:t>
            </w:r>
          </w:p>
        </w:tc>
      </w:tr>
    </w:tbl>
    <w:p>
      <w:pPr>
        <w:spacing w:after="0" w:line="175" w:lineRule="exact"/>
        <w:rPr>
          <w:sz w:val="20"/>
          <w:szCs w:val="20"/>
          <w:color w:val="auto"/>
        </w:rPr>
      </w:pPr>
    </w:p>
    <w:p>
      <w:pPr>
        <w:ind w:right="32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lvl w:ilvl="1">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lvl w:ilvl="1">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Roman"/>
      <w:start w:val="2"/>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lowerRoman"/>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lowerRoman"/>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2"/>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2"/>
    </w:lvl>
  </w:abstractNum>
  <w:abstractNum w:abstractNumId="33">
    <w:nsid w:val="4F4EF005"/>
    <w:multiLevelType w:val="hybridMultilevel"/>
    <w:lvl w:ilvl="0">
      <w:lvlJc w:val="left"/>
      <w:lvlText w:val="%1."/>
      <w:numFmt w:val="decimal"/>
      <w:start w:val="3"/>
    </w:lvl>
  </w:abstractNum>
  <w:abstractNum w:abstractNumId="34">
    <w:nsid w:val="23F9C13C"/>
    <w:multiLevelType w:val="hybridMultilevel"/>
    <w:lvl w:ilvl="0">
      <w:lvlJc w:val="left"/>
      <w:lvlText w:val="%1."/>
      <w:numFmt w:val="decimal"/>
      <w:start w:val="4"/>
    </w:lvl>
  </w:abstractNum>
  <w:abstractNum w:abstractNumId="35">
    <w:nsid w:val="649BB77C"/>
    <w:multiLevelType w:val="hybridMultilevel"/>
    <w:lvl w:ilvl="0">
      <w:lvlJc w:val="left"/>
      <w:lvlText w:val="%1."/>
      <w:numFmt w:val="decimal"/>
      <w:start w:val="5"/>
    </w:lvl>
  </w:abstractNum>
  <w:abstractNum w:abstractNumId="36">
    <w:nsid w:val="275AC794"/>
    <w:multiLevelType w:val="hybridMultilevel"/>
    <w:lvl w:ilvl="0">
      <w:lvlJc w:val="left"/>
      <w:lvlText w:val="%1."/>
      <w:numFmt w:val="decimal"/>
      <w:start w:val="6"/>
    </w:lvl>
  </w:abstractNum>
  <w:abstractNum w:abstractNumId="37">
    <w:nsid w:val="39386575"/>
    <w:multiLevelType w:val="hybridMultilevel"/>
    <w:lvl w:ilvl="0">
      <w:lvlJc w:val="left"/>
      <w:lvlText w:val="%1."/>
      <w:numFmt w:val="decimal"/>
      <w:start w:val="7"/>
    </w:lvl>
  </w:abstractNum>
  <w:abstractNum w:abstractNumId="38">
    <w:nsid w:val="1CF10FD8"/>
    <w:multiLevelType w:val="hybridMultilevel"/>
    <w:lvl w:ilvl="0">
      <w:lvlJc w:val="left"/>
      <w:lvlText w:val="%1."/>
      <w:numFmt w:val="decimal"/>
      <w:start w:val="8"/>
    </w:lvl>
  </w:abstractNum>
  <w:abstractNum w:abstractNumId="39">
    <w:nsid w:val="180115BE"/>
    <w:multiLevelType w:val="hybridMultilevel"/>
    <w:lvl w:ilvl="0">
      <w:lvlJc w:val="left"/>
      <w:lvlText w:val="%1."/>
      <w:numFmt w:val="decimal"/>
      <w:start w:val="9"/>
    </w:lvl>
  </w:abstractNum>
  <w:abstractNum w:abstractNumId="40">
    <w:nsid w:val="235BA861"/>
    <w:multiLevelType w:val="hybridMultilevel"/>
    <w:lvl w:ilvl="0">
      <w:lvlJc w:val="left"/>
      <w:lvlText w:val="(%1)"/>
      <w:numFmt w:val="lowerLetter"/>
      <w:start w:val="35"/>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Roman"/>
      <w:start w:val="2"/>
    </w:lvl>
  </w:abstractNum>
  <w:abstractNum w:abstractNumId="43">
    <w:nsid w:val="15B5AF5C"/>
    <w:multiLevelType w:val="hybridMultilevel"/>
    <w:lvl w:ilvl="0">
      <w:lvlJc w:val="left"/>
      <w:lvlText w:val="(%1)"/>
      <w:numFmt w:val="lowerRoman"/>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0"/>
    </w:lvl>
  </w:abstractNum>
  <w:abstractNum w:abstractNumId="46">
    <w:nsid w:val="10233C99"/>
    <w:multiLevelType w:val="hybridMultilevel"/>
    <w:lvl w:ilvl="0">
      <w:lvlJc w:val="left"/>
      <w:lvlText w:val="%1."/>
      <w:numFmt w:val="decimal"/>
      <w:start w:val="11"/>
    </w:lvl>
  </w:abstractNum>
  <w:abstractNum w:abstractNumId="47">
    <w:nsid w:val="3F6AB60F"/>
    <w:multiLevelType w:val="hybridMultilevel"/>
    <w:lvl w:ilvl="0">
      <w:lvlJc w:val="left"/>
      <w:lvlText w:val="%1."/>
      <w:numFmt w:val="decimal"/>
      <w:start w:val="12"/>
    </w:lvl>
  </w:abstractNum>
  <w:abstractNum w:abstractNumId="48">
    <w:nsid w:val="61574095"/>
    <w:multiLevelType w:val="hybridMultilevel"/>
    <w:lvl w:ilvl="0">
      <w:lvlJc w:val="left"/>
      <w:lvlText w:val="%1."/>
      <w:numFmt w:val="decimal"/>
      <w:start w:val="13"/>
    </w:lvl>
  </w:abstractNum>
  <w:abstractNum w:abstractNumId="49">
    <w:nsid w:val="7E0C57B1"/>
    <w:multiLevelType w:val="hybridMultilevel"/>
    <w:lvl w:ilvl="0">
      <w:lvlJc w:val="left"/>
      <w:lvlText w:val="%1."/>
      <w:numFmt w:val="decimal"/>
      <w:start w:val="14"/>
    </w:lvl>
  </w:abstractNum>
  <w:abstractNum w:abstractNumId="50">
    <w:nsid w:val="77AE35EB"/>
    <w:multiLevelType w:val="hybridMultilevel"/>
    <w:lvl w:ilvl="0">
      <w:lvlJc w:val="left"/>
      <w:lvlText w:val="(%1)"/>
      <w:numFmt w:val="lowerLetter"/>
      <w:start w:val="2"/>
    </w:lvl>
  </w:abstractNum>
  <w:abstractNum w:abstractNumId="51">
    <w:nsid w:val="579BE4F1"/>
    <w:multiLevelType w:val="hybridMultilevel"/>
    <w:lvl w:ilvl="0">
      <w:lvlJc w:val="left"/>
      <w:lvlText w:val="%1."/>
      <w:numFmt w:val="decimal"/>
      <w:start w:val="15"/>
    </w:lvl>
  </w:abstractNum>
  <w:abstractNum w:abstractNumId="52">
    <w:nsid w:val="310C50B3"/>
    <w:multiLevelType w:val="hybridMultilevel"/>
    <w:lvl w:ilvl="0">
      <w:lvlJc w:val="left"/>
      <w:lvlText w:val="%1."/>
      <w:numFmt w:val="decimal"/>
      <w:start w:val="16"/>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4"/>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7"/>
    </w:lvl>
  </w:abstractNum>
  <w:abstractNum w:abstractNumId="59">
    <w:nsid w:val="1381823A"/>
    <w:multiLevelType w:val="hybridMultilevel"/>
    <w:lvl w:ilvl="0">
      <w:lvlJc w:val="left"/>
      <w:lvlText w:val="%1."/>
      <w:numFmt w:val="decimal"/>
      <w:start w:val="18"/>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Roman"/>
      <w:start w:val="1"/>
    </w:lvl>
  </w:abstractNum>
  <w:abstractNum w:abstractNumId="62">
    <w:nsid w:val="6590700B"/>
    <w:multiLevelType w:val="hybridMultilevel"/>
    <w:lvl w:ilvl="0">
      <w:lvlJc w:val="left"/>
      <w:lvlText w:val="(%1)"/>
      <w:numFmt w:val="lowerRoman"/>
      <w:start w:val="3"/>
    </w:lvl>
  </w:abstractNum>
  <w:abstractNum w:abstractNumId="63">
    <w:nsid w:val="15014ACB"/>
    <w:multiLevelType w:val="hybridMultilevel"/>
    <w:lvl w:ilvl="0">
      <w:lvlJc w:val="left"/>
      <w:lvlText w:val="*"/>
      <w:numFmt w:val="bullet"/>
      <w:start w:val="1"/>
    </w:lvl>
    <w:lvl w:ilvl="1">
      <w:lvlJc w:val="left"/>
      <w:lvlText w:val="%2"/>
      <w:numFmt w:val="decimal"/>
      <w:start w:val="104"/>
    </w:lvl>
  </w:abstractNum>
  <w:abstractNum w:abstractNumId="64">
    <w:nsid w:val="5F5E7FD0"/>
    <w:multiLevelType w:val="hybridMultilevel"/>
    <w:lvl w:ilvl="0">
      <w:lvlJc w:val="left"/>
      <w:lvlText w:val="**"/>
      <w:numFmt w:val="bullet"/>
      <w:start w:val="1"/>
    </w:lvl>
    <w:lvl w:ilvl="1">
      <w:lvlJc w:val="left"/>
      <w:lvlText w:val="%2"/>
      <w:numFmt w:val="decimal"/>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1">
    <w:nsid w:val="661E3F1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72">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3">
    <w:nsid w:val="540A471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67" Type="http://schemas.openxmlformats.org/officeDocument/2006/relationships/hyperlink" Target="http://www.sec.gov/Archives/edgar/data/0001757715/000119312521140738/d245836d10ka.htm" TargetMode="External"/><Relationship Id="rId68" Type="http://schemas.openxmlformats.org/officeDocument/2006/relationships/hyperlink" Target="https://www.sec.gov/ix?doc=/Archives/edgar/data/0001757715/000156459021048859/ater-10ka_20201231.htm" TargetMode="External"/><Relationship Id="rId70" Type="http://schemas.openxmlformats.org/officeDocument/2006/relationships/hyperlink" Target="https://www.sec.gov/ix?doc=/Archives/edgar/data/0001757715/000156459021013336/mwk-10k_20201231.htm" TargetMode="External"/><Relationship Id="rId138" Type="http://schemas.openxmlformats.org/officeDocument/2006/relationships/hyperlink" Target="http://www.sec.gov/Archives/edgar/data/1757715/000119312520307364/d61785dex21.htm" TargetMode="External"/><Relationship Id="rId139" Type="http://schemas.openxmlformats.org/officeDocument/2006/relationships/hyperlink" Target="http://www.sec.gov/Archives/edgar/data/1757715/000119312521026328/d101467dex21.htm" TargetMode="External"/><Relationship Id="rId140" Type="http://schemas.openxmlformats.org/officeDocument/2006/relationships/hyperlink" Target="http://www.sec.gov/Archives/edgar/data/1757715/000119312521156839/d404633dex21.htm" TargetMode="External"/><Relationship Id="rId141" Type="http://schemas.openxmlformats.org/officeDocument/2006/relationships/hyperlink" Target="http://www.sec.gov/Archives/edgar/data/1757715/000119312521156839/d404633dex22.htm" TargetMode="External"/><Relationship Id="rId142" Type="http://schemas.openxmlformats.org/officeDocument/2006/relationships/hyperlink" Target="http://www.sec.gov/Archives/edgar/data/1757715/000119312521142247/d180974dex31.htm" TargetMode="External"/><Relationship Id="rId143" Type="http://schemas.openxmlformats.org/officeDocument/2006/relationships/hyperlink" Target="http://www.sec.gov/Archives/edgar/data/1757715/000119312521142247/d180974dex32.htm" TargetMode="External"/><Relationship Id="rId144" Type="http://schemas.openxmlformats.org/officeDocument/2006/relationships/hyperlink" Target="http://www.sec.gov/Archives/edgar/data/1757715/000119312519173667/d826688dex31.htm" TargetMode="External"/><Relationship Id="rId145" Type="http://schemas.openxmlformats.org/officeDocument/2006/relationships/hyperlink" Target="http://www.sec.gov/Archives/edgar/data/1757715/000119312519173667/d826688dex32.htm" TargetMode="External"/><Relationship Id="rId146" Type="http://schemas.openxmlformats.org/officeDocument/2006/relationships/hyperlink" Target="http://www.sec.gov/Archives/edgar/data/1757715/000119312519157090/d639806dex41.htm" TargetMode="External"/><Relationship Id="rId147" Type="http://schemas.openxmlformats.org/officeDocument/2006/relationships/hyperlink" Target="http://www.sec.gov/Archives/edgar/data/1757715/000119312519144273/d639806dex42.htm" TargetMode="External"/><Relationship Id="rId148" Type="http://schemas.openxmlformats.org/officeDocument/2006/relationships/hyperlink" Target="http://www.sec.gov/Archives/edgar/data/1757715/000119312519144273/d639806dex43.htm" TargetMode="External"/><Relationship Id="rId149" Type="http://schemas.openxmlformats.org/officeDocument/2006/relationships/hyperlink" Target="http://www.sec.gov/Archives/edgar/data/1757715/000119312519144273/d639806dex44.htm" TargetMode="External"/><Relationship Id="rId150" Type="http://schemas.openxmlformats.org/officeDocument/2006/relationships/hyperlink" Target="http://www.sec.gov/Archives/edgar/data/1757715/000119312519144273/d639806dex45.htm" TargetMode="External"/><Relationship Id="rId151" Type="http://schemas.openxmlformats.org/officeDocument/2006/relationships/hyperlink" Target="http://www.sec.gov/Archives/edgar/data/1757715/000119312519144273/d639806dex46.htm" TargetMode="External"/><Relationship Id="rId155" Type="http://schemas.openxmlformats.org/officeDocument/2006/relationships/hyperlink" Target="http://www.sec.gov/Archives/edgar/data/1757715/000156459020052585/mwk-ex47_108.htm" TargetMode="External"/><Relationship Id="rId156" Type="http://schemas.openxmlformats.org/officeDocument/2006/relationships/hyperlink" Target="http://www.sec.gov/Archives/edgar/data/1757715/000119312521367017/d280987dex41.htm" TargetMode="External"/><Relationship Id="rId157" Type="http://schemas.openxmlformats.org/officeDocument/2006/relationships/hyperlink" Target="http://www.sec.gov/Archives/edgar/data/1757715/000119312519157090/d639806dex101.htm" TargetMode="External"/><Relationship Id="rId158" Type="http://schemas.openxmlformats.org/officeDocument/2006/relationships/hyperlink" Target="http://www.sec.gov/Archives/edgar/data/1757715/000119312519144273/d639806dex102.htm" TargetMode="External"/><Relationship Id="rId159" Type="http://schemas.openxmlformats.org/officeDocument/2006/relationships/hyperlink" Target="http://www.sec.gov/Archives/edgar/data/1757715/000119312519144273/d639806dex103.htm" TargetMode="External"/><Relationship Id="rId160" Type="http://schemas.openxmlformats.org/officeDocument/2006/relationships/hyperlink" Target="http://www.sec.gov/Archives/edgar/data/1757715/000119312519171607/d762301dex103.htm" TargetMode="External"/><Relationship Id="rId161" Type="http://schemas.openxmlformats.org/officeDocument/2006/relationships/hyperlink" Target="http://www.sec.gov/Archives/edgar/data/1757715/000119312519144273/d639806dex105.htm" TargetMode="External"/><Relationship Id="rId162" Type="http://schemas.openxmlformats.org/officeDocument/2006/relationships/hyperlink" Target="http://www.sec.gov/Archives/edgar/data/1757715/000119312519171607/d762301dex104.htm" TargetMode="External"/><Relationship Id="rId163" Type="http://schemas.openxmlformats.org/officeDocument/2006/relationships/hyperlink" Target="http://www.sec.gov/Archives/edgar/data/1757715/000119312519144273/d639806dex1017.htm" TargetMode="External"/><Relationship Id="rId164" Type="http://schemas.openxmlformats.org/officeDocument/2006/relationships/hyperlink" Target="http://www.sec.gov/Archives/edgar/data/1757715/000119312519144273/d639806dex1018.htm" TargetMode="External"/><Relationship Id="rId165" Type="http://schemas.openxmlformats.org/officeDocument/2006/relationships/hyperlink" Target="http://www.sec.gov/Archives/edgar/data/1757715/000119312519144273/d639806dex1010.htm" TargetMode="External"/><Relationship Id="rId166" Type="http://schemas.openxmlformats.org/officeDocument/2006/relationships/hyperlink" Target="http://www.sec.gov/Archives/edgar/data/1757715/000119312519144273/d639806dex1011.htm" TargetMode="External"/><Relationship Id="rId167" Type="http://schemas.openxmlformats.org/officeDocument/2006/relationships/hyperlink" Target="http://www.sec.gov/Archives/edgar/data/1757715/000119312519144273/d639806dex1014.htm" TargetMode="External"/><Relationship Id="rId168" Type="http://schemas.openxmlformats.org/officeDocument/2006/relationships/hyperlink" Target="http://www.sec.gov/Archives/edgar/data/1757715/000119312519144273/d639806dex1015.htm" TargetMode="External"/><Relationship Id="rId169" Type="http://schemas.openxmlformats.org/officeDocument/2006/relationships/hyperlink" Target="http://www.sec.gov/Archives/edgar/data/1757715/000119312519144273/d639806dex1016.htm" TargetMode="External"/><Relationship Id="rId170" Type="http://schemas.openxmlformats.org/officeDocument/2006/relationships/hyperlink" Target="http://www.sec.gov/Archives/edgar/data/1757715/000119312519144273/d639806dex1019.htm" TargetMode="External"/><Relationship Id="rId171" Type="http://schemas.openxmlformats.org/officeDocument/2006/relationships/hyperlink" Target="http://www.sec.gov/Archives/edgar/data/1757715/000119312520307364/d61785dex103.htm" TargetMode="External"/><Relationship Id="rId172" Type="http://schemas.openxmlformats.org/officeDocument/2006/relationships/hyperlink" Target="http://www.sec.gov/Archives/edgar/data/1757715/000119312520307364/d61785dex104.htm" TargetMode="External"/><Relationship Id="rId173" Type="http://schemas.openxmlformats.org/officeDocument/2006/relationships/hyperlink" Target="http://www.sec.gov/Archives/edgar/data/1757715/000119312521026328/d101467dex103.htm" TargetMode="External"/><Relationship Id="rId174" Type="http://schemas.openxmlformats.org/officeDocument/2006/relationships/hyperlink" Target="http://www.sec.gov/Archives/edgar/data/1757715/000119312521026328/d101467dex104.htm" TargetMode="External"/><Relationship Id="rId177" Type="http://schemas.openxmlformats.org/officeDocument/2006/relationships/hyperlink" Target="http://www.sec.gov/Archives/edgar/data/1757715/000119312521026328/d101467dex105.htm" TargetMode="External"/><Relationship Id="rId178" Type="http://schemas.openxmlformats.org/officeDocument/2006/relationships/hyperlink" Target="http://www.sec.gov/Archives/edgar/data/1757715/000119312521026328/d101467dex106.htm" TargetMode="External"/><Relationship Id="rId179" Type="http://schemas.openxmlformats.org/officeDocument/2006/relationships/hyperlink" Target="http://www.sec.gov/Archives/edgar/data/1757715/000119312521026328/d101467dex107.htm" TargetMode="External"/><Relationship Id="rId180" Type="http://schemas.openxmlformats.org/officeDocument/2006/relationships/hyperlink" Target="http://www.sec.gov/Archives/edgar/data/1757715/000119312521026328/d101467dex108.htm" TargetMode="External"/><Relationship Id="rId181" Type="http://schemas.openxmlformats.org/officeDocument/2006/relationships/hyperlink" Target="http://www.sec.gov/Archives/edgar/data/1757715/000119312521156839/d404633dex101.htm" TargetMode="External"/><Relationship Id="rId182" Type="http://schemas.openxmlformats.org/officeDocument/2006/relationships/hyperlink" Target="http://www.sec.gov/Archives/edgar/data/1757715/000119312521156839/d404633dex102.htm" TargetMode="External"/><Relationship Id="rId183" Type="http://schemas.openxmlformats.org/officeDocument/2006/relationships/hyperlink" Target="http://www.sec.gov/Archives/edgar/data/1757715/000119312521156839/d404633dex103.htm" TargetMode="External"/><Relationship Id="rId184" Type="http://schemas.openxmlformats.org/officeDocument/2006/relationships/hyperlink" Target="http://www.sec.gov/Archives/edgar/data/1757715/000119312521156839/d404633dex104.htm" TargetMode="External"/><Relationship Id="rId185" Type="http://schemas.openxmlformats.org/officeDocument/2006/relationships/hyperlink" Target="http://www.sec.gov/Archives/edgar/data/1757715/000119312521156839/d404633dex105.htm" TargetMode="External"/><Relationship Id="rId186" Type="http://schemas.openxmlformats.org/officeDocument/2006/relationships/hyperlink" Target="http://www.sec.gov/Archives/edgar/data/1757715/000119312521156839/d404633dex106.htm" TargetMode="External"/><Relationship Id="rId187" Type="http://schemas.openxmlformats.org/officeDocument/2006/relationships/hyperlink" Target="http://www.sec.gov/Archives/edgar/data/1757715/000119312521156839/d404633dex107.htm" TargetMode="External"/><Relationship Id="rId188" Type="http://schemas.openxmlformats.org/officeDocument/2006/relationships/hyperlink" Target="http://www.sec.gov/Archives/edgar/data/1757715/000156459021042357/ater-ex1015_89.htm" TargetMode="External"/><Relationship Id="rId189" Type="http://schemas.openxmlformats.org/officeDocument/2006/relationships/hyperlink" Target="http://www.sec.gov/Archives/edgar/data/1757715/000156459021042357/ater-ex1016_86.htm" TargetMode="External"/><Relationship Id="rId190" Type="http://schemas.openxmlformats.org/officeDocument/2006/relationships/hyperlink" Target="http://www.sec.gov/Archives/edgar/data/1757715/000119312521367017/d2809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2022-03-16T16:16:42Z</dcterms:created>
  <dcterms:modified xsi:type="dcterms:W3CDTF">2022-03-16T16:16:42Z</dcterms:modified>
</cp:coreProperties>
</file>