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er20240331_10q.htm"/>
      <w:bookmarkStart w:id="1" w:name="ksater20240331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001-38937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3275"/>
        <w:gridCol w:w="60"/>
        <w:gridCol w:w="1955"/>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83-1739858</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Number)</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350 Springfield Avenue, Suite 200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Summit, NJ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07901</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(347) 676-1681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 xml:space="preserve">s telephone number, including area code)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605"/>
        <w:gridCol w:w="60"/>
        <w:gridCol w:w="1610"/>
        <w:gridCol w:w="60"/>
        <w:gridCol w:w="3695"/>
      </w:tblGrid>
      <w:tr>
        <w:trPr/>
        <w:tc>
          <w:tcPr>
            <w:tcW w:w="3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ATER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225"/>
        <w:gridCol w:w="230"/>
        <w:gridCol w:w="60"/>
        <w:gridCol w:w="2225"/>
        <w:gridCol w:w="29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May 8, 2024, the registrant had 8,435,679 shares of common stock, $0.0001 par value per share, outstanding.</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875"/>
        <w:gridCol w:w="7280"/>
        <w:gridCol w:w="440"/>
      </w:tblGrid>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280"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caps w:val="false"/>
                  <w:smallCaps w:val="false"/>
                  <w:sz w:val="20"/>
                </w:rPr>
                <w:t>FINANCIAL INFORMATION</w:t>
              </w:r>
            </w:hyperlink>
          </w:p>
        </w:tc>
        <w:tc>
          <w:tcPr>
            <w:tcW w:w="440"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fs">
              <w:r>
                <w:rPr>
                  <w:rStyle w:val="InternetLink"/>
                  <w:rFonts w:ascii="Times New Roman" w:hAnsi="Times New Roman"/>
                  <w:caps w:val="false"/>
                  <w:smallCaps w:val="false"/>
                  <w:sz w:val="20"/>
                </w:rPr>
                <w:t>Financial Statements (Unaudited)</w:t>
              </w:r>
            </w:hyperlink>
          </w:p>
        </w:tc>
        <w:tc>
          <w:tcPr>
            <w:tcW w:w="440" w:type="dxa"/>
            <w:tcBorders/>
            <w:vAlign w:val="center"/>
          </w:tcPr>
          <w:p>
            <w:pPr>
              <w:pStyle w:val="TableContents"/>
              <w:bidi w:val="0"/>
              <w:spacing w:before="0" w:after="0"/>
              <w:ind w:left="0" w:right="0" w:hanging="0"/>
              <w:jc w:val="right"/>
              <w:rPr/>
            </w:pPr>
            <w:hyperlink w:anchor="f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comploss">
              <w:r>
                <w:rPr>
                  <w:rStyle w:val="InternetLink"/>
                  <w:rFonts w:ascii="Times New Roman" w:hAnsi="Times New Roman"/>
                  <w:caps w:val="false"/>
                  <w:smallCaps w:val="false"/>
                  <w:sz w:val="20"/>
                </w:rPr>
                <w:t>Condensed Consolidated Statements of Comprehensive Loss</w:t>
              </w:r>
            </w:hyperlink>
          </w:p>
        </w:tc>
        <w:tc>
          <w:tcPr>
            <w:tcW w:w="440" w:type="dxa"/>
            <w:tcBorders/>
            <w:vAlign w:val="center"/>
          </w:tcPr>
          <w:p>
            <w:pPr>
              <w:pStyle w:val="TableContents"/>
              <w:bidi w:val="0"/>
              <w:spacing w:before="0" w:after="0"/>
              <w:ind w:left="0" w:right="0" w:hanging="0"/>
              <w:jc w:val="right"/>
              <w:rPr/>
            </w:pPr>
            <w:hyperlink w:anchor="comploss">
              <w:r>
                <w:rPr>
                  <w:rStyle w:val="InternetLink"/>
                  <w:rFonts w:ascii="Times New Roman" w:hAnsi="Times New Roman"/>
                  <w:caps w:val="false"/>
                  <w:smallCaps w:val="false"/>
                  <w:sz w:val="20"/>
                </w:rPr>
                <w:t>5</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cashflows">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ashflows">
              <w:r>
                <w:rPr>
                  <w:rStyle w:val="InternetLink"/>
                  <w:rFonts w:ascii="Times New Roman" w:hAnsi="Times New Roman"/>
                  <w:caps w:val="false"/>
                  <w:smallCaps w:val="false"/>
                  <w:sz w:val="20"/>
                </w:rPr>
                <w:t>7</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8</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19</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qd">
              <w:r>
                <w:rPr>
                  <w:rStyle w:val="InternetLink"/>
                  <w:rFonts w:ascii="Times New Roman" w:hAnsi="Times New Roman"/>
                  <w:caps w:val="false"/>
                  <w:smallCaps w:val="false"/>
                  <w:sz w:val="20"/>
                </w:rPr>
                <w:t>26</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26</w:t>
              </w:r>
            </w:hyperlink>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280"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27</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2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27</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27</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27</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minesafety">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0"/>
              <w:ind w:left="0" w:right="0" w:hanging="0"/>
              <w:jc w:val="right"/>
              <w:rPr/>
            </w:pPr>
            <w:hyperlink w:anchor="minesafety">
              <w:r>
                <w:rPr>
                  <w:rStyle w:val="InternetLink"/>
                  <w:rFonts w:ascii="Times New Roman" w:hAnsi="Times New Roman"/>
                  <w:caps w:val="false"/>
                  <w:smallCaps w:val="false"/>
                  <w:sz w:val="20"/>
                </w:rPr>
                <w:t>27</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280" w:type="dxa"/>
            <w:tcBorders/>
            <w:vAlign w:val="center"/>
          </w:tcPr>
          <w:p>
            <w:pPr>
              <w:pStyle w:val="TableContents"/>
              <w:bidi w:val="0"/>
              <w:spacing w:before="0" w:after="0"/>
              <w:ind w:left="0" w:right="0" w:hanging="0"/>
              <w:jc w:val="left"/>
              <w:rPr/>
            </w:pPr>
            <w:hyperlink w:anchor="other">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rPr/>
            </w:pPr>
            <w:hyperlink w:anchor="other">
              <w:r>
                <w:rPr>
                  <w:rStyle w:val="InternetLink"/>
                  <w:rFonts w:ascii="Times New Roman" w:hAnsi="Times New Roman"/>
                  <w:caps w:val="false"/>
                  <w:smallCaps w:val="false"/>
                  <w:sz w:val="20"/>
                </w:rPr>
                <w:t>27</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28</w:t>
              </w:r>
            </w:hyperlink>
          </w:p>
        </w:tc>
      </w:tr>
      <w:tr>
        <w:trPr/>
        <w:tc>
          <w:tcPr>
            <w:tcW w:w="87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29</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Section 27A of the Securities Act and Section 21E of the Securities Exchange Act of 1934 (the "Exchange Act"). Many of these statements can be identified by the use of terminology such as </w:t>
      </w:r>
      <w:r>
        <w:rPr>
          <w:rFonts w:ascii="Times New Roman" w:hAnsi="Times New Roman"/>
          <w:caps w:val="false"/>
          <w:smallCaps w:val="false"/>
          <w:sz w:val="20"/>
        </w:rPr>
        <w:t>“</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xml:space="preserve">”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continues,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opportunity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the negative versions of these terms and other similar expressions. Our actual results or experience could differ significantly from the forward-looking statements. Factors that could cause or contribute to these differences include those discussed in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Part II, Item 1A of this Quarterly Report on Form 10-Q as well as information provided elsewhere in this Quarterly Report on Form 10-Q and our Annual Report on Form 10-K for the year ended December 31, 2023, which was filed with the Securities and Exchange Commission (the SEC) on March 19, 2024. You should carefully consider that information before you make an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You should not place undue reliance on these types of forward-looking statements, which speak only as of the date that they were made. These forward-looking statements are based on the beliefs and assumptions of the Company</w:t>
      </w:r>
      <w:r>
        <w:rPr>
          <w:rFonts w:ascii="Times New Roman" w:hAnsi="Times New Roman"/>
          <w:caps w:val="false"/>
          <w:smallCaps w:val="false"/>
          <w:sz w:val="20"/>
        </w:rPr>
        <w:t>’</w:t>
      </w:r>
      <w:r>
        <w:rPr>
          <w:rFonts w:ascii="Times New Roman" w:hAnsi="Times New Roman"/>
          <w:i/>
          <w:caps w:val="false"/>
          <w:smallCaps w:val="false"/>
          <w:sz w:val="20"/>
        </w:rPr>
        <w:t>s management based on information currently available to management and should be considered in connection with any written or oral forward-looking statements that the Company may issue in the future as well as other cautionary statements the Company has made and may make. Except as required by law, the Company does not undertake any obligation to release publicly any revisions to these forward-looking statements after completion of the filing of this Quarterly Report on Form 10-Q to reflect later events or circumstances or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discussion of the Company</w:t>
      </w:r>
      <w:r>
        <w:rPr>
          <w:rFonts w:ascii="Times New Roman" w:hAnsi="Times New Roman"/>
          <w:caps w:val="false"/>
          <w:smallCaps w:val="false"/>
          <w:sz w:val="20"/>
        </w:rPr>
        <w:t>’</w:t>
      </w:r>
      <w:r>
        <w:rPr>
          <w:rFonts w:ascii="Times New Roman" w:hAnsi="Times New Roman"/>
          <w:i/>
          <w:caps w:val="false"/>
          <w:smallCaps w:val="false"/>
          <w:sz w:val="20"/>
        </w:rPr>
        <w:t>s financial condition and results of operations should be read in conjunction with the Company</w:t>
      </w:r>
      <w:r>
        <w:rPr>
          <w:rFonts w:ascii="Times New Roman" w:hAnsi="Times New Roman"/>
          <w:caps w:val="false"/>
          <w:smallCaps w:val="false"/>
          <w:sz w:val="20"/>
        </w:rPr>
        <w:t>’</w:t>
      </w:r>
      <w:r>
        <w:rPr>
          <w:rFonts w:ascii="Times New Roman" w:hAnsi="Times New Roman"/>
          <w:i/>
          <w:caps w:val="false"/>
          <w:smallCaps w:val="false"/>
          <w:sz w:val="20"/>
        </w:rPr>
        <w:t>s Condensed Consolidated Financial Statements and the related Notes thereto included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3" w:name="part1"/>
      <w:bookmarkEnd w:id="3"/>
      <w:r>
        <w:rPr>
          <w:rFonts w:ascii="Times New Roman" w:hAnsi="Times New Roman"/>
          <w:b/>
          <w:caps w:val="false"/>
          <w:smallCaps w:val="false"/>
          <w:sz w:val="20"/>
        </w:rPr>
        <w:t>PART I</w:t>
      </w:r>
      <w:r>
        <w:rPr>
          <w:rFonts w:ascii="Times New Roman" w:hAnsi="Times New Roman"/>
          <w:caps w:val="false"/>
          <w:smallCaps w:val="false"/>
          <w:sz w:val="20"/>
        </w:rPr>
        <w:t>—</w:t>
      </w:r>
      <w:r>
        <w:rPr>
          <w:rFonts w:ascii="Times New Roman" w:hAnsi="Times New Roman"/>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4" w:name="fs"/>
      <w:bookmarkEnd w:id="4"/>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04"/>
        <w:gridCol w:w="60"/>
        <w:gridCol w:w="173"/>
        <w:gridCol w:w="1050"/>
        <w:gridCol w:w="80"/>
        <w:gridCol w:w="60"/>
        <w:gridCol w:w="155"/>
        <w:gridCol w:w="940"/>
        <w:gridCol w:w="83"/>
      </w:tblGrid>
      <w:tr>
        <w:trPr/>
        <w:tc>
          <w:tcPr>
            <w:tcW w:w="7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17,545</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2,382</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18,520</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5,138</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43,585</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intangibles, net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10,955</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55,674</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Credit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9,396</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4,058</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Seller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903</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7,989</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22,346</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22,724</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$0.0001 par value, 500,000,000 shares authorized and 7,508,246 and 7,656,044 shares outstanding at December 31, 2023 and March 31, 2024, respectively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736,675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738,805</w:t>
            </w:r>
          </w:p>
        </w:tc>
        <w:tc>
          <w:tcPr>
            <w:tcW w:w="83" w:type="dxa"/>
            <w:tcBorders/>
            <w:shd w:fill="FFFFFF" w:val="clear"/>
            <w:vAlign w:val="center"/>
          </w:tcPr>
          <w:p>
            <w:pPr>
              <w:pStyle w:val="TableContents"/>
              <w:bidi w:val="0"/>
              <w:spacing w:before="0" w:after="283"/>
              <w:jc w:val="left"/>
              <w:rPr/>
            </w:pPr>
            <w:r>
              <w:rPr/>
              <w:t> </w:t>
            </w:r>
          </w:p>
        </w:tc>
      </w:tr>
      <w:tr>
        <w:trPr/>
        <w:tc>
          <w:tcPr>
            <w:tcW w:w="760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(699,815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(704,977</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0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0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32,950</w:t>
            </w:r>
          </w:p>
        </w:tc>
        <w:tc>
          <w:tcPr>
            <w:tcW w:w="83" w:type="dxa"/>
            <w:tcBorders/>
            <w:shd w:fill="CCEEFF" w:val="clear"/>
            <w:vAlign w:val="center"/>
          </w:tcPr>
          <w:p>
            <w:pPr>
              <w:pStyle w:val="TableContents"/>
              <w:bidi w:val="0"/>
              <w:spacing w:before="0" w:after="283"/>
              <w:jc w:val="left"/>
              <w:rPr/>
            </w:pPr>
            <w:r>
              <w:rPr/>
              <w:t> </w:t>
            </w:r>
          </w:p>
        </w:tc>
      </w:tr>
      <w:tr>
        <w:trPr/>
        <w:tc>
          <w:tcPr>
            <w:tcW w:w="760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55,674</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number of shares and per share amounts have been retroactively restated to reflect the one for twelve (1 for 12) reverse stock split, which was effective on March 22,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income"/>
      <w:bookmarkEnd w:id="6"/>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8486" w:type="dxa"/>
        <w:jc w:val="left"/>
        <w:tblInd w:w="0" w:type="dxa"/>
        <w:tblLayout w:type="fixed"/>
        <w:tblCellMar>
          <w:top w:w="0" w:type="dxa"/>
          <w:left w:w="0" w:type="dxa"/>
          <w:bottom w:w="0" w:type="dxa"/>
          <w:right w:w="0" w:type="dxa"/>
        </w:tblCellMar>
      </w:tblPr>
      <w:tblGrid>
        <w:gridCol w:w="5690"/>
        <w:gridCol w:w="60"/>
        <w:gridCol w:w="159"/>
        <w:gridCol w:w="1080"/>
        <w:gridCol w:w="102"/>
        <w:gridCol w:w="76"/>
        <w:gridCol w:w="159"/>
        <w:gridCol w:w="1080"/>
        <w:gridCol w:w="80"/>
      </w:tblGrid>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2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34,879</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20,214</w:t>
            </w:r>
          </w:p>
        </w:tc>
        <w:tc>
          <w:tcPr>
            <w:tcW w:w="80"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15,782</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7,046</w:t>
            </w:r>
          </w:p>
        </w:tc>
        <w:tc>
          <w:tcPr>
            <w:tcW w:w="80"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19,097</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13,168</w:t>
            </w:r>
          </w:p>
        </w:tc>
        <w:tc>
          <w:tcPr>
            <w:tcW w:w="80"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20,226</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13,214</w:t>
            </w:r>
          </w:p>
        </w:tc>
        <w:tc>
          <w:tcPr>
            <w:tcW w:w="80"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5,959</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5,232</w:t>
            </w:r>
          </w:p>
        </w:tc>
        <w:tc>
          <w:tcPr>
            <w:tcW w:w="80"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16,660</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44,092</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18,446</w:t>
            </w:r>
          </w:p>
        </w:tc>
        <w:tc>
          <w:tcPr>
            <w:tcW w:w="80"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(24,995</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0"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(25,774</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(25,800</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 basic and diluted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6,394,905</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6,789,955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number of shares and per share amounts have been retroactively restated to reflect the one for twelve (1 for 12) reverse stock split, which was effective on March 22,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comploss"/>
      <w:bookmarkEnd w:id="7"/>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Comprehensive Loss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6131" w:type="dxa"/>
        <w:jc w:val="left"/>
        <w:tblInd w:w="0" w:type="dxa"/>
        <w:tblLayout w:type="fixed"/>
        <w:tblCellMar>
          <w:top w:w="0" w:type="dxa"/>
          <w:left w:w="0" w:type="dxa"/>
          <w:bottom w:w="0" w:type="dxa"/>
          <w:right w:w="0" w:type="dxa"/>
        </w:tblCellMar>
      </w:tblPr>
      <w:tblGrid>
        <w:gridCol w:w="3335"/>
        <w:gridCol w:w="60"/>
        <w:gridCol w:w="209"/>
        <w:gridCol w:w="1090"/>
        <w:gridCol w:w="134"/>
        <w:gridCol w:w="100"/>
        <w:gridCol w:w="209"/>
        <w:gridCol w:w="914"/>
        <w:gridCol w:w="8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(25,800</w:t>
            </w:r>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(25,671</w:t>
            </w:r>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8"/>
        <w:gridCol w:w="60"/>
        <w:gridCol w:w="61"/>
        <w:gridCol w:w="862"/>
        <w:gridCol w:w="81"/>
        <w:gridCol w:w="61"/>
        <w:gridCol w:w="220"/>
        <w:gridCol w:w="460"/>
        <w:gridCol w:w="60"/>
        <w:gridCol w:w="60"/>
        <w:gridCol w:w="179"/>
        <w:gridCol w:w="998"/>
        <w:gridCol w:w="60"/>
        <w:gridCol w:w="60"/>
        <w:gridCol w:w="158"/>
        <w:gridCol w:w="957"/>
        <w:gridCol w:w="80"/>
        <w:gridCol w:w="60"/>
        <w:gridCol w:w="361"/>
        <w:gridCol w:w="1579"/>
        <w:gridCol w:w="80"/>
        <w:gridCol w:w="60"/>
        <w:gridCol w:w="199"/>
        <w:gridCol w:w="1117"/>
        <w:gridCol w:w="84"/>
      </w:tblGrid>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13"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 2023</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5"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Stockholders’</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BALANCE—January 1, 2023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6,729,533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728,339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(625,251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101,952</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rStyle w:val="Emphasis"/>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5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(25,800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55,678</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57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(48,860</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5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pPr>
            <w:r>
              <w:rPr>
                <w:rStyle w:val="Emphasis"/>
              </w:rPr>
              <w:t>—</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57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rStyle w:val="Emphasis"/>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5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2,196</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BALANCE—March 31, 2023</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6,761,351</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(651,051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78,767</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The number of shares and per share amounts have been retroactively restated to reflect the one for twelve (1 for 12) reverse stock split, which was effective on March 22, 2024.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48"/>
        <w:gridCol w:w="60"/>
        <w:gridCol w:w="61"/>
        <w:gridCol w:w="862"/>
        <w:gridCol w:w="81"/>
        <w:gridCol w:w="61"/>
        <w:gridCol w:w="220"/>
        <w:gridCol w:w="460"/>
        <w:gridCol w:w="60"/>
        <w:gridCol w:w="60"/>
        <w:gridCol w:w="179"/>
        <w:gridCol w:w="998"/>
        <w:gridCol w:w="60"/>
        <w:gridCol w:w="60"/>
        <w:gridCol w:w="158"/>
        <w:gridCol w:w="957"/>
        <w:gridCol w:w="80"/>
        <w:gridCol w:w="60"/>
        <w:gridCol w:w="466"/>
        <w:gridCol w:w="1474"/>
        <w:gridCol w:w="80"/>
        <w:gridCol w:w="60"/>
        <w:gridCol w:w="229"/>
        <w:gridCol w:w="1087"/>
        <w:gridCol w:w="84"/>
      </w:tblGrid>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13"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 2024</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5"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Stockholders’</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BALANCE—January 1, 2024</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7,508,246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(699,815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36,031</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rStyle w:val="Emphasis"/>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ind w:left="0" w:right="0" w:hanging="0"/>
              <w:jc w:val="left"/>
              <w:rPr/>
            </w:pPr>
            <w:r>
              <w:rPr/>
              <w:t> </w:t>
            </w:r>
          </w:p>
        </w:tc>
        <w:tc>
          <w:tcPr>
            <w:tcW w:w="14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(5,162</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11,668</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ind w:left="0" w:right="0" w:hanging="0"/>
              <w:jc w:val="left"/>
              <w:rPr/>
            </w:pPr>
            <w:r>
              <w:rPr/>
              <w:t> </w:t>
            </w:r>
          </w:p>
        </w:tc>
        <w:tc>
          <w:tcPr>
            <w:tcW w:w="14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(42,650</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ind w:left="0" w:right="0" w:hanging="0"/>
              <w:jc w:val="left"/>
              <w:rPr/>
            </w:pPr>
            <w:r>
              <w:rPr/>
              <w:t> </w:t>
            </w:r>
          </w:p>
        </w:tc>
        <w:tc>
          <w:tcPr>
            <w:tcW w:w="1474"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pPr>
            <w:r>
              <w:rPr>
                <w:rStyle w:val="Emphasis"/>
              </w:rPr>
              <w:t>—</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common stock</w:t>
            </w:r>
          </w:p>
        </w:tc>
        <w:tc>
          <w:tcPr>
            <w:tcW w:w="60" w:type="dxa"/>
            <w:tcBorders/>
            <w:shd w:fill="CCEEFF" w:val="clear"/>
            <w:vAlign w:val="center"/>
          </w:tcPr>
          <w:p>
            <w:pPr>
              <w:pStyle w:val="TableContents"/>
              <w:bidi w:val="0"/>
              <w:spacing w:before="0" w:after="0"/>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178,780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670</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rStyle w:val="Emphasis"/>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ind w:left="0" w:right="0" w:hanging="0"/>
              <w:jc w:val="left"/>
              <w:rPr/>
            </w:pPr>
            <w:r>
              <w:rPr/>
              <w:t> </w:t>
            </w:r>
          </w:p>
        </w:tc>
        <w:tc>
          <w:tcPr>
            <w:tcW w:w="14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BALANCE—March 31, 2024</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7,656,044</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(704,977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32,950</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The number of shares and per share amounts have been retroactively restated to reflect the one for twelve (1 for 12) reverse stock split, which was effective on March 22, 2024.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9" w:name="cashflows"/>
      <w:bookmarkEnd w:id="9"/>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center"/>
        <w:rPr>
          <w:caps w:val="false"/>
          <w:smallCaps w:val="false"/>
        </w:rPr>
      </w:pPr>
      <w:r>
        <w:rPr>
          <w:caps w:val="false"/>
          <w:smallCaps w:val="false"/>
        </w:rPr>
        <w:t> </w:t>
      </w:r>
    </w:p>
    <w:tbl>
      <w:tblPr>
        <w:tblW w:w="7483" w:type="dxa"/>
        <w:jc w:val="left"/>
        <w:tblInd w:w="0" w:type="dxa"/>
        <w:tblLayout w:type="fixed"/>
        <w:tblCellMar>
          <w:top w:w="0" w:type="dxa"/>
          <w:left w:w="0" w:type="dxa"/>
          <w:bottom w:w="0" w:type="dxa"/>
          <w:right w:w="0" w:type="dxa"/>
        </w:tblCellMar>
      </w:tblPr>
      <w:tblGrid>
        <w:gridCol w:w="5060"/>
        <w:gridCol w:w="60"/>
        <w:gridCol w:w="165"/>
        <w:gridCol w:w="864"/>
        <w:gridCol w:w="120"/>
        <w:gridCol w:w="90"/>
        <w:gridCol w:w="165"/>
        <w:gridCol w:w="864"/>
        <w:gridCol w:w="95"/>
      </w:tblGrid>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March 31,</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2023</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0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2024</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(25,800</w:t>
            </w:r>
          </w:p>
        </w:tc>
        <w:tc>
          <w:tcPr>
            <w:tcW w:w="1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(5,162</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Adjustments to reconcile net loss to net cash used by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1,762</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428</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Provision for sales returns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w:t>
            </w:r>
          </w:p>
        </w:tc>
        <w:tc>
          <w:tcPr>
            <w:tcW w:w="1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Amortization of deferred financing cost and debt discounts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2,317</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1,667</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deferred tax balance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pPr>
            <w:r>
              <w:rPr/>
              <w:t>—</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inventory provisions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(1,023</w:t>
            </w:r>
          </w:p>
        </w:tc>
        <w:tc>
          <w:tcPr>
            <w:tcW w:w="1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(976</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Loss (gain) in connection with the change in warrant fair value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354</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(517</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Impairment loss on intangibles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16,660</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Accounts receivable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1,028</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1,843</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Inventory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4,312</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2,846</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Prepaid and other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751</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249</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Accounts payable, accrued and other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(7,661</w:t>
            </w:r>
          </w:p>
        </w:tc>
        <w:tc>
          <w:tcPr>
            <w:tcW w:w="1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(7,417</w:t>
            </w:r>
          </w:p>
        </w:tc>
        <w:tc>
          <w:tcPr>
            <w:tcW w:w="1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Purchase of intangibles and fixed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1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Step and Go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Purchase of minority equity investment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w:t>
            </w:r>
          </w:p>
        </w:tc>
        <w:tc>
          <w:tcPr>
            <w:tcW w:w="1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(236</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Repayments on note payable to Smash</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(398</w:t>
            </w:r>
          </w:p>
        </w:tc>
        <w:tc>
          <w:tcPr>
            <w:tcW w:w="1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Borrowings from MidCap credit facilities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20,549</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11,453</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Repayments for MidCap credit facilities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(22,602</w:t>
            </w:r>
          </w:p>
        </w:tc>
        <w:tc>
          <w:tcPr>
            <w:tcW w:w="1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(13,244</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Insurance obligation payments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(534</w:t>
            </w:r>
          </w:p>
        </w:tc>
        <w:tc>
          <w:tcPr>
            <w:tcW w:w="1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provided (used) by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(2,985</w:t>
            </w:r>
          </w:p>
        </w:tc>
        <w:tc>
          <w:tcPr>
            <w:tcW w:w="1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(2,198</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effect on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change in cash and restricted cash for the year</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(10,431</w:t>
            </w:r>
          </w:p>
        </w:tc>
        <w:tc>
          <w:tcPr>
            <w:tcW w:w="1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(2,489</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restricted cash at beginning of year</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46,629</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22,195</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restricted cash at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36,198</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19,706</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RECONCILIATION OF CASH AND RESTRICTED CASH:</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33,911</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17,545</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Restricted Cash—Prepaid and other current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2,158</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2,032</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Restricted cash—Other non-current assets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CASH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36,198</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19,706</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538</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402</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paid for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CCEEFF" w:val="clear"/>
            <w:vAlign w:val="center"/>
          </w:tcPr>
          <w:p>
            <w:pPr>
              <w:pStyle w:val="TableContents"/>
              <w:bidi w:val="0"/>
              <w:spacing w:before="0" w:after="283"/>
              <w:ind w:left="0" w:right="0" w:hanging="0"/>
              <w:jc w:val="right"/>
              <w:rPr/>
            </w:pPr>
            <w:r>
              <w:rPr/>
              <w:t>—</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Non-cash consideration paid to contractors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321</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w:t>
            </w:r>
          </w:p>
        </w:tc>
        <w:tc>
          <w:tcPr>
            <w:tcW w:w="9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Non-cash minority equity investment</w:t>
            </w:r>
          </w:p>
        </w:tc>
        <w:tc>
          <w:tcPr>
            <w:tcW w:w="60" w:type="dxa"/>
            <w:tcBorders/>
            <w:vAlign w:val="center"/>
          </w:tcPr>
          <w:p>
            <w:pPr>
              <w:pStyle w:val="TableContents"/>
              <w:bidi w:val="0"/>
              <w:spacing w:before="0" w:after="283"/>
              <w:ind w:left="0" w:right="0" w:hanging="0"/>
              <w:jc w:val="left"/>
              <w:rPr/>
            </w:pPr>
            <w:r>
              <w:rPr/>
              <w:t> </w:t>
            </w:r>
          </w:p>
        </w:tc>
        <w:tc>
          <w:tcPr>
            <w:tcW w:w="165"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vAlign w:val="center"/>
          </w:tcPr>
          <w:p>
            <w:pPr>
              <w:pStyle w:val="TableContents"/>
              <w:bidi w:val="0"/>
              <w:spacing w:before="0" w:after="283"/>
              <w:ind w:left="0" w:right="0" w:hanging="0"/>
              <w:jc w:val="right"/>
              <w:rPr/>
            </w:pPr>
            <w:r>
              <w:rPr/>
              <w:t>—</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65"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w:t>
            </w:r>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0" w:name="notes"/>
      <w:bookmarkEnd w:id="10"/>
      <w:r>
        <w:rPr>
          <w:rFonts w:ascii="Times New Roman;Times;serif" w:hAnsi="Times New Roman;Times;serif"/>
          <w:b/>
          <w:sz w:val="20"/>
        </w:rPr>
        <w:t xml:space="preserve">Aterian, Inc.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Notes to Condensed Consolidated Financial Statements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 the Three Months Ended March 31, 2023 and 2024 (Unaudited)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Inc. (the "Company") is a technology-enabled consumer products company that predominantly operates through online retail channels such as Amazon and Walmart.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Headquartered in New Jersey, Aterian also maintains offices in China, Philippines, and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for the foreseeable future until such time that we reach a scale of profitability to sustain our operations.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level of profitability to sustain our operations,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achieve such profitability or do so in a manner that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our continued reliance on outside capital. Moreover, while we have historically been successful in raising outside capital,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continue to obtain outside capital in the future or do so on terms that are acceptable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the date the accompanying Consolidated Financial Statements were issued (the “issuance date”), we evaluated the significance of the following adverse financial conditions in accordance with Accounting Standard Codification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left"/>
        <w:rPr/>
      </w:pPr>
      <w:r>
        <w:rPr/>
        <w:t xml:space="preserve">• </w:t>
      </w:r>
      <w:r>
        <w:rPr>
          <w:rFonts w:ascii="Times New Roman" w:hAnsi="Times New Roman"/>
          <w:sz w:val="20"/>
        </w:rPr>
        <w:t xml:space="preserve">Since our inception, we have incurred significant losses and used cash flows from operations to fund our enterprise. In this regard, during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 xml:space="preserve">March 31, 2024, </w:t>
      </w:r>
      <w:r>
        <w:rPr>
          <w:rFonts w:ascii="Times New Roman" w:hAnsi="Times New Roman"/>
          <w:sz w:val="20"/>
        </w:rPr>
        <w:t xml:space="preserve">we incurred a net loss of $5.2 million and used net cash flows in our operations of $6 thousand. In addition, as of </w:t>
      </w:r>
      <w:r>
        <w:rPr>
          <w:rStyle w:val="Emphasis"/>
          <w:rFonts w:ascii="Times New Roman" w:hAnsi="Times New Roman"/>
          <w:sz w:val="20"/>
        </w:rPr>
        <w:t xml:space="preserve">March 31, 2024, </w:t>
      </w:r>
      <w:r>
        <w:rPr>
          <w:rFonts w:ascii="Times New Roman" w:hAnsi="Times New Roman"/>
          <w:sz w:val="20"/>
        </w:rPr>
        <w:t>we had unrestricted cash and cash equivalents of $17.5 million available to fund our operations and an accumulated deficit of $705.0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pPr>
      <w:r>
        <w:rPr>
          <w:caps w:val="false"/>
          <w:smallCaps w:val="false"/>
        </w:rPr>
        <w:t xml:space="preserve">• </w:t>
      </w:r>
      <w:r>
        <w:rPr>
          <w:rFonts w:ascii="Times New Roman" w:hAnsi="Times New Roman"/>
          <w:caps w:val="false"/>
          <w:smallCaps w:val="false"/>
          <w:sz w:val="20"/>
        </w:rPr>
        <w:t xml:space="preserve">We are required to remain in compliance with certain financial covenants required by the MidCap Credit facility (See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Credit Facility, Term Loans and Warrants). We were in compliance with these financial covenants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expect to remain in compliance through at least </w:t>
      </w:r>
      <w:r>
        <w:rPr>
          <w:rStyle w:val="Emphasis"/>
          <w:rFonts w:ascii="Times New Roman" w:hAnsi="Times New Roman"/>
          <w:caps w:val="false"/>
          <w:smallCaps w:val="false"/>
          <w:sz w:val="20"/>
        </w:rPr>
        <w:t>March 31, 2025. </w:t>
      </w: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the Company amended its terms with Midcap Credit Facility extending the term until </w:t>
      </w:r>
      <w:r>
        <w:rPr>
          <w:rStyle w:val="Emphasis"/>
          <w:rFonts w:ascii="Times New Roman" w:hAnsi="Times New Roman"/>
          <w:caps w:val="false"/>
          <w:smallCaps w:val="false"/>
          <w:sz w:val="20"/>
        </w:rPr>
        <w:t xml:space="preserve">December 2026 </w:t>
      </w:r>
      <w:r>
        <w:rPr>
          <w:rFonts w:ascii="Times New Roman" w:hAnsi="Times New Roman"/>
          <w:caps w:val="false"/>
          <w:smallCaps w:val="false"/>
          <w:sz w:val="20"/>
        </w:rPr>
        <w:t>and amending certain financial covenants with favorable terms. However, with our short history of forecasting our business following the onset of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global pandemic, the current global inflation, related global supply chain disruptions and uncertain consumer demand, we can provide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that we will remain in compliance with our financial covenants.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its discretion, exercise any and all of its existing rights and remedies,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among others, accelerating repayment of the outstanding borrowings and/or asserting its rights in the assets securing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hanging="0"/>
        <w:jc w:val="both"/>
        <w:rPr/>
      </w:pPr>
      <w:r>
        <w:rPr>
          <w:caps w:val="false"/>
          <w:smallCaps w:val="false"/>
        </w:rPr>
        <w:t xml:space="preserve">• </w:t>
      </w:r>
      <w:r>
        <w:rPr>
          <w:rFonts w:ascii="Times New Roman" w:hAnsi="Times New Roman"/>
          <w:caps w:val="false"/>
          <w:smallCaps w:val="false"/>
          <w:sz w:val="20"/>
        </w:rPr>
        <w:t xml:space="preserve">As of the issuance date, 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firm commitments to secure additional outside capital from lenders or investors. While we expect to continue to explore raising additional outside capital, specifically to fund our M&amp;A strategy,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obtain capital or do so on terms that are acceptable to us. Accordingly, absent our ability to generate cash inflows from our operations and/or secure additional outside capital in the near term,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unable to meet our obligations as they become due over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beyond the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pPr>
      <w:r>
        <w:rPr>
          <w:caps w:val="false"/>
          <w:smallCaps w:val="false"/>
        </w:rPr>
        <w:t xml:space="preserve">• </w:t>
      </w:r>
      <w:r>
        <w:rPr>
          <w:rFonts w:ascii="Times New Roman" w:hAnsi="Times New Roman"/>
          <w:caps w:val="false"/>
          <w:smallCaps w:val="false"/>
          <w:sz w:val="20"/>
        </w:rPr>
        <w:t xml:space="preserve">The Company's plan is to continue to closely monitor our operating forecast, to pursue our M&amp;A strategy, to pursue additional sources of outside capital on terms that are acceptable to us, and to secure a waiver or forbearance from MidCap if we are unable to remain in compliance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 covenants required by the MidCap Credit Facility. Further, the Company has enacted a strategy to reduce the number of SKUs it sells and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pursuing future sales of SKUs that are either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profitable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core to the Company’s strategy. If some or all of our plans prove unsuccessful,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need to implement short-term changes to our operating plan,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delaying expenditures, reducing investments in new products, or reducing our sale and distribution infrastructure.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extBody"/>
        <w:bidi w:val="0"/>
        <w:spacing w:before="0" w:after="0"/>
        <w:ind w:left="50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initiated two restructuring programs over the last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to reduce operating costs and right size the workforce to align with the scale of our streamlined operations. In addition, we have reduced the SKU count to solely focus on profitable products that are core to the Company’s strategy.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we extended the term with Midcap Credit Facility until </w:t>
      </w:r>
      <w:r>
        <w:rPr>
          <w:rStyle w:val="Emphasis"/>
          <w:rFonts w:ascii="Times New Roman" w:hAnsi="Times New Roman"/>
          <w:caps w:val="false"/>
          <w:smallCaps w:val="false"/>
          <w:sz w:val="20"/>
        </w:rPr>
        <w:t>December 2026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Credit Facility, Term Loans and Warrants) and amended key terms which will add more flexibility to liquidity and strengthen our balance sheet. In consideration of these factors, the Company will monitor profitability and cash flow over the next several quarters to evaluate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from the outcome of these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Nasdaq Listing -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24, 2023, </w:t>
      </w:r>
      <w:r>
        <w:rPr>
          <w:rFonts w:ascii="Times New Roman" w:hAnsi="Times New Roman"/>
          <w:caps w:val="false"/>
          <w:smallCaps w:val="false"/>
          <w:sz w:val="20"/>
        </w:rPr>
        <w:t xml:space="preserve">we received a letter from the Listing Qualifications Staff of The Nasdaq Stock Market LLC (“Nasdaq”) indicating that, based upon the closing bid price of our common stock for the last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consecutive business days, the Company is currently in compliance with the requirement to maintain a minimum bid price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for continued listing on The Nasdaq Capital Market, as set forth in Nasdaq Listing Rule </w:t>
      </w:r>
      <w:r>
        <w:rPr>
          <w:rStyle w:val="Emphasis"/>
          <w:rFonts w:ascii="Times New Roman" w:hAnsi="Times New Roman"/>
          <w:caps w:val="false"/>
          <w:smallCaps w:val="false"/>
          <w:sz w:val="20"/>
        </w:rPr>
        <w:t>5550</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“Bid Price Notice”). The Bid Price Notice provided a compliance period of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calendar days from the date of the Bid Price Notice, or until </w:t>
      </w:r>
      <w:r>
        <w:rPr>
          <w:rStyle w:val="Emphasis"/>
          <w:rFonts w:ascii="Times New Roman" w:hAnsi="Times New Roman"/>
          <w:caps w:val="false"/>
          <w:smallCaps w:val="false"/>
          <w:sz w:val="20"/>
        </w:rPr>
        <w:t xml:space="preserve">October 23, 2023, </w:t>
      </w:r>
      <w:r>
        <w:rPr>
          <w:rFonts w:ascii="Times New Roman" w:hAnsi="Times New Roman"/>
          <w:caps w:val="false"/>
          <w:smallCaps w:val="false"/>
          <w:sz w:val="20"/>
        </w:rPr>
        <w:t xml:space="preserve">to regain compliance with the minimum closing bid requirement, pursuant to Nasdaq Listing Rule </w:t>
      </w:r>
      <w:r>
        <w:rPr>
          <w:rStyle w:val="Emphasis"/>
          <w:rFonts w:ascii="Times New Roman" w:hAnsi="Times New Roman"/>
          <w:caps w:val="false"/>
          <w:smallCaps w:val="false"/>
          <w:sz w:val="20"/>
        </w:rPr>
        <w:t>5810</w:t>
      </w:r>
      <w:r>
        <w:rPr>
          <w:rFonts w:ascii="Times New Roman" w:hAnsi="Times New Roman"/>
          <w:caps w:val="false"/>
          <w:smallCaps w:val="false"/>
          <w:sz w:val="20"/>
        </w:rPr>
        <w:t>(c)(</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)(A). Following a request we made on </w:t>
      </w:r>
      <w:r>
        <w:rPr>
          <w:rStyle w:val="Emphasis"/>
          <w:rFonts w:ascii="Times New Roman" w:hAnsi="Times New Roman"/>
          <w:caps w:val="false"/>
          <w:smallCaps w:val="false"/>
          <w:sz w:val="20"/>
        </w:rPr>
        <w:t xml:space="preserve">October 13, 2023,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24, 2023, </w:t>
      </w:r>
      <w:r>
        <w:rPr>
          <w:rFonts w:ascii="Times New Roman" w:hAnsi="Times New Roman"/>
          <w:caps w:val="false"/>
          <w:smallCaps w:val="false"/>
          <w:sz w:val="20"/>
        </w:rPr>
        <w:t xml:space="preserve">we received a letter from Nasdaq granting the Company an additional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days, or until </w:t>
      </w:r>
      <w:r>
        <w:rPr>
          <w:rStyle w:val="Emphasis"/>
          <w:rFonts w:ascii="Times New Roman" w:hAnsi="Times New Roman"/>
          <w:caps w:val="false"/>
          <w:smallCaps w:val="false"/>
          <w:sz w:val="20"/>
        </w:rPr>
        <w:t xml:space="preserve">April 22, 2024, </w:t>
      </w:r>
      <w:r>
        <w:rPr>
          <w:rFonts w:ascii="Times New Roman" w:hAnsi="Times New Roman"/>
          <w:caps w:val="false"/>
          <w:smallCaps w:val="false"/>
          <w:sz w:val="20"/>
        </w:rPr>
        <w:t>to regain compliance with the minimum closing bid requirement (the “Extension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11, 2023, </w:t>
      </w:r>
      <w:r>
        <w:rPr>
          <w:rFonts w:ascii="Times New Roman" w:hAnsi="Times New Roman"/>
          <w:caps w:val="false"/>
          <w:smallCaps w:val="false"/>
          <w:sz w:val="20"/>
        </w:rPr>
        <w:t xml:space="preserve">Aterian's shareholders approved discretionary authority to our Board to (A) amend our Amended and Restated Certificate of Incorporation to effect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consolidations of the issued and outstanding shares of our common stock, par value $0.0001 per share, pursuant to which the shares of Common Stock would be combined and reclassified at ratios within the range from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-for-2 up to </w:t>
      </w:r>
      <w:r>
        <w:rPr>
          <w:rStyle w:val="Emphasis"/>
          <w:rFonts w:ascii="Times New Roman" w:hAnsi="Times New Roman"/>
          <w:caps w:val="false"/>
          <w:smallCaps w:val="false"/>
          <w:sz w:val="20"/>
        </w:rPr>
        <w:t>1</w:t>
      </w:r>
      <w:r>
        <w:rPr>
          <w:rFonts w:ascii="Times New Roman" w:hAnsi="Times New Roman"/>
          <w:caps w:val="false"/>
          <w:smallCaps w:val="false"/>
          <w:sz w:val="20"/>
        </w:rPr>
        <w:t>-for-30 and (B) determine whether to arrange for the disposition of fractional interests by stockholders entitled thereto, to pay in cash the fair value of fractions of a share of Common Stock as of the time when those entitled to receive such fractions are determined, or to entitle stockholders to receive from our transfer agent, in lieu of any fractional share, the number of shares of Common Stock rounded up to the next whole number, and to amend our Amended and Restated Certificate of Incorporation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2024, </w:t>
      </w:r>
      <w:r>
        <w:rPr>
          <w:rFonts w:ascii="Times New Roman" w:hAnsi="Times New Roman"/>
          <w:caps w:val="false"/>
          <w:smallCaps w:val="false"/>
          <w:sz w:val="20"/>
        </w:rPr>
        <w:t xml:space="preserve">the Company filed a Certificate of Amendment to its Amended and Restated Certificate of Incorporation of the Company with the Secretary of State of Delaware (the “Certificate of Amendment”) to affect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- 12 reverse stock split (the “Reverse Stock Split”) of the shares of the Company’s common stock, par value $0.0001 per share (the “Common Stock”). The Certificate of Amendment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decrease the number of authorized shares of Common Stock.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any stockholder’s percentage ownership of Common Stock (except to the extent the Reverse Stock Split results in any stockholder owning fractional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Common Stock began trading on a Reverse Stock Split-adjusted basis on the Nasdaq on </w:t>
      </w:r>
      <w:r>
        <w:rPr>
          <w:rStyle w:val="Emphasis"/>
          <w:rFonts w:ascii="Times New Roman" w:hAnsi="Times New Roman"/>
          <w:caps w:val="false"/>
          <w:smallCaps w:val="false"/>
          <w:sz w:val="20"/>
        </w:rPr>
        <w:t>March 22, 2024. </w:t>
      </w:r>
      <w:r>
        <w:rPr>
          <w:rFonts w:ascii="Times New Roman" w:hAnsi="Times New Roman"/>
          <w:caps w:val="false"/>
          <w:smallCaps w:val="false"/>
          <w:sz w:val="20"/>
        </w:rPr>
        <w:t>All share and per share data has been retroactively adjusted to reflect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Restructuring -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9, 2023, </w:t>
      </w:r>
      <w:r>
        <w:rPr>
          <w:rFonts w:ascii="Times New Roman" w:hAnsi="Times New Roman"/>
          <w:caps w:val="false"/>
          <w:smallCaps w:val="false"/>
          <w:sz w:val="20"/>
        </w:rPr>
        <w:t xml:space="preserve">the Company announced a plan to reduce expenses by implementing a reduction in its current workforce impacting approximately 50 employees and 15 contractors, primarily in the Philippines. The Company recognized restructuring charges of $1.6 million for the year-ended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8, 2024, </w:t>
      </w:r>
      <w:r>
        <w:rPr>
          <w:rFonts w:ascii="Times New Roman" w:hAnsi="Times New Roman"/>
          <w:caps w:val="false"/>
          <w:smallCaps w:val="false"/>
          <w:sz w:val="20"/>
        </w:rPr>
        <w:t xml:space="preserve">the Company committed to a fixed cost-cutting plan, including a reduction in workforce which resulted in the termination of approximately 17 employees and 26 contractors globally. The Company recognized restructuring charges of $0.6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2.</w:t>
            </w:r>
          </w:p>
        </w:tc>
        <w:tc>
          <w:tcPr>
            <w:tcW w:w="50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—The Condensed Consolidated Financial Statements and accompanying notes have been prepared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Unaudited Interim Financial Information</w:t>
      </w:r>
      <w:r>
        <w:rPr>
          <w:rFonts w:ascii="Times New Roman" w:hAnsi="Times New Roman"/>
          <w:caps w:val="false"/>
          <w:smallCaps w:val="false"/>
          <w:sz w:val="20"/>
        </w:rPr>
        <w:t>—The accompanying interim Condensed Consolidated Financial Statements are unaudited and have been prepared on the same basis as the audited financial statements and, in the opinion of management, reflect all adjustments necessary for the fair presentation of the Company's financial position as of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and the results of its operations and its cash flows for the periods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financial data and other information disclosed in these notes related to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are also unaudited. The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to be expected for the year ending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any other interim periods or any future year 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Condensed Consolidated Balance Sheet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presented herein, has been derived from the Company’s audited Consolidated Financial Statements for the fiscal year then ended. These unaudited Condensed Consolidated Interim Financial Statements should be read in conjunction with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(“Annual Report”) and have been prepared on a consistent basis with the accounting policies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Notes to Consolidated Financial Statements included in our Annual Report. Our accounting policies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other than with respect to the new accounting pronouncements adopted as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Estimates</w:t>
      </w:r>
      <w:r>
        <w:rPr>
          <w:rFonts w:ascii="Times New Roman" w:hAnsi="Times New Roman"/>
          <w:caps w:val="false"/>
          <w:smallCaps w:val="false"/>
          <w:sz w:val="20"/>
        </w:rPr>
        <w:t>—Preparation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Principles of Consolidation</w:t>
      </w:r>
      <w:r>
        <w:rPr>
          <w:rFonts w:ascii="Times New Roman" w:hAnsi="Times New Roman"/>
          <w:caps w:val="false"/>
          <w:smallCaps w:val="false"/>
          <w:sz w:val="20"/>
        </w:rPr>
        <w:t>—The Condensed Consolidated Financial Statements include the accounts of the Company and its wholly-owned subsidiaries.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Restricted Cash</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has classified the following as restricted cash: $0.1 million related to its Chinese subsidiary within “Other Non-current Assets” on the Consolidated Balance Sheets, $2.0 million related to a letter of credit within "Prepaid and Other Current Assets"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 has classified the following as restricted cash: $0.1 million related to its Chinese subsidiary within “Other Non-current Assets” on the Condensed Consolidated Balance Sheets and $2.0 million related to a letter of credit within "Prepaid and Other Current Assets"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Inventory and Cost of Goods Sold</w:t>
      </w:r>
      <w:r>
        <w:rPr>
          <w:rFonts w:ascii="Times New Roman" w:hAnsi="Times New Roman"/>
          <w:caps w:val="false"/>
          <w:smallCaps w:val="false"/>
          <w:sz w:val="20"/>
        </w:rPr>
        <w:t xml:space="preserve">—The Company’s inventory consists almost entirely of finished goods. The Company currently records inventory on its balance sheet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Conversely, if we are able to sell inventories that had been written down to a level below the ultimate realized selling price in a previous period, sales would be recorded with a lower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offsetting charge to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 of goods sold” line item in the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Accounts Receivable</w:t>
      </w:r>
      <w:r>
        <w:rPr>
          <w:rFonts w:ascii="Times New Roman" w:hAnsi="Times New Roman"/>
          <w:caps w:val="false"/>
          <w:smallCaps w:val="false"/>
          <w:sz w:val="20"/>
        </w:rPr>
        <w:t xml:space="preserve">—Accounts receivable are stated at historical cost less allowance for doubtful accounts.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received payments based on agreed-upon terms.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any security or collateral to support its receivables. The Company performs ongoing evaluations of its customers and maintains an allowance for bad and doubtful receivables. As of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 had an allowance for doubtful accounts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Revenue Recognition</w:t>
      </w:r>
      <w:r>
        <w:rPr>
          <w:rFonts w:ascii="Times New Roman" w:hAnsi="Times New Roman"/>
          <w:caps w:val="false"/>
          <w:smallCaps w:val="false"/>
          <w:sz w:val="20"/>
        </w:rPr>
        <w:t xml:space="preserve">—The Company accounts for revenue in accordance with Financial Accounting Standards Board (“FASB”) Accounting Standard Codification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 from Contracts with Customers (“ASC Topic </w:t>
      </w:r>
      <w:r>
        <w:rPr>
          <w:rStyle w:val="Emphasis"/>
          <w:rFonts w:ascii="Times New Roman" w:hAnsi="Times New Roman"/>
          <w:caps w:val="false"/>
          <w:smallCaps w:val="false"/>
          <w:sz w:val="20"/>
        </w:rPr>
        <w:t>606”</w:t>
      </w:r>
      <w:r>
        <w:rPr>
          <w:rFonts w:ascii="Times New Roman" w:hAnsi="Times New Roman"/>
          <w:caps w:val="false"/>
          <w:smallCaps w:val="false"/>
          <w:sz w:val="20"/>
        </w:rPr>
        <w:t>). The Company derives its revenue from the sale of consumer products. The Company sells its products directly to consumers through online retail channels and through wholesale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direct-to-consumer sales, the Company considers customer order confirmations to be a contract with the customer. Customer confirmations are executed at the time an order is placed through </w:t>
      </w:r>
      <w:r>
        <w:rPr>
          <w:rStyle w:val="Emphasis"/>
          <w:rFonts w:ascii="Times New Roman" w:hAnsi="Times New Roman"/>
          <w:caps w:val="false"/>
          <w:smallCaps w:val="false"/>
          <w:sz w:val="20"/>
        </w:rPr>
        <w:t>third</w:t>
      </w:r>
      <w:r>
        <w:rPr>
          <w:rFonts w:ascii="Times New Roman" w:hAnsi="Times New Roman"/>
          <w:caps w:val="false"/>
          <w:smallCaps w:val="false"/>
          <w:sz w:val="20"/>
        </w:rPr>
        <w:t>-party online channels. For wholesale sales, the Company considers the customer purchase order to be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$0.3 million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which is included in accrued liabilities and represents the expected value of the refund that will be due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evaluated principal versus agent considerations to determine whether it is appropriate to record platform fees paid to Amazon as an expense or as a reduction of revenue. Platform fees are recorded as sales and distribution expenses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as a reduction of revenue because it owns and controls all the goods before they are transferred to the customer. The Company can, at any time, direct Amazon,  or similarly direct other </w:t>
      </w:r>
      <w:r>
        <w:rPr>
          <w:rStyle w:val="Emphasis"/>
          <w:rFonts w:ascii="Times New Roman" w:hAnsi="Times New Roman"/>
          <w:caps w:val="false"/>
          <w:smallCaps w:val="false"/>
          <w:sz w:val="20"/>
        </w:rPr>
        <w:t>third</w:t>
      </w:r>
      <w:r>
        <w:rPr>
          <w:rFonts w:ascii="Times New Roman" w:hAnsi="Times New Roman"/>
          <w:caps w:val="false"/>
          <w:smallCaps w:val="false"/>
          <w:sz w:val="20"/>
        </w:rPr>
        <w:t>-party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Revenue by Category</w:t>
      </w:r>
      <w:r>
        <w:rPr>
          <w:rFonts w:ascii="Times New Roman" w:hAnsi="Times New Roman"/>
          <w:caps w:val="false"/>
          <w:smallCaps w:val="false"/>
          <w:sz w:val="20"/>
        </w:rPr>
        <w:t>. The following table sets forth the Company’s net revenue disaggregated by sales channel and geographic region based on the billing addresses of its customers:</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1445"/>
        <w:gridCol w:w="60"/>
        <w:gridCol w:w="171"/>
        <w:gridCol w:w="808"/>
        <w:gridCol w:w="82"/>
        <w:gridCol w:w="82"/>
        <w:gridCol w:w="288"/>
        <w:gridCol w:w="1126"/>
        <w:gridCol w:w="82"/>
        <w:gridCol w:w="82"/>
        <w:gridCol w:w="171"/>
        <w:gridCol w:w="808"/>
        <w:gridCol w:w="60"/>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 2023</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00"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Direct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Wholesale/Other</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31,962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33,478</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1,401</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33,363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34,879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427" w:type="dxa"/>
        <w:jc w:val="left"/>
        <w:tblInd w:w="0" w:type="dxa"/>
        <w:tblLayout w:type="fixed"/>
        <w:tblCellMar>
          <w:top w:w="0" w:type="dxa"/>
          <w:left w:w="0" w:type="dxa"/>
          <w:bottom w:w="0" w:type="dxa"/>
          <w:right w:w="0" w:type="dxa"/>
        </w:tblCellMar>
      </w:tblPr>
      <w:tblGrid>
        <w:gridCol w:w="1445"/>
        <w:gridCol w:w="60"/>
        <w:gridCol w:w="183"/>
        <w:gridCol w:w="865"/>
        <w:gridCol w:w="88"/>
        <w:gridCol w:w="88"/>
        <w:gridCol w:w="384"/>
        <w:gridCol w:w="1030"/>
        <w:gridCol w:w="88"/>
        <w:gridCol w:w="88"/>
        <w:gridCol w:w="183"/>
        <w:gridCol w:w="865"/>
        <w:gridCol w:w="60"/>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 2024</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2"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Direct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Wholesale/Other</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0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18,720</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18,865</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20,069</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i/>
          <w:caps w:val="false"/>
          <w:smallCaps w:val="false"/>
          <w:sz w:val="20"/>
        </w:rPr>
        <w:t>Net Revenue by Product Categories</w:t>
      </w:r>
      <w:r>
        <w:rPr>
          <w:rFonts w:ascii="Times New Roman" w:hAnsi="Times New Roman"/>
          <w:caps w:val="false"/>
          <w:smallCaps w:val="false"/>
          <w:sz w:val="20"/>
        </w:rPr>
        <w:t xml:space="preserve">. The following table sets forth the Company’s net revenue disaggregated by product categories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796" w:type="dxa"/>
        <w:jc w:val="left"/>
        <w:tblInd w:w="0" w:type="dxa"/>
        <w:tblLayout w:type="fixed"/>
        <w:tblCellMar>
          <w:top w:w="0" w:type="dxa"/>
          <w:left w:w="0" w:type="dxa"/>
          <w:bottom w:w="0" w:type="dxa"/>
          <w:right w:w="0" w:type="dxa"/>
        </w:tblCellMar>
      </w:tblPr>
      <w:tblGrid>
        <w:gridCol w:w="3020"/>
        <w:gridCol w:w="60"/>
        <w:gridCol w:w="214"/>
        <w:gridCol w:w="1012"/>
        <w:gridCol w:w="102"/>
        <w:gridCol w:w="102"/>
        <w:gridCol w:w="214"/>
        <w:gridCol w:w="1012"/>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3,204</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6,371</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3,313</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Personal protective equipment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509</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Cookware, kitchen tools and gadgets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1,395</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Home office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Housewares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4,885</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Essential oils and related accessories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4,588</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3,208</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34,879</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20,214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Intangibles</w:t>
      </w:r>
      <w:r>
        <w:rPr>
          <w:rFonts w:ascii="Times New Roman" w:hAnsi="Times New Roman"/>
          <w:caps w:val="false"/>
          <w:smallCaps w:val="false"/>
          <w:sz w:val="20"/>
        </w:rPr>
        <w:t xml:space="preserve">—We review long-lived assets for impairment when performance expectations, events, or changes in circumstances indicate that the asset's carrying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The evaluation is performed at the lowest level of identifiable cash flows by comparing the carrying value of the asset group to the undiscounted cash flows. If the evaluation indicates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2023, </w:t>
      </w:r>
      <w:r>
        <w:rPr>
          <w:rFonts w:ascii="Times New Roman" w:hAnsi="Times New Roman"/>
          <w:caps w:val="false"/>
          <w:smallCaps w:val="false"/>
          <w:sz w:val="20"/>
        </w:rPr>
        <w:t xml:space="preserve">the Company made certain leadership changes in our essential oil business resulting in a change in strategy and outlook for the business resulting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indicating the carrying value of our essential oil business's long-lived assets including trademarks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within impairment loss on intangibles on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the Company had a substantial decrease in its market capitalization, primarily relating to a decrease in share price. Further, the Company continues to see reduced net revenues across its portfolio due primarily to the current macroeconomic environment reducing demand for consumer discretionary goods. Finally,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indicating the carrying value of our Paper and Kitchen appliance business’s long-lived assets, including trademarks,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within impairment loss on intangibles on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Company continued to see reduced revenue in its paper business resulting in certain revisions to its internal forecasts. Due to these revisions in forecast due to reduced demand, the Company concluded this was an interim triggering event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indicating the carrying value of our Paper business’s long-lived assets, including trademarks,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within impairment loss on intangibles on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These fair value measurements require significant judgements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such as discounted projected future cash flows,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from the market, directly or indirectly. There is uncertainty in the projected future cash flows used in the Company’s impairment analysis, which requires the use of estimates and assumptions. If actual performance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achieve the projections, or if the assumptions used in the analysis change in the future,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recognize additional impairment charges in future periods. Key assumptions in the impairment models included a discount and royalty rate. The Company believes our procedures for determining fair value are reasonable and consistent with current market conditions as of </w:t>
      </w:r>
      <w:r>
        <w:rPr>
          <w:rStyle w:val="Emphasis"/>
          <w:rFonts w:ascii="Times New Roman" w:hAnsi="Times New Roman"/>
          <w:caps w:val="false"/>
          <w:smallCaps w:val="false"/>
          <w:sz w:val="20"/>
        </w:rPr>
        <w:t>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total impairment loss on intangibles was approximately $16.7 million.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events to test intangibles for impairment loss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materialize,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record intangible impairment charges,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caps w:val="false"/>
          <w:smallCaps w:val="false"/>
          <w:sz w:val="20"/>
        </w:rPr>
        <w:t>Fair Value of Financial Instruments</w:t>
      </w:r>
      <w:r>
        <w:rPr>
          <w:rFonts w:ascii="Times New Roman" w:hAnsi="Times New Roman"/>
          <w:caps w:val="false"/>
          <w:smallCaps w:val="false"/>
          <w:sz w:val="20"/>
        </w:rPr>
        <w:t xml:space="preserve">—The Company’s financial instruments, including net accounts receivable, accounts payable, and accrued and other current liabilities are carried at historical cost.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 carrying amounts of these instruments approximated their fair values because of their short-term nature. The Company’s credit facility is carried at amortized cost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the carrying amount approximates fair value as the stated interest rate approximates market rates currently available to the Company. The Company considers the inputs utilized to determine the fair value of the borrowings to be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the stock purchase warrants issued in connection with the Company’s common stock offering on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w:t>
      </w:r>
      <w:r>
        <w:rPr>
          <w:rFonts w:ascii="Times New Roman" w:hAnsi="Times New Roman"/>
          <w:i/>
          <w:caps w:val="false"/>
          <w:smallCaps w:val="false"/>
          <w:sz w:val="20"/>
        </w:rPr>
        <w:t>Distinguishing Liabilities from Equity (</w:t>
      </w:r>
      <w:r>
        <w:rPr>
          <w:rFonts w:ascii="Times New Roman" w:hAnsi="Times New Roman"/>
          <w:caps w:val="false"/>
          <w:smallCaps w:val="false"/>
          <w:sz w:val="20"/>
        </w:rPr>
        <w:t>“</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480</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and FASB Accounting Standards Codification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 (</w:t>
      </w:r>
      <w:r>
        <w:rPr>
          <w:rFonts w:ascii="Times New Roman" w:hAnsi="Times New Roman"/>
          <w:caps w:val="false"/>
          <w:smallCaps w:val="false"/>
          <w:sz w:val="20"/>
        </w:rPr>
        <w:t>“</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815</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Based on the Company’s evaluation and due to certain terms in the warrant agreements, it concluded the stock purchase warrants should be classified as liability with subsequent remeasurement as long as such warrants continue to be classified as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 fair value hierarchy for disclosure of fair value measurements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1</w:t>
      </w:r>
      <w:r>
        <w:rPr>
          <w:rFonts w:ascii="Times New Roman" w:hAnsi="Times New Roman"/>
          <w:caps w:val="false"/>
          <w:smallCaps w:val="false"/>
          <w:sz w:val="20"/>
        </w:rPr>
        <w:t>—Inputs are unadjusted, quoted prices in active markets for identical assets or liabilities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2</w:t>
      </w:r>
      <w:r>
        <w:rPr>
          <w:rFonts w:ascii="Times New Roman" w:hAnsi="Times New Roman"/>
          <w:caps w:val="false"/>
          <w:smallCaps w:val="false"/>
          <w:sz w:val="20"/>
        </w:rPr>
        <w:t xml:space="preserve">—Inputs are observable, unadjusted quoted prices in active markets for similar assets or liabilities, unadjusted quoted prices for identical or similar assets or liabilities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other inputs that are observable or can be corroborated by observable market data for substantially the full term of the related assets or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3</w:t>
      </w:r>
      <w:r>
        <w:rPr>
          <w:rFonts w:ascii="Times New Roman" w:hAnsi="Times New Roman"/>
          <w:caps w:val="false"/>
          <w:smallCaps w:val="false"/>
          <w:sz w:val="20"/>
        </w:rPr>
        <w:t xml:space="preserve">—Unobservable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for the related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the fair value of the Company’s financial assets that are measured at fair value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2390"/>
        <w:gridCol w:w="60"/>
        <w:gridCol w:w="186"/>
        <w:gridCol w:w="881"/>
        <w:gridCol w:w="89"/>
        <w:gridCol w:w="89"/>
        <w:gridCol w:w="200"/>
        <w:gridCol w:w="419"/>
        <w:gridCol w:w="89"/>
        <w:gridCol w:w="89"/>
        <w:gridCol w:w="186"/>
        <w:gridCol w:w="725"/>
        <w:gridCol w:w="60"/>
      </w:tblGrid>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3"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Measurement Category</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20,023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FFFFFF" w:val="cle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of warrant liability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422" w:type="dxa"/>
        <w:jc w:val="left"/>
        <w:tblInd w:w="0" w:type="dxa"/>
        <w:tblLayout w:type="fixed"/>
        <w:tblCellMar>
          <w:top w:w="0" w:type="dxa"/>
          <w:left w:w="0" w:type="dxa"/>
          <w:bottom w:w="0" w:type="dxa"/>
          <w:right w:w="0" w:type="dxa"/>
        </w:tblCellMar>
      </w:tblPr>
      <w:tblGrid>
        <w:gridCol w:w="2390"/>
        <w:gridCol w:w="60"/>
        <w:gridCol w:w="202"/>
        <w:gridCol w:w="955"/>
        <w:gridCol w:w="97"/>
        <w:gridCol w:w="97"/>
        <w:gridCol w:w="202"/>
        <w:gridCol w:w="421"/>
        <w:gridCol w:w="97"/>
        <w:gridCol w:w="97"/>
        <w:gridCol w:w="202"/>
        <w:gridCol w:w="542"/>
        <w:gridCol w:w="60"/>
      </w:tblGrid>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Measurement Category</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17,545</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21"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421"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of warrant liability</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421"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 summary of the activity of the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liabilities carried at fair value on a recurring basis for the year-ended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5234" w:type="dxa"/>
        <w:jc w:val="left"/>
        <w:tblInd w:w="0" w:type="dxa"/>
        <w:tblLayout w:type="fixed"/>
        <w:tblCellMar>
          <w:top w:w="0" w:type="dxa"/>
          <w:left w:w="0" w:type="dxa"/>
          <w:bottom w:w="0" w:type="dxa"/>
          <w:right w:w="0" w:type="dxa"/>
        </w:tblCellMar>
      </w:tblPr>
      <w:tblGrid>
        <w:gridCol w:w="3485"/>
        <w:gridCol w:w="60"/>
        <w:gridCol w:w="299"/>
        <w:gridCol w:w="1310"/>
        <w:gridCol w:w="80"/>
      </w:tblGrid>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liability as of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3,473</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liability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679" w:type="dxa"/>
        <w:jc w:val="left"/>
        <w:tblInd w:w="0" w:type="dxa"/>
        <w:tblLayout w:type="fixed"/>
        <w:tblCellMar>
          <w:top w:w="0" w:type="dxa"/>
          <w:left w:w="0" w:type="dxa"/>
          <w:bottom w:w="0" w:type="dxa"/>
          <w:right w:w="0" w:type="dxa"/>
        </w:tblCellMar>
      </w:tblPr>
      <w:tblGrid>
        <w:gridCol w:w="3200"/>
        <w:gridCol w:w="60"/>
        <w:gridCol w:w="274"/>
        <w:gridCol w:w="1065"/>
        <w:gridCol w:w="80"/>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liability as of January 1, 2024</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liability as of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2016,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Financial Instruments – 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w:t>
      </w:r>
      <w:r>
        <w:rPr>
          <w:rStyle w:val="Emphasis"/>
          <w:rFonts w:ascii="Times New Roman" w:hAnsi="Times New Roman"/>
          <w:caps w:val="false"/>
          <w:smallCaps w:val="false"/>
          <w:sz w:val="20"/>
        </w:rPr>
        <w:t xml:space="preserve">July 2019, </w:t>
      </w:r>
      <w:r>
        <w:rPr>
          <w:rFonts w:ascii="Times New Roman" w:hAnsi="Times New Roman"/>
          <w:caps w:val="false"/>
          <w:smallCaps w:val="false"/>
          <w:sz w:val="20"/>
        </w:rPr>
        <w:t xml:space="preserve">the FASB delayed the effective date for this ASU for private companies (including emerging growth companies) and will be effective for annual reporting periods beginning after </w:t>
      </w:r>
      <w:r>
        <w:rPr>
          <w:rStyle w:val="Emphasis"/>
          <w:rFonts w:ascii="Times New Roman" w:hAnsi="Times New Roman"/>
          <w:caps w:val="false"/>
          <w:smallCaps w:val="false"/>
          <w:sz w:val="20"/>
        </w:rPr>
        <w:t xml:space="preserve">December 15, 2022, </w:t>
      </w:r>
      <w:r>
        <w:rPr>
          <w:rFonts w:ascii="Times New Roman" w:hAnsi="Times New Roman"/>
          <w:caps w:val="false"/>
          <w:smallCaps w:val="false"/>
          <w:sz w:val="20"/>
        </w:rPr>
        <w:t xml:space="preserve">with early adoption permitted. The Company adopted this standard on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but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2019,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2019</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Income Taxes. This ASU provides for certain updates to reduce complexity in accounting for income taxes, including the utilization of the incremental approach for intraperiod tax allocation, among others. This standard is effective for fiscal years beginning after </w:t>
      </w:r>
      <w:r>
        <w:rPr>
          <w:rStyle w:val="Emphasis"/>
          <w:rFonts w:ascii="Times New Roman" w:hAnsi="Times New Roman"/>
          <w:caps w:val="false"/>
          <w:smallCaps w:val="false"/>
          <w:sz w:val="20"/>
        </w:rPr>
        <w:t xml:space="preserve">December 15, 2021, </w:t>
      </w:r>
      <w:r>
        <w:rPr>
          <w:rFonts w:ascii="Times New Roman" w:hAnsi="Times New Roman"/>
          <w:caps w:val="false"/>
          <w:smallCaps w:val="false"/>
          <w:sz w:val="20"/>
        </w:rPr>
        <w:t xml:space="preserve">and for interim periods beginning after </w:t>
      </w:r>
      <w:r>
        <w:rPr>
          <w:rStyle w:val="Emphasis"/>
          <w:rFonts w:ascii="Times New Roman" w:hAnsi="Times New Roman"/>
          <w:caps w:val="false"/>
          <w:smallCaps w:val="false"/>
          <w:sz w:val="20"/>
        </w:rPr>
        <w:t xml:space="preserve">December 15, 2022, </w:t>
      </w:r>
      <w:r>
        <w:rPr>
          <w:rFonts w:ascii="Times New Roman" w:hAnsi="Times New Roman"/>
          <w:caps w:val="false"/>
          <w:smallCaps w:val="false"/>
          <w:sz w:val="20"/>
        </w:rPr>
        <w:t xml:space="preserve">with early adoption permitted. The Company adopted this standard on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but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2022</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Disclosures for Supplier Finance Arrangements. This amendment enhances the transparency of supplier finance programs. This standard is effective for fiscal years beginning after </w:t>
      </w:r>
      <w:r>
        <w:rPr>
          <w:rStyle w:val="Emphasis"/>
          <w:rFonts w:ascii="Times New Roman" w:hAnsi="Times New Roman"/>
          <w:caps w:val="false"/>
          <w:smallCaps w:val="false"/>
          <w:sz w:val="20"/>
        </w:rPr>
        <w:t xml:space="preserve">December 15, 2021,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2022, </w:t>
      </w:r>
      <w:r>
        <w:rPr>
          <w:rFonts w:ascii="Times New Roman" w:hAnsi="Times New Roman"/>
          <w:caps w:val="false"/>
          <w:smallCaps w:val="false"/>
          <w:sz w:val="20"/>
        </w:rPr>
        <w:t xml:space="preserve">except for amendment on roll forward information, which is effective for fiscal years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Early adoption is permitted. The new guidance was early adopted on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JOBS Act permits an emerging growth company to take advantage of an extended transition period to comply with new or revised accounting standards applicable to public companies. We have elected to use this extended transition period until we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an emerging growth company or until we affirmatively and irrevocably opt out of the extended transition period. As a result, our financial statements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comparable to companies that comply with new or revised accounting pronouncements as of public company effective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 xml:space="preserve">the FASB finalized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This ASU provides for certain updates to enhance the transparency about companies’ exposure to changes in tax legislation and the global tax risk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face. Under the guidance, companies will be required to provide a breakout of amounts paid for taxes between federal, state, and foreign taxing jurisdictions, rather than a lump sum amount. Further, the rate reconciliation will require disaggregation into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specific categories, with these categories further disaggregated by jurisdiction and for amounts exceeding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percent of their domestic tax rate. The rate reconciliation will need to also disclose both dollar amounts and percentages. This standard is effective for fiscal years beginning after </w:t>
      </w:r>
      <w:r>
        <w:rPr>
          <w:rStyle w:val="Emphasis"/>
          <w:rFonts w:ascii="Times New Roman" w:hAnsi="Times New Roman"/>
          <w:caps w:val="false"/>
          <w:smallCaps w:val="false"/>
          <w:sz w:val="20"/>
        </w:rPr>
        <w:t>December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Improvements to Reportable Segment Disclosures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which requires a company to disclose additional, more detailed information about a reportable segment’s significant expenses, even if there is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reportable segment, and is intended to improve the disclosures about a public entity’s reportable segments. The ASU is effective for fiscal years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and for interim periods beginning after </w:t>
      </w:r>
      <w:r>
        <w:rPr>
          <w:rStyle w:val="Emphasis"/>
          <w:rFonts w:ascii="Times New Roman" w:hAnsi="Times New Roman"/>
          <w:caps w:val="false"/>
          <w:smallCaps w:val="false"/>
          <w:sz w:val="20"/>
        </w:rPr>
        <w:t>December 15, 2024,</w:t>
      </w:r>
      <w:r>
        <w:rPr>
          <w:rFonts w:ascii="Times New Roman" w:hAnsi="Times New Roman"/>
          <w:caps w:val="false"/>
          <w:smallCaps w:val="false"/>
          <w:sz w:val="20"/>
        </w:rPr>
        <w:t xml:space="preserve"> with early adoption permitted. We are currently evaluating the impact of the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on our consolidated financial statements.</w:t>
      </w:r>
    </w:p>
    <w:p>
      <w:pPr>
        <w:pStyle w:val="TextBody"/>
        <w:bidi w:val="0"/>
        <w:spacing w:before="0" w:after="0"/>
        <w:ind w:left="0" w:right="0" w:hanging="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360" w:type="dxa"/>
        <w:jc w:val="left"/>
        <w:tblInd w:w="0" w:type="dxa"/>
        <w:tblLayout w:type="fixed"/>
        <w:tblCellMar>
          <w:top w:w="0" w:type="dxa"/>
          <w:left w:w="0" w:type="dxa"/>
          <w:bottom w:w="0" w:type="dxa"/>
          <w:right w:w="0" w:type="dxa"/>
        </w:tblCellMar>
      </w:tblPr>
      <w:tblGrid>
        <w:gridCol w:w="170"/>
        <w:gridCol w:w="119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3.</w:t>
            </w:r>
          </w:p>
        </w:tc>
        <w:tc>
          <w:tcPr>
            <w:tcW w:w="11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Inventory consisted of the following as of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4783" w:type="dxa"/>
        <w:jc w:val="left"/>
        <w:tblInd w:w="0" w:type="dxa"/>
        <w:tblLayout w:type="fixed"/>
        <w:tblCellMar>
          <w:top w:w="0" w:type="dxa"/>
          <w:left w:w="0" w:type="dxa"/>
          <w:bottom w:w="0" w:type="dxa"/>
          <w:right w:w="0" w:type="dxa"/>
        </w:tblCellMar>
      </w:tblPr>
      <w:tblGrid>
        <w:gridCol w:w="1595"/>
        <w:gridCol w:w="60"/>
        <w:gridCol w:w="280"/>
        <w:gridCol w:w="1329"/>
        <w:gridCol w:w="60"/>
        <w:gridCol w:w="60"/>
        <w:gridCol w:w="234"/>
        <w:gridCol w:w="1105"/>
        <w:gridCol w:w="60"/>
      </w:tblGrid>
      <w:tr>
        <w:trPr/>
        <w:tc>
          <w:tcPr>
            <w:tcW w:w="15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 2023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March 31, 2024</w:t>
            </w:r>
          </w:p>
        </w:tc>
        <w:tc>
          <w:tcPr>
            <w:tcW w:w="60" w:type="dxa"/>
            <w:tcBorders/>
            <w:shd w:fill="FFFFFF" w:val="clear"/>
            <w:vAlign w:val="center"/>
          </w:tcPr>
          <w:p>
            <w:pPr>
              <w:pStyle w:val="TableContents"/>
              <w:bidi w:val="0"/>
              <w:spacing w:before="0" w:after="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on-hand</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17,609</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in-transit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18,520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inventory on-hand is held either with Amazon or the Company’s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warehouses.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contractual right of returns with its contract manufacturers. The Company’s inventory on-hand held by Amazon was approximately $5.0 million and $3.6 million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5050" w:type="dxa"/>
        <w:jc w:val="left"/>
        <w:tblInd w:w="0" w:type="dxa"/>
        <w:tblLayout w:type="fixed"/>
        <w:tblCellMar>
          <w:top w:w="0" w:type="dxa"/>
          <w:left w:w="0" w:type="dxa"/>
          <w:bottom w:w="0" w:type="dxa"/>
          <w:right w:w="0" w:type="dxa"/>
        </w:tblCellMar>
      </w:tblPr>
      <w:tblGrid>
        <w:gridCol w:w="170"/>
        <w:gridCol w:w="488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4.</w:t>
            </w:r>
          </w:p>
        </w:tc>
        <w:tc>
          <w:tcPr>
            <w:tcW w:w="48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PREPAID EXPENSES AND OTHER 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Prepaid and other current assets consisted of the following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878" w:type="dxa"/>
        <w:jc w:val="left"/>
        <w:tblInd w:w="0" w:type="dxa"/>
        <w:tblLayout w:type="fixed"/>
        <w:tblCellMar>
          <w:top w:w="0" w:type="dxa"/>
          <w:left w:w="0" w:type="dxa"/>
          <w:bottom w:w="0" w:type="dxa"/>
          <w:right w:w="0" w:type="dxa"/>
        </w:tblCellMar>
      </w:tblPr>
      <w:tblGrid>
        <w:gridCol w:w="2690"/>
        <w:gridCol w:w="60"/>
        <w:gridCol w:w="329"/>
        <w:gridCol w:w="1280"/>
        <w:gridCol w:w="60"/>
        <w:gridCol w:w="60"/>
        <w:gridCol w:w="274"/>
        <w:gridCol w:w="1065"/>
        <w:gridCol w:w="60"/>
      </w:tblGrid>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2,032</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insurance</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866</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freight forwarder</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1,262</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5.</w:t>
            </w:r>
          </w:p>
        </w:tc>
        <w:tc>
          <w:tcPr>
            <w:tcW w:w="44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ACCRUED AND OTHER CURRENT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Accrued expenses and other current liabilities consisted of the following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6598" w:type="dxa"/>
        <w:jc w:val="left"/>
        <w:tblInd w:w="0" w:type="dxa"/>
        <w:tblLayout w:type="fixed"/>
        <w:tblCellMar>
          <w:top w:w="0" w:type="dxa"/>
          <w:left w:w="0" w:type="dxa"/>
          <w:bottom w:w="0" w:type="dxa"/>
          <w:right w:w="0" w:type="dxa"/>
        </w:tblCellMar>
      </w:tblPr>
      <w:tblGrid>
        <w:gridCol w:w="3410"/>
        <w:gridCol w:w="60"/>
        <w:gridCol w:w="329"/>
        <w:gridCol w:w="1280"/>
        <w:gridCol w:w="60"/>
        <w:gridCol w:w="60"/>
        <w:gridCol w:w="274"/>
        <w:gridCol w:w="1065"/>
        <w:gridCol w:w="6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professional fees and consultants</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logistics costs</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related accruals</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tax payable</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return reserve</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fulfillment expense</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insurance</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payroll taxes payable</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payable</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liability</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accruals</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and current liabilities</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sponsors, through its professional employer organization provider, a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defined contribution plan covering all eligible US employees.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are discretionary. Currently,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match or make any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915" w:type="dxa"/>
        <w:jc w:val="left"/>
        <w:tblInd w:w="0" w:type="dxa"/>
        <w:tblLayout w:type="fixed"/>
        <w:tblCellMar>
          <w:top w:w="0" w:type="dxa"/>
          <w:left w:w="0" w:type="dxa"/>
          <w:bottom w:w="0" w:type="dxa"/>
          <w:right w:w="0" w:type="dxa"/>
        </w:tblCellMar>
      </w:tblPr>
      <w:tblGrid>
        <w:gridCol w:w="170"/>
        <w:gridCol w:w="474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w:t>
            </w:r>
          </w:p>
        </w:tc>
        <w:tc>
          <w:tcPr>
            <w:tcW w:w="47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CREDIT FACILITY, TERM LOANS AND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MidCap Credit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22, 2021, </w:t>
      </w:r>
      <w:r>
        <w:rPr>
          <w:rFonts w:ascii="Times New Roman" w:hAnsi="Times New Roman"/>
          <w:caps w:val="false"/>
          <w:smallCaps w:val="false"/>
          <w:sz w:val="20"/>
        </w:rPr>
        <w:t>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any amortization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Credit Agreement minimum liquidity covenant, which includes the Company’s unrestricted U.S. cash plus the revolving loan availability, requires that Midcap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permit the credit party liquidity at any time to be less than (a) during the period commencing on </w:t>
      </w:r>
      <w:r>
        <w:rPr>
          <w:rStyle w:val="Emphasis"/>
          <w:rFonts w:ascii="Times New Roman" w:hAnsi="Times New Roman"/>
          <w:caps w:val="false"/>
          <w:smallCaps w:val="false"/>
          <w:sz w:val="20"/>
        </w:rPr>
        <w:t>February 1st</w:t>
      </w:r>
      <w:r>
        <w:rPr>
          <w:rFonts w:ascii="Times New Roman" w:hAnsi="Times New Roman"/>
          <w:caps w:val="false"/>
          <w:smallCaps w:val="false"/>
          <w:sz w:val="20"/>
        </w:rPr>
        <w:t xml:space="preserve"> through and including </w:t>
      </w:r>
      <w:r>
        <w:rPr>
          <w:rStyle w:val="Emphasis"/>
          <w:rFonts w:ascii="Times New Roman" w:hAnsi="Times New Roman"/>
          <w:caps w:val="false"/>
          <w:smallCaps w:val="false"/>
          <w:sz w:val="20"/>
        </w:rPr>
        <w:t>May 31st</w:t>
      </w:r>
      <w:r>
        <w:rPr>
          <w:rFonts w:ascii="Times New Roman" w:hAnsi="Times New Roman"/>
          <w:caps w:val="false"/>
          <w:smallCaps w:val="false"/>
          <w:sz w:val="20"/>
        </w:rPr>
        <w:t xml:space="preserve"> of each calendar year, $12.5 million and (b) at all other times, $15.0 million. The Credit Agreement includes events of default that are customary for these types of credit facilities, including the occurrence of a change of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23, 2024, </w:t>
      </w:r>
      <w:r>
        <w:rPr>
          <w:rFonts w:ascii="Times New Roman" w:hAnsi="Times New Roman"/>
          <w:caps w:val="false"/>
          <w:smallCaps w:val="false"/>
          <w:sz w:val="20"/>
        </w:rPr>
        <w:t xml:space="preserve">the Company amended its asset backed credit facility with MidCap Financial Trust. The Credit Facility term has been extended to </w:t>
      </w:r>
      <w:r>
        <w:rPr>
          <w:rStyle w:val="Emphasis"/>
          <w:rFonts w:ascii="Times New Roman" w:hAnsi="Times New Roman"/>
          <w:caps w:val="false"/>
          <w:smallCaps w:val="false"/>
          <w:sz w:val="20"/>
        </w:rPr>
        <w:t xml:space="preserve">December 2026 </w:t>
      </w:r>
      <w:r>
        <w:rPr>
          <w:rFonts w:ascii="Times New Roman" w:hAnsi="Times New Roman"/>
          <w:caps w:val="false"/>
          <w:smallCaps w:val="false"/>
          <w:sz w:val="20"/>
        </w:rPr>
        <w:t>and gives Aterian access to $17 million in current commitments which can be increased, subject to certain conditions, to $30.0 million. The Credit Facility extension reduces the minimum liquidity financial covenant from a peak of $15.0 million to $6.8 million of U.S. cash on hand and/or availability in the Credit Facility. The extension fee was less than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is in compliance with the financial covenants contained within the Credit Agreement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March 31,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credit facility consisted of the following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373" w:type="dxa"/>
        <w:jc w:val="left"/>
        <w:tblInd w:w="0" w:type="dxa"/>
        <w:tblLayout w:type="fixed"/>
        <w:tblCellMar>
          <w:top w:w="0" w:type="dxa"/>
          <w:left w:w="0" w:type="dxa"/>
          <w:bottom w:w="0" w:type="dxa"/>
          <w:right w:w="0" w:type="dxa"/>
        </w:tblCellMar>
      </w:tblPr>
      <w:tblGrid>
        <w:gridCol w:w="4145"/>
        <w:gridCol w:w="60"/>
        <w:gridCol w:w="280"/>
        <w:gridCol w:w="1329"/>
        <w:gridCol w:w="80"/>
        <w:gridCol w:w="60"/>
        <w:gridCol w:w="274"/>
        <w:gridCol w:w="1065"/>
        <w:gridCol w:w="80"/>
      </w:tblGrid>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MidCap Credit Facility</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9,815</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deferred debt issuance costs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discount associated with issuance of warrants</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MidCap Credit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9,396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Interest expense, net consisted of the following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4947" w:type="dxa"/>
        <w:jc w:val="left"/>
        <w:tblInd w:w="0" w:type="dxa"/>
        <w:tblLayout w:type="fixed"/>
        <w:tblCellMar>
          <w:top w:w="0" w:type="dxa"/>
          <w:left w:w="0" w:type="dxa"/>
          <w:bottom w:w="0" w:type="dxa"/>
          <w:right w:w="0" w:type="dxa"/>
        </w:tblCellMar>
      </w:tblPr>
      <w:tblGrid>
        <w:gridCol w:w="2150"/>
        <w:gridCol w:w="60"/>
        <w:gridCol w:w="296"/>
        <w:gridCol w:w="938"/>
        <w:gridCol w:w="190"/>
        <w:gridCol w:w="142"/>
        <w:gridCol w:w="296"/>
        <w:gridCol w:w="795"/>
        <w:gridCol w:w="80"/>
      </w:tblGrid>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1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 w:type="dxa"/>
            <w:tcBorders/>
            <w:shd w:fill="FFFFFF" w:val="clear"/>
            <w:vAlign w:val="center"/>
          </w:tcPr>
          <w:p>
            <w:pPr>
              <w:pStyle w:val="TableContents"/>
              <w:bidi w:val="0"/>
              <w:spacing w:before="0" w:after="283"/>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b/>
          <w:i/>
          <w:caps w:val="false"/>
          <w:smallCaps w:val="false"/>
          <w:sz w:val="20"/>
        </w:rPr>
      </w:pPr>
      <w:r>
        <w:rPr>
          <w:rFonts w:ascii="Times New Roman" w:hAnsi="Times New Roman"/>
          <w:b/>
          <w:i/>
          <w:caps w:val="false"/>
          <w:smallCaps w:val="false"/>
          <w:sz w:val="20"/>
        </w:rPr>
        <w:t>Securities Purchase Agreement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Private Placement”), (i) 536,361 shares of the Company’s common stock (the “Shares”), and accompanying warrants to purchase an aggregate of 402,271 shares of common stock, and (ii) prefunded warrants to purchase up to an aggregate of 251,155 shares of common stock (the “Prefunded Warrants”) and accompanying warrants to purchase an aggregate of 188,366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$34.92, and each Prefunded Warrant and accompanying Common Stock Warrant were sold together at a combined price of $34.92, for gross proceeds of approximately $27.5 million. In connection with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agreed to file a registration statement covering the resale by the Purchasers of the Shares and Warrant Shares within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following the agreement date. The Company filed such resale registration statement on </w:t>
      </w:r>
      <w:r>
        <w:rPr>
          <w:rStyle w:val="Emphasis"/>
          <w:rFonts w:ascii="Times New Roman" w:hAnsi="Times New Roman"/>
          <w:caps w:val="false"/>
          <w:smallCaps w:val="false"/>
          <w:sz w:val="20"/>
        </w:rPr>
        <w:t xml:space="preserve">March 28, 2022, </w:t>
      </w:r>
      <w:r>
        <w:rPr>
          <w:rFonts w:ascii="Times New Roman" w:hAnsi="Times New Roman"/>
          <w:caps w:val="false"/>
          <w:smallCaps w:val="false"/>
          <w:sz w:val="20"/>
        </w:rPr>
        <w:t xml:space="preserve">and it was declared effective by the SEC on </w:t>
      </w:r>
      <w:r>
        <w:rPr>
          <w:rStyle w:val="Emphasis"/>
          <w:rFonts w:ascii="Times New Roman" w:hAnsi="Times New Roman"/>
          <w:caps w:val="false"/>
          <w:smallCaps w:val="false"/>
          <w:sz w:val="20"/>
        </w:rPr>
        <w:t>April 8,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Upon the issuance of the Prefunded Warrants and stock purchase warrants, the Company evaluated the terms of each Warrant to determine the appropriate accounting and classification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Based on the Company’s evaluation and due to certain terms in the warrant agreements, it concluded the Prefunded Warrant and the stock purchase warrants should be classified as liabilities with subsequent remeasurement at each quarter so long as such warrants remain to be classified as liabilities. The Company recorded an initial liability on issuance of $19.0 million from this conclusion.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 has $0.5 million as the liability related to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205" w:type="dxa"/>
        <w:jc w:val="left"/>
        <w:tblInd w:w="0" w:type="dxa"/>
        <w:tblLayout w:type="fixed"/>
        <w:tblCellMar>
          <w:top w:w="0" w:type="dxa"/>
          <w:left w:w="0" w:type="dxa"/>
          <w:bottom w:w="0" w:type="dxa"/>
          <w:right w:w="0" w:type="dxa"/>
        </w:tblCellMar>
      </w:tblPr>
      <w:tblGrid>
        <w:gridCol w:w="170"/>
        <w:gridCol w:w="303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7.</w:t>
            </w:r>
          </w:p>
        </w:tc>
        <w:tc>
          <w:tcPr>
            <w:tcW w:w="30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2014</w:t>
      </w:r>
      <w:r>
        <w:rPr>
          <w:rFonts w:ascii="Times New Roman" w:hAnsi="Times New Roman"/>
          <w:b/>
          <w:caps w:val="false"/>
          <w:smallCaps w:val="false"/>
          <w:sz w:val="20"/>
        </w:rPr>
        <w:t xml:space="preserve"> Amended and Restated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of directors of Aterian Group, Inc., a subsidiary of the Company (“AGI”), adopted, and AGI’s stockholders approved, the Aterian Group, Inc.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Equity Incentive Plan on </w:t>
      </w:r>
      <w:r>
        <w:rPr>
          <w:rStyle w:val="Emphasis"/>
          <w:rFonts w:ascii="Times New Roman" w:hAnsi="Times New Roman"/>
          <w:caps w:val="false"/>
          <w:smallCaps w:val="false"/>
          <w:sz w:val="20"/>
        </w:rPr>
        <w:t xml:space="preserve">June 11,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2017, </w:t>
      </w:r>
      <w:r>
        <w:rPr>
          <w:rFonts w:ascii="Times New Roman" w:hAnsi="Times New Roman"/>
          <w:caps w:val="false"/>
          <w:smallCaps w:val="false"/>
          <w:sz w:val="20"/>
        </w:rPr>
        <w:t xml:space="preserve">AGI’s board of directors adopted, and AGI’s stockholders approved, an amendment and restatement of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Equity Incentive Plan (as amended,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there were no shares reserved for future issuance under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2018</w:t>
      </w:r>
      <w:r>
        <w:rPr>
          <w:rFonts w:ascii="Times New Roman" w:hAnsi="Times New Roman"/>
          <w:b/>
          <w:caps w:val="false"/>
          <w:smallCaps w:val="false"/>
          <w:sz w:val="20"/>
        </w:rPr>
        <w:t xml:space="preserve"> Equity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board of directors (the “Board”) adopted the Aterian, Inc.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on </w:t>
      </w:r>
      <w:r>
        <w:rPr>
          <w:rStyle w:val="Emphasis"/>
          <w:rFonts w:ascii="Times New Roman" w:hAnsi="Times New Roman"/>
          <w:caps w:val="false"/>
          <w:smallCaps w:val="false"/>
          <w:sz w:val="20"/>
        </w:rPr>
        <w:t xml:space="preserve">October 11, 2018.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was approved by its stockholders on </w:t>
      </w:r>
      <w:r>
        <w:rPr>
          <w:rStyle w:val="Emphasis"/>
          <w:rFonts w:ascii="Times New Roman" w:hAnsi="Times New Roman"/>
          <w:caps w:val="false"/>
          <w:smallCaps w:val="false"/>
          <w:sz w:val="20"/>
        </w:rPr>
        <w:t xml:space="preserve">May 24, 2019.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1,549,096 shares were reserved for awards available for future issuance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Options granted to date under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generally vest either: (i) over a four-year period with 25% of the shares underlying the options vesting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vesting commencement date with the remaining 75% of the shares vesting on a pro-rata basis over the succeeding </w:t>
      </w:r>
      <w:r>
        <w:rPr>
          <w:rStyle w:val="Emphasis"/>
          <w:rFonts w:ascii="Times New Roman" w:hAnsi="Times New Roman"/>
          <w:caps w:val="false"/>
          <w:smallCaps w:val="false"/>
          <w:sz w:val="20"/>
        </w:rPr>
        <w:t>thirty-six</w:t>
      </w:r>
      <w:r>
        <w:rPr>
          <w:rFonts w:ascii="Times New Roman" w:hAnsi="Times New Roman"/>
          <w:caps w:val="false"/>
          <w:smallCaps w:val="false"/>
          <w:sz w:val="20"/>
        </w:rPr>
        <w:t xml:space="preserve"> months, subject to continued service with the Company through each vesting date, or (ii) over a three-year period with 33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the shares underlying the options vesting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vesting commencement date with the remaining 66 </w:t>
      </w:r>
      <w:r>
        <w:rPr>
          <w:rStyle w:val="Emphasis"/>
          <w:rFonts w:ascii="Times New Roman" w:hAnsi="Times New Roman"/>
          <w:caps w:val="false"/>
          <w:smallCaps w:val="false"/>
          <w:sz w:val="20"/>
        </w:rPr>
        <w:t>2/3%</w:t>
      </w:r>
      <w:r>
        <w:rPr>
          <w:rFonts w:ascii="Times New Roman" w:hAnsi="Times New Roman"/>
          <w:caps w:val="false"/>
          <w:smallCaps w:val="false"/>
          <w:sz w:val="20"/>
        </w:rPr>
        <w:t xml:space="preserve"> of the shares vesting on a pro-rata basis over the succeeding </w:t>
      </w:r>
      <w:r>
        <w:rPr>
          <w:rStyle w:val="Emphasis"/>
          <w:rFonts w:ascii="Times New Roman" w:hAnsi="Times New Roman"/>
          <w:caps w:val="false"/>
          <w:smallCaps w:val="false"/>
          <w:sz w:val="20"/>
        </w:rPr>
        <w:t>twenty-four</w:t>
      </w:r>
      <w:r>
        <w:rPr>
          <w:rFonts w:ascii="Times New Roman" w:hAnsi="Times New Roman"/>
          <w:caps w:val="false"/>
          <w:smallCaps w:val="false"/>
          <w:sz w:val="20"/>
        </w:rPr>
        <w:t xml:space="preserve"> months, subject to continued service with the Company through each vesting date. Options granted are generally exercisable for up to 10 years subject to continued service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27, 2022, </w:t>
      </w:r>
      <w:r>
        <w:rPr>
          <w:rFonts w:ascii="Times New Roman" w:hAnsi="Times New Roman"/>
          <w:caps w:val="false"/>
          <w:smallCaps w:val="false"/>
          <w:sz w:val="20"/>
        </w:rPr>
        <w:t xml:space="preserve">the Compensation Committee of the Board (the “Compensation Committee”) adopted the Aterian, Inc.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only be granted to an individual, as a material inducement to such individual to enter into employment with the Company or an affiliate of the Company, who (i)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189,586 shares were reserved for future issuance under the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Inducement Plan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approved by the Company’s stockholders. Awards under the Inducement Plan will be made pursuant to the exemption from Nasdaq stockholder approval requirements for equity compensation provided by Nasdaq Listing Rule </w:t>
      </w:r>
      <w:r>
        <w:rPr>
          <w:rStyle w:val="Emphasis"/>
          <w:rFonts w:ascii="Times New Roman" w:hAnsi="Times New Roman"/>
          <w:caps w:val="false"/>
          <w:smallCaps w:val="false"/>
          <w:sz w:val="20"/>
        </w:rPr>
        <w:t>5635</w:t>
      </w:r>
      <w:r>
        <w:rPr>
          <w:rFonts w:ascii="Times New Roman" w:hAnsi="Times New Roman"/>
          <w:caps w:val="false"/>
          <w:smallCaps w:val="false"/>
          <w:sz w:val="20"/>
        </w:rPr>
        <w:t>(c)(</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which permits Nasdaq listed companies to make inducement equity awards to new employees without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obtaining stockholder approval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2024, </w:t>
      </w:r>
      <w:r>
        <w:rPr>
          <w:rFonts w:ascii="Times New Roman" w:hAnsi="Times New Roman"/>
          <w:caps w:val="false"/>
          <w:smallCaps w:val="false"/>
          <w:sz w:val="20"/>
        </w:rPr>
        <w:t xml:space="preserve">the Company filed a Certificate of Amendment to its Amended and Restated Certificate of Incorporation of the Company with the Secretary of State of Delaware (the “Certificate of Amendment”) to affect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- 12 reverse stock split (the “Reverse Stock Split”) of the shares of the Company’s common stock, par value $0.0001 per share (the “Common Stock”). The Certificate of Amendment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decrease the number of authorized shares of Common Stock.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any stockholder’s percentage ownership of Common Stock (except to the extent the Reverse Stock Split results in any stockholder owning fractional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reverse stock split is deemed an equity restructuring pursuant to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Compensation - Stock Compensation. The Company's equity plans incorporate anti-dilutive provisions for existing equity awards, including restricted stock and stock options, to maintain the value of all awards post-reverse stock split. Consequently,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in the fair value of the awards attributable to the reverse stock split,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stock-based compensation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Common Stock began trading on a Reverse Stock Split-adjusted basis on the Nasdaq on </w:t>
      </w:r>
      <w:r>
        <w:rPr>
          <w:rStyle w:val="Emphasis"/>
          <w:rFonts w:ascii="Times New Roman" w:hAnsi="Times New Roman"/>
          <w:caps w:val="false"/>
          <w:smallCaps w:val="false"/>
          <w:sz w:val="20"/>
        </w:rPr>
        <w:t>March 22, 2024. </w:t>
      </w:r>
      <w:r>
        <w:rPr>
          <w:rFonts w:ascii="Times New Roman" w:hAnsi="Times New Roman"/>
          <w:caps w:val="false"/>
          <w:smallCaps w:val="false"/>
          <w:sz w:val="20"/>
        </w:rPr>
        <w:t>All share and per share data has been retroactively adjusted to reflect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summary of stock option activity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2"/>
        <w:gridCol w:w="60"/>
        <w:gridCol w:w="118"/>
        <w:gridCol w:w="1184"/>
        <w:gridCol w:w="80"/>
        <w:gridCol w:w="60"/>
        <w:gridCol w:w="225"/>
        <w:gridCol w:w="1071"/>
        <w:gridCol w:w="60"/>
        <w:gridCol w:w="60"/>
        <w:gridCol w:w="396"/>
        <w:gridCol w:w="2529"/>
        <w:gridCol w:w="60"/>
        <w:gridCol w:w="60"/>
        <w:gridCol w:w="554"/>
        <w:gridCol w:w="1022"/>
        <w:gridCol w:w="64"/>
      </w:tblGrid>
      <w:tr>
        <w:trPr/>
        <w:tc>
          <w:tcPr>
            <w:tcW w:w="2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7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 Outstanding</w:t>
            </w:r>
          </w:p>
        </w:tc>
        <w:tc>
          <w:tcPr>
            <w:tcW w:w="64" w:type="dxa"/>
            <w:tcBorders/>
            <w:shd w:fill="FFFFFF" w:val="clear"/>
            <w:vAlign w:val="center"/>
          </w:tcPr>
          <w:p>
            <w:pPr>
              <w:pStyle w:val="TableContents"/>
              <w:bidi w:val="0"/>
              <w:spacing w:before="0" w:after="283"/>
              <w:jc w:val="left"/>
              <w:rPr/>
            </w:pPr>
            <w:r>
              <w:rPr/>
              <w:t> </w:t>
            </w:r>
          </w:p>
        </w:tc>
      </w:tr>
      <w:tr>
        <w:trPr/>
        <w:tc>
          <w:tcPr>
            <w:tcW w:w="2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Options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Exercise Price </w:t>
            </w: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Contractual Life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 Intrinsic Value</w:t>
            </w:r>
          </w:p>
        </w:tc>
        <w:tc>
          <w:tcPr>
            <w:tcW w:w="64" w:type="dxa"/>
            <w:tcBorders/>
            <w:shd w:fill="FFFFFF" w:val="clear"/>
            <w:vAlign w:val="center"/>
          </w:tcPr>
          <w:p>
            <w:pPr>
              <w:pStyle w:val="TableContents"/>
              <w:bidi w:val="0"/>
              <w:spacing w:before="0" w:after="283"/>
              <w:jc w:val="left"/>
              <w:rPr/>
            </w:pPr>
            <w:r>
              <w:rPr/>
              <w:t> </w:t>
            </w:r>
          </w:p>
        </w:tc>
      </w:tr>
      <w:tr>
        <w:trPr/>
        <w:tc>
          <w:tcPr>
            <w:tcW w:w="260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Balance—January 1, 2024</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1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ind w:left="0" w:right="0" w:hanging="0"/>
              <w:jc w:val="left"/>
              <w:rPr/>
            </w:pPr>
            <w:r>
              <w:rPr/>
              <w:t> </w:t>
            </w:r>
          </w:p>
        </w:tc>
        <w:tc>
          <w:tcPr>
            <w:tcW w:w="25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shd w:fill="CCEEFF" w:val="clear"/>
            <w:vAlign w:val="center"/>
          </w:tcPr>
          <w:p>
            <w:pPr>
              <w:pStyle w:val="TableContents"/>
              <w:bidi w:val="0"/>
              <w:spacing w:before="0" w:after="283"/>
              <w:ind w:left="0" w:right="0" w:hanging="0"/>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r>
      <w:tr>
        <w:trPr/>
        <w:tc>
          <w:tcPr>
            <w:tcW w:w="26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1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hanging="0"/>
              <w:jc w:val="left"/>
              <w:rPr/>
            </w:pPr>
            <w:r>
              <w:rPr/>
              <w:t> </w:t>
            </w:r>
          </w:p>
        </w:tc>
        <w:tc>
          <w:tcPr>
            <w:tcW w:w="2529"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shd w:fill="FFFFFF" w:val="clear"/>
            <w:vAlign w:val="center"/>
          </w:tcPr>
          <w:p>
            <w:pPr>
              <w:pStyle w:val="TableContents"/>
              <w:bidi w:val="0"/>
              <w:spacing w:before="0" w:after="283"/>
              <w:ind w:left="0" w:right="0" w:hanging="0"/>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r>
      <w:tr>
        <w:trPr/>
        <w:tc>
          <w:tcPr>
            <w:tcW w:w="260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1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ind w:left="0" w:right="0" w:hanging="0"/>
              <w:jc w:val="left"/>
              <w:rPr/>
            </w:pPr>
            <w:r>
              <w:rPr/>
              <w:t> </w:t>
            </w:r>
          </w:p>
        </w:tc>
        <w:tc>
          <w:tcPr>
            <w:tcW w:w="2529"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shd w:fill="CCEEFF" w:val="clear"/>
            <w:vAlign w:val="center"/>
          </w:tcPr>
          <w:p>
            <w:pPr>
              <w:pStyle w:val="TableContents"/>
              <w:bidi w:val="0"/>
              <w:spacing w:before="0" w:after="283"/>
              <w:ind w:left="0" w:right="0" w:hanging="0"/>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r>
      <w:tr>
        <w:trPr/>
        <w:tc>
          <w:tcPr>
            <w:tcW w:w="26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hanging="0"/>
              <w:jc w:val="left"/>
              <w:rPr/>
            </w:pPr>
            <w:r>
              <w:rPr/>
              <w:t> </w:t>
            </w:r>
          </w:p>
        </w:tc>
        <w:tc>
          <w:tcPr>
            <w:tcW w:w="2529"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shd w:fill="FFFFFF" w:val="clear"/>
            <w:vAlign w:val="center"/>
          </w:tcPr>
          <w:p>
            <w:pPr>
              <w:pStyle w:val="TableContents"/>
              <w:bidi w:val="0"/>
              <w:spacing w:before="0" w:after="283"/>
              <w:ind w:left="0" w:right="0" w:hanging="0"/>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r>
      <w:tr>
        <w:trPr/>
        <w:tc>
          <w:tcPr>
            <w:tcW w:w="260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Balance—March 31, 2024</w:t>
            </w:r>
          </w:p>
        </w:tc>
        <w:tc>
          <w:tcPr>
            <w:tcW w:w="60" w:type="dxa"/>
            <w:tcBorders/>
            <w:shd w:fill="CCEEFF" w:val="clear"/>
            <w:vAlign w:val="center"/>
          </w:tcPr>
          <w:p>
            <w:pPr>
              <w:pStyle w:val="TableContents"/>
              <w:bidi w:val="0"/>
              <w:spacing w:before="0" w:after="283"/>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ind w:left="0" w:right="0" w:hanging="0"/>
              <w:jc w:val="left"/>
              <w:rPr/>
            </w:pPr>
            <w:r>
              <w:rPr/>
              <w:t> </w:t>
            </w:r>
          </w:p>
        </w:tc>
        <w:tc>
          <w:tcPr>
            <w:tcW w:w="25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shd w:fill="CCEEFF" w:val="clear"/>
            <w:vAlign w:val="center"/>
          </w:tcPr>
          <w:p>
            <w:pPr>
              <w:pStyle w:val="TableContents"/>
              <w:bidi w:val="0"/>
              <w:spacing w:before="0" w:after="283"/>
              <w:ind w:left="0" w:right="0" w:hanging="0"/>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r>
      <w:tr>
        <w:trPr/>
        <w:tc>
          <w:tcPr>
            <w:tcW w:w="26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as of March 31, 2024</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hanging="0"/>
              <w:jc w:val="left"/>
              <w:rPr/>
            </w:pPr>
            <w:r>
              <w:rPr/>
              <w:t> </w:t>
            </w:r>
          </w:p>
        </w:tc>
        <w:tc>
          <w:tcPr>
            <w:tcW w:w="25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shd w:fill="FFFFFF" w:val="clear"/>
            <w:vAlign w:val="center"/>
          </w:tcPr>
          <w:p>
            <w:pPr>
              <w:pStyle w:val="TableContents"/>
              <w:bidi w:val="0"/>
              <w:spacing w:before="0" w:after="283"/>
              <w:ind w:left="0" w:right="0" w:hanging="0"/>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r>
      <w:tr>
        <w:trPr/>
        <w:tc>
          <w:tcPr>
            <w:tcW w:w="260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and expected to vest as of March 31, 2024</w:t>
            </w:r>
          </w:p>
        </w:tc>
        <w:tc>
          <w:tcPr>
            <w:tcW w:w="60" w:type="dxa"/>
            <w:tcBorders/>
            <w:shd w:fill="CCEEFF" w:val="clear"/>
            <w:vAlign w:val="center"/>
          </w:tcPr>
          <w:p>
            <w:pPr>
              <w:pStyle w:val="TableContents"/>
              <w:bidi w:val="0"/>
              <w:spacing w:before="0" w:after="283"/>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ind w:left="0" w:right="0" w:hanging="0"/>
              <w:jc w:val="left"/>
              <w:rPr/>
            </w:pPr>
            <w:r>
              <w:rPr/>
              <w:t> </w:t>
            </w:r>
          </w:p>
        </w:tc>
        <w:tc>
          <w:tcPr>
            <w:tcW w:w="25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shd w:fill="CCEEFF" w:val="clear"/>
            <w:vAlign w:val="center"/>
          </w:tcPr>
          <w:p>
            <w:pPr>
              <w:pStyle w:val="TableContents"/>
              <w:bidi w:val="0"/>
              <w:spacing w:before="0" w:after="283"/>
              <w:ind w:left="0" w:right="0" w:hanging="0"/>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 The number of options and exercise price per share have been retroactively restated to reflect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for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for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reverse stock split, which was effective on </w:t>
      </w:r>
      <w:r>
        <w:rPr>
          <w:rStyle w:val="Emphasis"/>
          <w:rFonts w:ascii="Times New Roman" w:hAnsi="Times New Roman"/>
          <w:caps w:val="false"/>
          <w:smallCaps w:val="false"/>
          <w:sz w:val="20"/>
        </w:rPr>
        <w:t>March 22,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all options have been fully expensed.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A summary of restricted stock award activity within the Company’s equity plans and changes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is as follows:</w:t>
      </w:r>
    </w:p>
    <w:p>
      <w:pPr>
        <w:pStyle w:val="TextBody"/>
        <w:bidi w:val="0"/>
        <w:spacing w:before="0" w:after="0"/>
        <w:ind w:left="0" w:right="0" w:hanging="0"/>
        <w:jc w:val="left"/>
        <w:rPr>
          <w:caps w:val="false"/>
          <w:smallCaps w:val="false"/>
        </w:rPr>
      </w:pPr>
      <w:r>
        <w:rPr>
          <w:caps w:val="false"/>
          <w:smallCaps w:val="false"/>
        </w:rPr>
        <w:t> </w:t>
      </w:r>
    </w:p>
    <w:tbl>
      <w:tblPr>
        <w:tblW w:w="5733" w:type="dxa"/>
        <w:jc w:val="left"/>
        <w:tblInd w:w="0" w:type="dxa"/>
        <w:tblLayout w:type="fixed"/>
        <w:tblCellMar>
          <w:top w:w="0" w:type="dxa"/>
          <w:left w:w="0" w:type="dxa"/>
          <w:bottom w:w="28" w:type="dxa"/>
          <w:right w:w="0" w:type="dxa"/>
        </w:tblCellMar>
      </w:tblPr>
      <w:tblGrid>
        <w:gridCol w:w="2420"/>
        <w:gridCol w:w="60"/>
        <w:gridCol w:w="67"/>
        <w:gridCol w:w="777"/>
        <w:gridCol w:w="80"/>
        <w:gridCol w:w="60"/>
        <w:gridCol w:w="451"/>
        <w:gridCol w:w="1758"/>
        <w:gridCol w:w="60"/>
      </w:tblGrid>
      <w:tr>
        <w:trPr/>
        <w:tc>
          <w:tcPr>
            <w:tcW w:w="24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Awards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0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Grant-Date Fair Value </w:t>
            </w: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at January 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77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840,815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77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11,668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77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(51,168</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(42,650</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at March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77"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758,665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 The number of shares and grant date fair value per share have been retroactively restated to reflect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for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for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reverse stock split, which was effective on </w:t>
      </w:r>
      <w:r>
        <w:rPr>
          <w:rStyle w:val="Emphasis"/>
          <w:rFonts w:ascii="Times New Roman" w:hAnsi="Times New Roman"/>
          <w:caps w:val="false"/>
          <w:smallCaps w:val="false"/>
          <w:sz w:val="20"/>
        </w:rPr>
        <w:t>March 22,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total unrecognized compensation expense related to unvested shares of restricted common stock was $5.4 million, which the Company expects to recognize over an estimated weighted-average period of 2.1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Stock-based compensation expense is allocated based on the cost center to which the award holder belongs. The following table summarizes the total stock-based compensation expense by function, including expense related to consultants,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6128" w:type="dxa"/>
        <w:jc w:val="left"/>
        <w:tblInd w:w="0" w:type="dxa"/>
        <w:tblLayout w:type="fixed"/>
        <w:tblCellMar>
          <w:top w:w="0" w:type="dxa"/>
          <w:left w:w="0" w:type="dxa"/>
          <w:bottom w:w="0" w:type="dxa"/>
          <w:right w:w="0" w:type="dxa"/>
        </w:tblCellMar>
      </w:tblPr>
      <w:tblGrid>
        <w:gridCol w:w="3350"/>
        <w:gridCol w:w="60"/>
        <w:gridCol w:w="248"/>
        <w:gridCol w:w="962"/>
        <w:gridCol w:w="119"/>
        <w:gridCol w:w="119"/>
        <w:gridCol w:w="248"/>
        <w:gridCol w:w="962"/>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8.</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LOSS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to consider the impact of the shares of restricted common stock on the calculation of basic and diluted earnings per share. The Company is currently in a net loss position and is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present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however, in the event the Company is in a net income position,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must be applied by allocating all earnings during the period to shares of common stock and shares of restricted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per share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181" w:type="dxa"/>
        <w:jc w:val="left"/>
        <w:tblInd w:w="0" w:type="dxa"/>
        <w:tblLayout w:type="fixed"/>
        <w:tblCellMar>
          <w:top w:w="0" w:type="dxa"/>
          <w:left w:w="0" w:type="dxa"/>
          <w:bottom w:w="0" w:type="dxa"/>
          <w:right w:w="0" w:type="dxa"/>
        </w:tblCellMar>
      </w:tblPr>
      <w:tblGrid>
        <w:gridCol w:w="7385"/>
        <w:gridCol w:w="60"/>
        <w:gridCol w:w="159"/>
        <w:gridCol w:w="1080"/>
        <w:gridCol w:w="102"/>
        <w:gridCol w:w="76"/>
        <w:gridCol w:w="159"/>
        <w:gridCol w:w="1080"/>
        <w:gridCol w:w="80"/>
      </w:tblGrid>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2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(25,800</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used in computing 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6,394,905</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6,789,955</w:t>
            </w:r>
          </w:p>
        </w:tc>
        <w:tc>
          <w:tcPr>
            <w:tcW w:w="8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Anti-dilutive shares excluded from computation of net loss per share (in shares)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1,979,594</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2,074,627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 The number of shares and per share amounts have been retroactively restated to reflect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for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for 12) reverse stock split, which was effective on </w:t>
      </w:r>
      <w:r>
        <w:rPr>
          <w:rStyle w:val="Emphasis"/>
          <w:rFonts w:ascii="Times New Roman" w:hAnsi="Times New Roman"/>
          <w:caps w:val="false"/>
          <w:smallCaps w:val="false"/>
          <w:sz w:val="20"/>
        </w:rPr>
        <w:t>March 22,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9.</w:t>
            </w:r>
          </w:p>
        </w:tc>
        <w:tc>
          <w:tcPr>
            <w:tcW w:w="3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Sales or Other Similar Taxes</w:t>
      </w:r>
      <w:r>
        <w:rPr>
          <w:rFonts w:ascii="Times New Roman" w:hAnsi="Times New Roman"/>
          <w:caps w:val="false"/>
          <w:smallCaps w:val="false"/>
          <w:sz w:val="20"/>
        </w:rPr>
        <w:t xml:space="preserve">—Based on the location of the Company’s current operations, the majority of sales tax is collected and remitted either by the Company or on its behalf by e-commerce marketplaces in most states within the U.S. To date, the Company has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actual or threatened sales and use tax claims from any state where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 estimates that the potential liability, including current sales tax payable is approximately $1.0 million,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Legal Proceedings</w:t>
      </w:r>
      <w:r>
        <w:rPr>
          <w:rFonts w:ascii="Times New Roman" w:hAnsi="Times New Roman"/>
          <w:caps w:val="false"/>
          <w:smallCaps w:val="false"/>
          <w:sz w:val="20"/>
        </w:rPr>
        <w:t xml:space="preserve">—The Company is party to various actions and claims arising in the normal course of business.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the final outcome of these matters will have a material adverse effect on the Company’s financial position or results of operations. In addition, the Company maintains what it believes is adequate insurance coverage to further mitigate risk. However,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given that the final outcome of such proceedings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impact the Company’s financial condition or results of operations. Further,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given that the amount or scope of existing insurance coverage will be sufficient to cover losses arising from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Settlement Agreement</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 2021, </w:t>
      </w:r>
      <w:r>
        <w:rPr>
          <w:rFonts w:ascii="Times New Roman" w:hAnsi="Times New Roman"/>
          <w:caps w:val="false"/>
          <w:smallCaps w:val="false"/>
          <w:sz w:val="20"/>
        </w:rPr>
        <w:t xml:space="preserve">the Company entered into a settlement agreement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Company’s suppliers who agreed to pay the amount of $3.0 million to the Company in three installments of $1.0 million each, with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payment to be paid on or before </w:t>
      </w:r>
      <w:r>
        <w:rPr>
          <w:rStyle w:val="Emphasis"/>
          <w:rFonts w:ascii="Times New Roman" w:hAnsi="Times New Roman"/>
          <w:caps w:val="false"/>
          <w:smallCaps w:val="false"/>
          <w:sz w:val="20"/>
        </w:rPr>
        <w:t xml:space="preserve">May 31, 2021,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payment to be paid on or before </w:t>
      </w:r>
      <w:r>
        <w:rPr>
          <w:rStyle w:val="Emphasis"/>
          <w:rFonts w:ascii="Times New Roman" w:hAnsi="Times New Roman"/>
          <w:caps w:val="false"/>
          <w:smallCaps w:val="false"/>
          <w:sz w:val="20"/>
        </w:rPr>
        <w:t xml:space="preserve">September 30, 2021, </w:t>
      </w:r>
      <w:r>
        <w:rPr>
          <w:rFonts w:ascii="Times New Roman" w:hAnsi="Times New Roman"/>
          <w:caps w:val="false"/>
          <w:smallCaps w:val="false"/>
          <w:sz w:val="20"/>
        </w:rPr>
        <w:t xml:space="preserve">and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payment to be paid on or before </w:t>
      </w:r>
      <w:r>
        <w:rPr>
          <w:rStyle w:val="Emphasis"/>
          <w:rFonts w:ascii="Times New Roman" w:hAnsi="Times New Roman"/>
          <w:caps w:val="false"/>
          <w:smallCaps w:val="false"/>
          <w:sz w:val="20"/>
        </w:rPr>
        <w:t xml:space="preserve">November 30, 2021. </w:t>
      </w:r>
      <w:r>
        <w:rPr>
          <w:rFonts w:ascii="Times New Roman" w:hAnsi="Times New Roman"/>
          <w:caps w:val="false"/>
          <w:smallCaps w:val="false"/>
          <w:sz w:val="20"/>
        </w:rPr>
        <w:t xml:space="preserve">Further, the supplier agreed to deliver certain goods as part of this settlement by </w:t>
      </w:r>
      <w:r>
        <w:rPr>
          <w:rStyle w:val="Emphasis"/>
          <w:rFonts w:ascii="Times New Roman" w:hAnsi="Times New Roman"/>
          <w:caps w:val="false"/>
          <w:smallCaps w:val="false"/>
          <w:sz w:val="20"/>
        </w:rPr>
        <w:t xml:space="preserve">September 30, 2021. </w:t>
      </w:r>
      <w:r>
        <w:rPr>
          <w:rFonts w:ascii="Times New Roman" w:hAnsi="Times New Roman"/>
          <w:caps w:val="false"/>
          <w:smallCaps w:val="false"/>
          <w:sz w:val="20"/>
        </w:rPr>
        <w:t xml:space="preserve">Through the date of the accompanying Consolidated Financial Statements, the supplier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paid in full its required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payment of $1.0 million nor has it delivered the required quantity of goods. The Company fully reserved $4.1 million within prepaid and other current assets on its Consolidated Financial Statements during the year-ended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Company has commenced legal action against the supplier and certain other parties to the matter. One of the parties to the matter has filed for bankruptcy and such legal action is being stayed until the resolution of such bankruptcy. The Company continues to reserve its legal options and rights on this matter as of </w:t>
      </w:r>
      <w:r>
        <w:rPr>
          <w:rStyle w:val="Emphasis"/>
          <w:rFonts w:ascii="Times New Roman" w:hAnsi="Times New Roman"/>
          <w:caps w:val="false"/>
          <w:smallCaps w:val="false"/>
          <w:sz w:val="20"/>
        </w:rPr>
        <w:t>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Shareholder Derivative Actions Related to the Securities Class Action</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21, October 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November 10, 2021, </w:t>
      </w:r>
      <w:r>
        <w:rPr>
          <w:rFonts w:ascii="Times New Roman" w:hAnsi="Times New Roman"/>
          <w:caps w:val="false"/>
          <w:smallCaps w:val="false"/>
          <w:sz w:val="20"/>
        </w:rPr>
        <w:t xml:space="preserve">three shareholder derivative actions were filed on behalf of the Company by Shaoxuan Zhang, Michael Sheller and Tyler Magnus in the U.S. District Court for the Southern District of New York. These actions, collectively, name Yaniv Sarig, Fabrice Hamaide, Arturo Rodriguez, Greg B. Petersen, Bari A. Harlam, Amy von Walter, William Kurtz, Roi Zion Zahut, Joseph A. Risico, Tomer Pascal and Mihal Chaouat-Fix as individual defendants, and the Company as a nominal defendant. These actions are predicated on substantively the same factual allegations contained in the above-described securities class action which was resolved via settlement 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Company believes the allegations are without merit and continues to deny each of the claims and allegations of wrongdoing. On </w:t>
      </w:r>
      <w:r>
        <w:rPr>
          <w:rStyle w:val="Emphasis"/>
          <w:rFonts w:ascii="Times New Roman" w:hAnsi="Times New Roman"/>
          <w:caps w:val="false"/>
          <w:smallCaps w:val="false"/>
          <w:sz w:val="20"/>
        </w:rPr>
        <w:t xml:space="preserve">December 12, 2022, </w:t>
      </w:r>
      <w:r>
        <w:rPr>
          <w:rFonts w:ascii="Times New Roman" w:hAnsi="Times New Roman"/>
          <w:caps w:val="false"/>
          <w:smallCaps w:val="false"/>
          <w:sz w:val="20"/>
        </w:rPr>
        <w:t xml:space="preserve">the parties reached an agreement and entered into a Stipulation and Agreement of Settlement (the “Stipulation”) to resolve this derivative action. Under the Stipulation, the Company agreed to adopt certain corporate governance reforms, the terms of which are outlined in Exhibit A to the Stipulation, and a payment of the Plaintiffs’ attorneys’ fees and expenses of $0.3 million The proposed settlement was preliminarily approved by the Court on </w:t>
      </w:r>
      <w:r>
        <w:rPr>
          <w:rStyle w:val="Emphasis"/>
          <w:rFonts w:ascii="Times New Roman" w:hAnsi="Times New Roman"/>
          <w:caps w:val="false"/>
          <w:smallCaps w:val="false"/>
          <w:sz w:val="20"/>
        </w:rPr>
        <w:t xml:space="preserve">December 29, 2022, </w:t>
      </w:r>
      <w:r>
        <w:rPr>
          <w:rFonts w:ascii="Times New Roman" w:hAnsi="Times New Roman"/>
          <w:caps w:val="false"/>
          <w:smallCaps w:val="false"/>
          <w:sz w:val="20"/>
        </w:rPr>
        <w:t xml:space="preserve">the Company made the agreed $0.3 million payment, and received final approval to the settlement on </w:t>
      </w:r>
      <w:r>
        <w:rPr>
          <w:rStyle w:val="Emphasis"/>
          <w:rFonts w:ascii="Times New Roman" w:hAnsi="Times New Roman"/>
          <w:caps w:val="false"/>
          <w:smallCaps w:val="false"/>
          <w:sz w:val="20"/>
        </w:rPr>
        <w:t>March 17,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Mueller Action</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2021, </w:t>
      </w:r>
      <w:r>
        <w:rPr>
          <w:rFonts w:ascii="Times New Roman" w:hAnsi="Times New Roman"/>
          <w:caps w:val="false"/>
          <w:smallCaps w:val="false"/>
          <w:sz w:val="20"/>
        </w:rPr>
        <w:t xml:space="preserve">the Company received a class action notification and pre-lawsuit demand letter demanding corrective action with respect to the marketing, advertising and labeling of certain products under the Mueller brand (the “Mueller Action”). In </w:t>
      </w:r>
      <w:r>
        <w:rPr>
          <w:rStyle w:val="Emphasis"/>
          <w:rFonts w:ascii="Times New Roman" w:hAnsi="Times New Roman"/>
          <w:caps w:val="false"/>
          <w:smallCaps w:val="false"/>
          <w:sz w:val="20"/>
        </w:rPr>
        <w:t xml:space="preserve">April 2022, </w:t>
      </w:r>
      <w:r>
        <w:rPr>
          <w:rFonts w:ascii="Times New Roman" w:hAnsi="Times New Roman"/>
          <w:caps w:val="false"/>
          <w:smallCaps w:val="false"/>
          <w:sz w:val="20"/>
        </w:rPr>
        <w:t xml:space="preserve">the parties reached an agreement in principle to resolve this potential action for $0.5 million in cash and $0.3 million worth of coupons, which the Company accrued $0.8 million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subject to court approval. The court preliminarily approved the settlement on </w:t>
      </w:r>
      <w:r>
        <w:rPr>
          <w:rStyle w:val="Emphasis"/>
          <w:rFonts w:ascii="Times New Roman" w:hAnsi="Times New Roman"/>
          <w:caps w:val="false"/>
          <w:smallCaps w:val="false"/>
          <w:sz w:val="20"/>
        </w:rPr>
        <w:t xml:space="preserve">August 3, 2023 </w:t>
      </w:r>
      <w:r>
        <w:rPr>
          <w:rFonts w:ascii="Times New Roman" w:hAnsi="Times New Roman"/>
          <w:caps w:val="false"/>
          <w:smallCaps w:val="false"/>
          <w:sz w:val="20"/>
        </w:rPr>
        <w:t xml:space="preserve">and final approval was granted </w:t>
      </w:r>
      <w:r>
        <w:rPr>
          <w:rStyle w:val="Emphasis"/>
          <w:rFonts w:ascii="Times New Roman" w:hAnsi="Times New Roman"/>
          <w:caps w:val="false"/>
          <w:smallCaps w:val="false"/>
          <w:sz w:val="20"/>
        </w:rPr>
        <w:t>May 8,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Earn-out Payment Dispute</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24, 2022, </w:t>
      </w:r>
      <w:r>
        <w:rPr>
          <w:rFonts w:ascii="Times New Roman" w:hAnsi="Times New Roman"/>
          <w:caps w:val="false"/>
          <w:smallCaps w:val="false"/>
          <w:sz w:val="20"/>
        </w:rPr>
        <w:t xml:space="preserve">the Company received a notice disputing the Company’s calculation of the earn-out payment to be paid to Josef Eitan and Ran Nir pursuant to the Stock Purchase Agreement (the “PPD Stock Purchase Agreement”), dated as of </w:t>
      </w:r>
      <w:r>
        <w:rPr>
          <w:rStyle w:val="Emphasis"/>
          <w:rFonts w:ascii="Times New Roman" w:hAnsi="Times New Roman"/>
          <w:caps w:val="false"/>
          <w:smallCaps w:val="false"/>
          <w:sz w:val="20"/>
        </w:rPr>
        <w:t xml:space="preserve">May 5, 2021, </w:t>
      </w:r>
      <w:r>
        <w:rPr>
          <w:rFonts w:ascii="Times New Roman" w:hAnsi="Times New Roman"/>
          <w:caps w:val="false"/>
          <w:smallCaps w:val="false"/>
          <w:sz w:val="20"/>
        </w:rPr>
        <w:t xml:space="preserve">by and among the Company, Truweo, LLC, Photo Paper Direct Ltd, Josef Eitan and Ran Nir. The Company is in discussions with representatives of Mr. Eitan and Mr. Nir, who believe they are entitled to the full earn-out amount (£6,902,816 or approximately $8.8 million) under the terms of the PPD Stock Purchase Agreement, whereas the Company believes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Mr. Eitan and Mr. Nir filed a motion to compel arbitration in the Southern District of New York on </w:t>
      </w:r>
      <w:r>
        <w:rPr>
          <w:rStyle w:val="Emphasis"/>
          <w:rFonts w:ascii="Times New Roman" w:hAnsi="Times New Roman"/>
          <w:caps w:val="false"/>
          <w:smallCaps w:val="false"/>
          <w:sz w:val="20"/>
        </w:rPr>
        <w:t xml:space="preserve">September 14, 2022, </w:t>
      </w:r>
      <w:r>
        <w:rPr>
          <w:rFonts w:ascii="Times New Roman" w:hAnsi="Times New Roman"/>
          <w:caps w:val="false"/>
          <w:smallCaps w:val="false"/>
          <w:sz w:val="20"/>
        </w:rPr>
        <w:t xml:space="preserve">which was granted on </w:t>
      </w:r>
      <w:r>
        <w:rPr>
          <w:rStyle w:val="Emphasis"/>
          <w:rFonts w:ascii="Times New Roman" w:hAnsi="Times New Roman"/>
          <w:caps w:val="false"/>
          <w:smallCaps w:val="false"/>
          <w:sz w:val="20"/>
        </w:rPr>
        <w:t xml:space="preserve">May 18, 2023. </w:t>
      </w:r>
      <w:r>
        <w:rPr>
          <w:rFonts w:ascii="Times New Roman" w:hAnsi="Times New Roman"/>
          <w:caps w:val="false"/>
          <w:smallCaps w:val="false"/>
          <w:sz w:val="20"/>
        </w:rPr>
        <w:t xml:space="preserve">The parties engaged an independent accountant to resolve the dispute, as required by the PPD Stock Purchase Agreement and the Southern District of New York. In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the independent accountant ruled in favor of the Company and determined that the Company owes no earn-out. Therefore, the Company believes it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liability to the 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Leases</w:t>
      </w:r>
      <w:r>
        <w:rPr>
          <w:rFonts w:ascii="Times New Roman" w:hAnsi="Times New Roman"/>
          <w:caps w:val="false"/>
          <w:smallCaps w:val="false"/>
          <w:sz w:val="20"/>
        </w:rPr>
        <w:t xml:space="preserve">—The Company’s minimum lease liabilities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changed significantly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10.</w:t>
            </w:r>
          </w:p>
        </w:tc>
        <w:tc>
          <w:tcPr>
            <w:tcW w:w="14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INTANGIBLES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summarize the changes in the Company’s intangible assets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1"/>
        <w:gridCol w:w="60"/>
        <w:gridCol w:w="301"/>
        <w:gridCol w:w="1356"/>
        <w:gridCol w:w="60"/>
        <w:gridCol w:w="60"/>
        <w:gridCol w:w="269"/>
        <w:gridCol w:w="561"/>
        <w:gridCol w:w="106"/>
        <w:gridCol w:w="106"/>
        <w:gridCol w:w="258"/>
        <w:gridCol w:w="1212"/>
        <w:gridCol w:w="80"/>
        <w:gridCol w:w="60"/>
        <w:gridCol w:w="334"/>
        <w:gridCol w:w="1614"/>
        <w:gridCol w:w="80"/>
        <w:gridCol w:w="60"/>
        <w:gridCol w:w="244"/>
        <w:gridCol w:w="1159"/>
        <w:gridCol w:w="64"/>
      </w:tblGrid>
      <w:tr>
        <w:trPr/>
        <w:tc>
          <w:tcPr>
            <w:tcW w:w="2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Year-Ended 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4" w:type="dxa"/>
            <w:tcBorders/>
            <w:shd w:fill="FFFF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Carrying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470"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Impairments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Book Value</w:t>
            </w:r>
          </w:p>
        </w:tc>
        <w:tc>
          <w:tcPr>
            <w:tcW w:w="64" w:type="dxa"/>
            <w:tcBorders/>
            <w:shd w:fill="FFFFFF" w:val="clear"/>
            <w:vAlign w:val="center"/>
          </w:tcPr>
          <w:p>
            <w:pPr>
              <w:pStyle w:val="TableContents"/>
              <w:bidi w:val="0"/>
              <w:spacing w:before="0" w:after="283"/>
              <w:jc w:val="left"/>
              <w:rPr/>
            </w:pPr>
            <w:r>
              <w:rPr/>
              <w:t> </w:t>
            </w:r>
          </w:p>
        </w:tc>
      </w:tr>
      <w:tr>
        <w:trPr/>
        <w:tc>
          <w:tcPr>
            <w:tcW w:w="21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shd w:fill="CCEEFF" w:val="cle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(39,728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7,140</w:t>
            </w:r>
          </w:p>
        </w:tc>
        <w:tc>
          <w:tcPr>
            <w:tcW w:w="64" w:type="dxa"/>
            <w:tcBorders/>
            <w:shd w:fill="CCEE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Non-competition agreement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3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ind w:left="0" w:right="0" w:hanging="0"/>
              <w:jc w:val="left"/>
              <w:rPr/>
            </w:pPr>
            <w:r>
              <w:rPr/>
              <w:t> </w:t>
            </w:r>
          </w:p>
        </w:tc>
        <w:tc>
          <w:tcPr>
            <w:tcW w:w="16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9"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21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services agreement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3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ind w:left="0" w:right="0" w:hanging="0"/>
              <w:jc w:val="left"/>
              <w:rPr/>
            </w:pPr>
            <w:r>
              <w:rPr/>
              <w:t> </w:t>
            </w:r>
          </w:p>
        </w:tc>
        <w:tc>
          <w:tcPr>
            <w:tcW w:w="16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3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ind w:left="0" w:right="0" w:hanging="0"/>
              <w:jc w:val="left"/>
              <w:rPr/>
            </w:pPr>
            <w:r>
              <w:rPr/>
              <w:t> </w:t>
            </w:r>
          </w:p>
        </w:tc>
        <w:tc>
          <w:tcPr>
            <w:tcW w:w="16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4,180</w:t>
            </w:r>
          </w:p>
        </w:tc>
        <w:tc>
          <w:tcPr>
            <w:tcW w:w="64" w:type="dxa"/>
            <w:tcBorders/>
            <w:shd w:fill="FFFFFF" w:val="clear"/>
            <w:vAlign w:val="center"/>
          </w:tcPr>
          <w:p>
            <w:pPr>
              <w:pStyle w:val="TableContents"/>
              <w:bidi w:val="0"/>
              <w:spacing w:before="0" w:after="283"/>
              <w:jc w:val="left"/>
              <w:rPr/>
            </w:pPr>
            <w:r>
              <w:rPr/>
              <w:t> </w:t>
            </w:r>
          </w:p>
        </w:tc>
      </w:tr>
      <w:tr>
        <w:trPr/>
        <w:tc>
          <w:tcPr>
            <w:tcW w:w="21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intangibles</w:t>
            </w:r>
          </w:p>
        </w:tc>
        <w:tc>
          <w:tcPr>
            <w:tcW w:w="60" w:type="dxa"/>
            <w:tcBorders/>
            <w:shd w:fill="FFFF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11,320</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49"/>
        <w:gridCol w:w="60"/>
        <w:gridCol w:w="299"/>
        <w:gridCol w:w="1344"/>
        <w:gridCol w:w="60"/>
        <w:gridCol w:w="60"/>
        <w:gridCol w:w="438"/>
        <w:gridCol w:w="766"/>
        <w:gridCol w:w="168"/>
        <w:gridCol w:w="168"/>
        <w:gridCol w:w="438"/>
        <w:gridCol w:w="833"/>
        <w:gridCol w:w="60"/>
        <w:gridCol w:w="60"/>
        <w:gridCol w:w="321"/>
        <w:gridCol w:w="1613"/>
        <w:gridCol w:w="80"/>
        <w:gridCol w:w="60"/>
        <w:gridCol w:w="203"/>
        <w:gridCol w:w="960"/>
        <w:gridCol w:w="65"/>
      </w:tblGrid>
      <w:tr>
        <w:trPr/>
        <w:tc>
          <w:tcPr>
            <w:tcW w:w="2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5" w:type="dxa"/>
            <w:tcBorders/>
            <w:shd w:fill="FFFFFF" w:val="clear"/>
            <w:vAlign w:val="center"/>
          </w:tcPr>
          <w:p>
            <w:pPr>
              <w:pStyle w:val="TableContents"/>
              <w:bidi w:val="0"/>
              <w:spacing w:before="0" w:after="283"/>
              <w:jc w:val="left"/>
              <w:rPr/>
            </w:pPr>
            <w:r>
              <w:rPr/>
              <w:t> </w:t>
            </w:r>
          </w:p>
        </w:tc>
      </w:tr>
      <w:tr>
        <w:trPr/>
        <w:tc>
          <w:tcPr>
            <w:tcW w:w="2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Carrying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Impairments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Book Value</w:t>
            </w:r>
          </w:p>
        </w:tc>
        <w:tc>
          <w:tcPr>
            <w:tcW w:w="65" w:type="dxa"/>
            <w:tcBorders/>
            <w:shd w:fill="FFFFFF" w:val="clear"/>
            <w:vAlign w:val="center"/>
          </w:tcPr>
          <w:p>
            <w:pPr>
              <w:pStyle w:val="TableContents"/>
              <w:bidi w:val="0"/>
              <w:spacing w:before="0" w:after="283"/>
              <w:jc w:val="left"/>
              <w:rPr/>
            </w:pPr>
            <w:r>
              <w:rPr/>
              <w:t> </w:t>
            </w:r>
          </w:p>
        </w:tc>
      </w:tr>
      <w:tr>
        <w:trPr/>
        <w:tc>
          <w:tcPr>
            <w:tcW w:w="214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6" w:type="dxa"/>
            <w:tcBorders/>
            <w:shd w:fill="CCEEFF" w:val="clear"/>
            <w:vAlign w:val="center"/>
          </w:tcPr>
          <w:p>
            <w:pPr>
              <w:pStyle w:val="TableContents"/>
              <w:bidi w:val="0"/>
              <w:spacing w:before="0" w:after="283"/>
              <w:ind w:left="0" w:right="0" w:hanging="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6,879</w:t>
            </w:r>
          </w:p>
        </w:tc>
        <w:tc>
          <w:tcPr>
            <w:tcW w:w="65" w:type="dxa"/>
            <w:tcBorders/>
            <w:shd w:fill="CCEEFF" w:val="clear"/>
            <w:vAlign w:val="center"/>
          </w:tcPr>
          <w:p>
            <w:pPr>
              <w:pStyle w:val="TableContents"/>
              <w:bidi w:val="0"/>
              <w:spacing w:before="0" w:after="283"/>
              <w:jc w:val="left"/>
              <w:rPr/>
            </w:pPr>
            <w:r>
              <w:rPr/>
              <w:t> </w:t>
            </w:r>
          </w:p>
        </w:tc>
      </w:tr>
      <w:tr>
        <w:trPr/>
        <w:tc>
          <w:tcPr>
            <w:tcW w:w="214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Non-competition agreement</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ind w:left="0" w:right="0" w:hanging="0"/>
              <w:jc w:val="left"/>
              <w:rPr/>
            </w:pPr>
            <w:r>
              <w:rPr/>
              <w:t> </w:t>
            </w:r>
          </w:p>
        </w:tc>
        <w:tc>
          <w:tcPr>
            <w:tcW w:w="13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ind w:left="0" w:right="0" w:hanging="0"/>
              <w:jc w:val="left"/>
              <w:rPr/>
            </w:pPr>
            <w:r>
              <w:rPr/>
              <w:t> </w:t>
            </w:r>
          </w:p>
        </w:tc>
        <w:tc>
          <w:tcPr>
            <w:tcW w:w="766" w:type="dxa"/>
            <w:tcBorders/>
            <w:shd w:fill="FFFFFF" w:val="clear"/>
            <w:vAlign w:val="center"/>
          </w:tcPr>
          <w:p>
            <w:pPr>
              <w:pStyle w:val="TableContents"/>
              <w:bidi w:val="0"/>
              <w:spacing w:before="0" w:after="283"/>
              <w:ind w:left="0" w:right="0" w:hanging="0"/>
              <w:jc w:val="right"/>
              <w:rPr/>
            </w:pPr>
            <w:r>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6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r>
      <w:tr>
        <w:trPr/>
        <w:tc>
          <w:tcPr>
            <w:tcW w:w="214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services agreement</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13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283"/>
              <w:ind w:left="0" w:right="0" w:hanging="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214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ind w:left="0" w:right="0" w:hanging="0"/>
              <w:jc w:val="left"/>
              <w:rPr/>
            </w:pPr>
            <w:r>
              <w:rPr/>
              <w:t> </w:t>
            </w:r>
          </w:p>
        </w:tc>
        <w:tc>
          <w:tcPr>
            <w:tcW w:w="13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ind w:left="0" w:right="0" w:hanging="0"/>
              <w:jc w:val="left"/>
              <w:rPr/>
            </w:pPr>
            <w:r>
              <w:rPr/>
              <w:t> </w:t>
            </w:r>
          </w:p>
        </w:tc>
        <w:tc>
          <w:tcPr>
            <w:tcW w:w="766" w:type="dxa"/>
            <w:tcBorders/>
            <w:shd w:fill="FFFFFF" w:val="clear"/>
            <w:vAlign w:val="center"/>
          </w:tcPr>
          <w:p>
            <w:pPr>
              <w:pStyle w:val="TableContents"/>
              <w:bidi w:val="0"/>
              <w:spacing w:before="0" w:after="283"/>
              <w:ind w:left="0" w:right="0" w:hanging="0"/>
              <w:jc w:val="right"/>
              <w:rPr/>
            </w:pPr>
            <w:r>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6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4,038</w:t>
            </w:r>
          </w:p>
        </w:tc>
        <w:tc>
          <w:tcPr>
            <w:tcW w:w="65" w:type="dxa"/>
            <w:tcBorders/>
            <w:shd w:fill="FFFFFF" w:val="clear"/>
            <w:vAlign w:val="center"/>
          </w:tcPr>
          <w:p>
            <w:pPr>
              <w:pStyle w:val="TableContents"/>
              <w:bidi w:val="0"/>
              <w:spacing w:before="0" w:after="283"/>
              <w:jc w:val="left"/>
              <w:rPr/>
            </w:pPr>
            <w:r>
              <w:rPr/>
              <w:t> </w:t>
            </w:r>
          </w:p>
        </w:tc>
      </w:tr>
      <w:tr>
        <w:trPr/>
        <w:tc>
          <w:tcPr>
            <w:tcW w:w="214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Software</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w:t>
            </w:r>
          </w:p>
        </w:tc>
        <w:tc>
          <w:tcPr>
            <w:tcW w:w="65" w:type="dxa"/>
            <w:tcBorders/>
            <w:shd w:fill="CCEEFF" w:val="clear"/>
            <w:vAlign w:val="center"/>
          </w:tcPr>
          <w:p>
            <w:pPr>
              <w:pStyle w:val="TableContents"/>
              <w:bidi w:val="0"/>
              <w:spacing w:before="0" w:after="283"/>
              <w:jc w:val="left"/>
              <w:rPr/>
            </w:pPr>
            <w:r>
              <w:rPr/>
              <w:t> </w:t>
            </w:r>
          </w:p>
        </w:tc>
      </w:tr>
      <w:tr>
        <w:trPr/>
        <w:tc>
          <w:tcPr>
            <w:tcW w:w="214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r>
      <w:tr>
        <w:trPr/>
        <w:tc>
          <w:tcPr>
            <w:tcW w:w="214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10,955</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center"/>
              <w:rPr/>
            </w:pPr>
            <w:r>
              <w:rPr/>
              <w:t>(</w:t>
            </w:r>
            <w:r>
              <w:rPr>
                <w:rStyle w:val="Emphasis"/>
              </w:rPr>
              <w:t>1</w:t>
            </w:r>
            <w:r>
              <w:rPr/>
              <w:t>)</w:t>
            </w:r>
          </w:p>
        </w:tc>
        <w:tc>
          <w:tcPr>
            <w:tcW w:w="10057" w:type="dxa"/>
            <w:tcBorders/>
            <w:vAlign w:val="center"/>
          </w:tcPr>
          <w:p>
            <w:pPr>
              <w:pStyle w:val="TableContents"/>
              <w:bidi w:val="0"/>
              <w:spacing w:before="0" w:after="0"/>
              <w:ind w:left="0" w:right="0" w:hanging="0"/>
              <w:jc w:val="left"/>
              <w:rPr/>
            </w:pPr>
            <w:r>
              <w:rPr>
                <w:rFonts w:ascii="Times New Roman" w:hAnsi="Times New Roman"/>
                <w:sz w:val="20"/>
              </w:rPr>
              <w:t xml:space="preserve">On </w:t>
            </w:r>
            <w:r>
              <w:rPr>
                <w:rStyle w:val="Emphasis"/>
                <w:rFonts w:ascii="Times New Roman" w:hAnsi="Times New Roman"/>
                <w:sz w:val="20"/>
              </w:rPr>
              <w:t xml:space="preserve">March 20, 2023, </w:t>
            </w:r>
            <w:r>
              <w:rPr>
                <w:rFonts w:ascii="Times New Roman" w:hAnsi="Times New Roman"/>
                <w:sz w:val="20"/>
              </w:rPr>
              <w:t xml:space="preserve">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 xml:space="preserve">March 31, 2023 </w:t>
            </w:r>
            <w:r>
              <w:rPr>
                <w:rFonts w:ascii="Times New Roman" w:hAnsi="Times New Roman"/>
                <w:sz w:val="20"/>
              </w:rPr>
              <w:t xml:space="preserve">indicating the carrying value of our essential oil business's long-lived assets including trademarks </w:t>
            </w:r>
            <w:r>
              <w:rPr>
                <w:rStyle w:val="Emphasis"/>
                <w:rFonts w:ascii="Times New Roman" w:hAnsi="Times New Roman"/>
                <w:sz w:val="20"/>
              </w:rPr>
              <w:t>may not</w:t>
            </w:r>
            <w:r>
              <w:rPr>
                <w:rFonts w:ascii="Times New Roman" w:hAnsi="Times New Roman"/>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sz w:val="20"/>
              </w:rPr>
              <w:t>3</w:t>
            </w:r>
            <w:r>
              <w:rPr>
                <w:rFonts w:ascii="Times New Roman" w:hAnsi="Times New Roman"/>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 xml:space="preserve">March 31, 2023 </w:t>
            </w:r>
            <w:r>
              <w:rPr>
                <w:rFonts w:ascii="Times New Roman" w:hAnsi="Times New Roman"/>
                <w:sz w:val="20"/>
              </w:rPr>
              <w:t>within impairment loss on intangibles on the condensed consolidated statement of operations.</w:t>
            </w:r>
          </w:p>
          <w:p>
            <w:pPr>
              <w:pStyle w:val="TableContents"/>
              <w:bidi w:val="0"/>
              <w:spacing w:before="0" w:after="0"/>
              <w:ind w:left="0" w:right="0" w:hanging="0"/>
              <w:jc w:val="left"/>
              <w:rPr/>
            </w:pPr>
            <w:r>
              <w:rPr/>
              <w:t> </w:t>
            </w:r>
          </w:p>
        </w:tc>
      </w:tr>
      <w:tr>
        <w:trPr/>
        <w:tc>
          <w:tcPr>
            <w:tcW w:w="148" w:type="dxa"/>
            <w:tcBorders/>
            <w:vAlign w:val="center"/>
          </w:tcPr>
          <w:p>
            <w:pPr>
              <w:pStyle w:val="TableContents"/>
              <w:bidi w:val="0"/>
              <w:spacing w:before="0" w:after="283"/>
              <w:jc w:val="left"/>
              <w:rPr/>
            </w:pPr>
            <w:r>
              <w:rPr/>
              <w:t> </w:t>
            </w:r>
          </w:p>
        </w:tc>
        <w:tc>
          <w:tcPr>
            <w:tcW w:w="10057" w:type="dxa"/>
            <w:tcBorders/>
            <w:vAlign w:val="center"/>
          </w:tcPr>
          <w:p>
            <w:pPr>
              <w:pStyle w:val="TableContents"/>
              <w:bidi w:val="0"/>
              <w:spacing w:before="0" w:after="0"/>
              <w:ind w:left="0" w:right="0" w:hanging="0"/>
              <w:jc w:val="left"/>
              <w:rPr/>
            </w:pPr>
            <w:r>
              <w:rPr>
                <w:rFonts w:ascii="Times New Roman" w:hAnsi="Times New Roman"/>
                <w:sz w:val="20"/>
              </w:rPr>
              <w:t xml:space="preserve">During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 xml:space="preserve">June 30, 2023, </w:t>
            </w:r>
            <w:r>
              <w:rPr>
                <w:rFonts w:ascii="Times New Roman" w:hAnsi="Times New Roman"/>
                <w:sz w:val="20"/>
              </w:rPr>
              <w:t xml:space="preserve">the Company had a substantial decrease in its market capitalization, primarily relating to a decrease in share price. Further, the Company continues to see reduced net revenues across its portfolio primarily due to the current macroeconomic environment reducing demand for consumer goods. Finally, during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 xml:space="preserve">June 30, 2023, </w:t>
            </w:r>
            <w:r>
              <w:rPr>
                <w:rFonts w:ascii="Times New Roman" w:hAnsi="Times New Roman"/>
                <w:sz w:val="20"/>
              </w:rPr>
              <w:t xml:space="preserve">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 xml:space="preserve">June 30, 2023 </w:t>
            </w:r>
            <w:r>
              <w:rPr>
                <w:rFonts w:ascii="Times New Roman" w:hAnsi="Times New Roman"/>
                <w:sz w:val="20"/>
              </w:rPr>
              <w:t xml:space="preserve">indicating the carrying value of our Paper and Kitchen appliance business’s long-lived assets, including trademarks, </w:t>
            </w:r>
            <w:r>
              <w:rPr>
                <w:rStyle w:val="Emphasis"/>
                <w:rFonts w:ascii="Times New Roman" w:hAnsi="Times New Roman"/>
                <w:sz w:val="20"/>
              </w:rPr>
              <w:t>may not</w:t>
            </w:r>
            <w:r>
              <w:rPr>
                <w:rFonts w:ascii="Times New Roman" w:hAnsi="Times New Roman"/>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sz w:val="20"/>
              </w:rPr>
              <w:t>3</w:t>
            </w:r>
            <w:r>
              <w:rPr>
                <w:rFonts w:ascii="Times New Roman" w:hAnsi="Times New Roman"/>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 xml:space="preserve">June 30, 2023 </w:t>
            </w:r>
            <w:r>
              <w:rPr>
                <w:rFonts w:ascii="Times New Roman" w:hAnsi="Times New Roman"/>
                <w:sz w:val="20"/>
              </w:rPr>
              <w:t>within impairment loss on intangibles on the condensed consolidated statement of operations. </w:t>
            </w:r>
          </w:p>
          <w:p>
            <w:pPr>
              <w:pStyle w:val="TableContents"/>
              <w:bidi w:val="0"/>
              <w:spacing w:before="0" w:after="0"/>
              <w:ind w:left="0" w:right="0" w:hanging="0"/>
              <w:jc w:val="left"/>
              <w:rPr/>
            </w:pPr>
            <w:r>
              <w:rPr/>
              <w:t> </w:t>
            </w:r>
          </w:p>
        </w:tc>
      </w:tr>
      <w:tr>
        <w:trPr/>
        <w:tc>
          <w:tcPr>
            <w:tcW w:w="148" w:type="dxa"/>
            <w:tcBorders/>
            <w:vAlign w:val="center"/>
          </w:tcPr>
          <w:p>
            <w:pPr>
              <w:pStyle w:val="TableContents"/>
              <w:bidi w:val="0"/>
              <w:spacing w:before="0" w:after="283"/>
              <w:jc w:val="left"/>
              <w:rPr/>
            </w:pPr>
            <w:r>
              <w:rPr/>
              <w:t> </w:t>
            </w:r>
          </w:p>
        </w:tc>
        <w:tc>
          <w:tcPr>
            <w:tcW w:w="10057" w:type="dxa"/>
            <w:tcBorders/>
            <w:vAlign w:val="center"/>
          </w:tcPr>
          <w:p>
            <w:pPr>
              <w:pStyle w:val="TableContents"/>
              <w:bidi w:val="0"/>
              <w:spacing w:before="0" w:after="0"/>
              <w:ind w:left="0" w:right="0" w:hanging="0"/>
              <w:jc w:val="left"/>
              <w:rPr/>
            </w:pPr>
            <w:r>
              <w:rPr>
                <w:rFonts w:ascii="Times New Roman" w:hAnsi="Times New Roman"/>
                <w:sz w:val="20"/>
              </w:rPr>
              <w:t xml:space="preserve">During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 xml:space="preserve">December 31, 2023, </w:t>
            </w:r>
            <w:r>
              <w:rPr>
                <w:rFonts w:ascii="Times New Roman" w:hAnsi="Times New Roman"/>
                <w:sz w:val="20"/>
              </w:rPr>
              <w:t xml:space="preserve">the Company continued to see reduced revenue in its paper business resulting in certain revisions to its internal forecasts. Due to these revisions in forecast due to reduced demand, the Company concluded this was an interim triggering event for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 xml:space="preserve">December 31, 2023 </w:t>
            </w:r>
            <w:r>
              <w:rPr>
                <w:rFonts w:ascii="Times New Roman" w:hAnsi="Times New Roman"/>
                <w:sz w:val="20"/>
              </w:rPr>
              <w:t xml:space="preserve">indicating the carrying value of our Paper business’s long-lived assets, including trademarks, </w:t>
            </w:r>
            <w:r>
              <w:rPr>
                <w:rStyle w:val="Emphasis"/>
                <w:rFonts w:ascii="Times New Roman" w:hAnsi="Times New Roman"/>
                <w:sz w:val="20"/>
              </w:rPr>
              <w:t>may not</w:t>
            </w:r>
            <w:r>
              <w:rPr>
                <w:rFonts w:ascii="Times New Roman" w:hAnsi="Times New Roman"/>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sz w:val="20"/>
              </w:rPr>
              <w:t>3</w:t>
            </w:r>
            <w:r>
              <w:rPr>
                <w:rFonts w:ascii="Times New Roman" w:hAnsi="Times New Roman"/>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 xml:space="preserve">December 31, 2023 </w:t>
            </w:r>
            <w:r>
              <w:rPr>
                <w:rFonts w:ascii="Times New Roman" w:hAnsi="Times New Roman"/>
                <w:sz w:val="20"/>
              </w:rPr>
              <w:t>within impairment loss on intangibles on the consolidated statement of operations.</w:t>
            </w:r>
          </w:p>
          <w:p>
            <w:pPr>
              <w:pStyle w:val="TableContents"/>
              <w:bidi w:val="0"/>
              <w:spacing w:before="0" w:after="0"/>
              <w:ind w:left="0" w:right="0" w:hanging="0"/>
              <w:jc w:val="left"/>
              <w:rPr/>
            </w:pPr>
            <w:r>
              <w:rPr/>
              <w:t> </w:t>
            </w:r>
          </w:p>
        </w:tc>
      </w:tr>
    </w:tbl>
    <w:p>
      <w:pPr>
        <w:pStyle w:val="TextBody"/>
        <w:bidi w:val="0"/>
        <w:spacing w:before="0" w:after="0"/>
        <w:ind w:left="500" w:right="0" w:hanging="0"/>
        <w:jc w:val="both"/>
        <w:rPr>
          <w:caps w:val="false"/>
          <w:smallCaps w:val="false"/>
        </w:rPr>
      </w:pPr>
      <w:r>
        <w:rPr>
          <w:caps w:val="false"/>
          <w:smallCaps w:val="false"/>
        </w:rPr>
        <w:t> </w:t>
      </w:r>
    </w:p>
    <w:p>
      <w:pPr>
        <w:pStyle w:val="TextBody"/>
        <w:bidi w:val="0"/>
        <w:spacing w:before="0" w:after="0"/>
        <w:ind w:left="0" w:right="0" w:hanging="0"/>
        <w:jc w:val="both"/>
        <w:rPr/>
      </w:pPr>
      <w:r>
        <w:rPr>
          <w:caps w:val="false"/>
          <w:smallCaps w:val="false"/>
        </w:rPr>
        <w:t xml:space="preserve">  </w:t>
      </w:r>
      <w:r>
        <w:rPr>
          <w:rFonts w:ascii="Times New Roman" w:hAnsi="Times New Roman"/>
          <w:caps w:val="false"/>
          <w:smallCaps w:val="false"/>
          <w:sz w:val="20"/>
        </w:rPr>
        <w:t xml:space="preserve">The following table sets forth the estimated aggregate amortization of the Company’s intangible assets for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and thereafter (amounts in thousands):</w:t>
      </w:r>
    </w:p>
    <w:p>
      <w:pPr>
        <w:pStyle w:val="TextBody"/>
        <w:bidi w:val="0"/>
        <w:spacing w:before="0" w:after="0"/>
        <w:ind w:left="0" w:right="0" w:hanging="0"/>
        <w:jc w:val="left"/>
        <w:rPr>
          <w:caps w:val="false"/>
          <w:smallCaps w:val="false"/>
        </w:rPr>
      </w:pPr>
      <w:r>
        <w:rPr>
          <w:caps w:val="false"/>
          <w:smallCaps w:val="false"/>
        </w:rPr>
        <w:t> </w:t>
      </w:r>
    </w:p>
    <w:tbl>
      <w:tblPr>
        <w:tblW w:w="2415" w:type="dxa"/>
        <w:jc w:val="left"/>
        <w:tblInd w:w="0" w:type="dxa"/>
        <w:tblLayout w:type="fixed"/>
        <w:tblCellMar>
          <w:top w:w="0" w:type="dxa"/>
          <w:left w:w="0" w:type="dxa"/>
          <w:bottom w:w="0" w:type="dxa"/>
          <w:right w:w="0" w:type="dxa"/>
        </w:tblCellMar>
      </w:tblPr>
      <w:tblGrid>
        <w:gridCol w:w="1580"/>
        <w:gridCol w:w="60"/>
        <w:gridCol w:w="125"/>
        <w:gridCol w:w="590"/>
        <w:gridCol w:w="60"/>
      </w:tblGrid>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Remainder of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1,199</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1,554</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1,551</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1,551</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1,972</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10,955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020" w:type="dxa"/>
        <w:jc w:val="left"/>
        <w:tblInd w:w="0" w:type="dxa"/>
        <w:tblLayout w:type="fixed"/>
        <w:tblCellMar>
          <w:top w:w="0" w:type="dxa"/>
          <w:left w:w="0" w:type="dxa"/>
          <w:bottom w:w="0" w:type="dxa"/>
          <w:right w:w="0" w:type="dxa"/>
        </w:tblCellMar>
      </w:tblPr>
      <w:tblGrid>
        <w:gridCol w:w="320"/>
        <w:gridCol w:w="170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w:t>
            </w:r>
          </w:p>
        </w:tc>
        <w:tc>
          <w:tcPr>
            <w:tcW w:w="17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9, 2023, </w:t>
      </w:r>
      <w:r>
        <w:rPr>
          <w:rFonts w:ascii="Times New Roman" w:hAnsi="Times New Roman"/>
          <w:caps w:val="false"/>
          <w:smallCaps w:val="false"/>
          <w:sz w:val="20"/>
        </w:rPr>
        <w:t xml:space="preserve">the Company announced a plan to reduce expenses and re-align the organization’s structure by implementing a reduction in its current workforce impacting approximately 50 employees and 15 contractors, primarily in the Philippines. The headcount reduction is part of the Company's cost-saving initiatives to navigate challenges in the industry and to better position itself for future growth opportunities. The Company incurred $1.6 million of restructuring charges during the year-ended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8, 2024, </w:t>
      </w:r>
      <w:r>
        <w:rPr>
          <w:rFonts w:ascii="Times New Roman" w:hAnsi="Times New Roman"/>
          <w:caps w:val="false"/>
          <w:smallCaps w:val="false"/>
          <w:sz w:val="20"/>
        </w:rPr>
        <w:t xml:space="preserve">the Company committed to a fixed cost-cutting plan, including a reduction in workforce which resulted in the termination of approximately 17 employees and 26 contractors globally. The Company recognized restructuring charges of $0.6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accounting for the restructuring costs follows the provisions of ASC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a summary of the restructuring costs incurred:</w:t>
      </w:r>
    </w:p>
    <w:p>
      <w:pPr>
        <w:pStyle w:val="TextBody"/>
        <w:bidi w:val="0"/>
        <w:spacing w:before="0" w:after="0"/>
        <w:ind w:left="0" w:right="0" w:hanging="0"/>
        <w:jc w:val="left"/>
        <w:rPr>
          <w:caps w:val="false"/>
          <w:smallCaps w:val="false"/>
        </w:rPr>
      </w:pPr>
      <w:r>
        <w:rPr>
          <w:caps w:val="false"/>
          <w:smallCaps w:val="false"/>
        </w:rPr>
        <w:t> </w:t>
      </w:r>
    </w:p>
    <w:tbl>
      <w:tblPr>
        <w:tblW w:w="3879" w:type="dxa"/>
        <w:jc w:val="left"/>
        <w:tblInd w:w="0" w:type="dxa"/>
        <w:tblLayout w:type="fixed"/>
        <w:tblCellMar>
          <w:top w:w="0" w:type="dxa"/>
          <w:left w:w="0" w:type="dxa"/>
          <w:bottom w:w="0" w:type="dxa"/>
          <w:right w:w="0" w:type="dxa"/>
        </w:tblCellMar>
      </w:tblPr>
      <w:tblGrid>
        <w:gridCol w:w="2000"/>
        <w:gridCol w:w="60"/>
        <w:gridCol w:w="476"/>
        <w:gridCol w:w="1283"/>
        <w:gridCol w:w="60"/>
      </w:tblGrid>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severance</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6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restructuring costs</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total restructuring reserve:</w:t>
      </w:r>
    </w:p>
    <w:p>
      <w:pPr>
        <w:pStyle w:val="TextBody"/>
        <w:bidi w:val="0"/>
        <w:spacing w:before="0" w:after="0"/>
        <w:ind w:left="0" w:right="0" w:hanging="0"/>
        <w:jc w:val="left"/>
        <w:rPr>
          <w:caps w:val="false"/>
          <w:smallCaps w:val="false"/>
        </w:rPr>
      </w:pPr>
      <w:r>
        <w:rPr>
          <w:caps w:val="false"/>
          <w:smallCaps w:val="false"/>
        </w:rPr>
        <w:t> </w:t>
      </w:r>
    </w:p>
    <w:tbl>
      <w:tblPr>
        <w:tblW w:w="8203" w:type="dxa"/>
        <w:jc w:val="left"/>
        <w:tblInd w:w="0" w:type="dxa"/>
        <w:tblLayout w:type="fixed"/>
        <w:tblCellMar>
          <w:top w:w="0" w:type="dxa"/>
          <w:left w:w="0" w:type="dxa"/>
          <w:bottom w:w="0" w:type="dxa"/>
          <w:right w:w="0" w:type="dxa"/>
        </w:tblCellMar>
      </w:tblPr>
      <w:tblGrid>
        <w:gridCol w:w="2450"/>
        <w:gridCol w:w="60"/>
        <w:gridCol w:w="428"/>
        <w:gridCol w:w="1361"/>
        <w:gridCol w:w="80"/>
        <w:gridCol w:w="60"/>
        <w:gridCol w:w="647"/>
        <w:gridCol w:w="1742"/>
        <w:gridCol w:w="60"/>
        <w:gridCol w:w="60"/>
        <w:gridCol w:w="167"/>
        <w:gridCol w:w="348"/>
        <w:gridCol w:w="80"/>
        <w:gridCol w:w="60"/>
        <w:gridCol w:w="125"/>
        <w:gridCol w:w="395"/>
        <w:gridCol w:w="8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Employee Severance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 Termination Costs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Charges</w:t>
            </w:r>
          </w:p>
        </w:tc>
        <w:tc>
          <w:tcPr>
            <w:tcW w:w="60"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ind w:left="0" w:right="0" w:hanging="0"/>
              <w:jc w:val="left"/>
              <w:rPr/>
            </w:pPr>
            <w:r>
              <w:rPr/>
              <w:t> </w:t>
            </w:r>
          </w:p>
        </w:tc>
        <w:tc>
          <w:tcPr>
            <w:tcW w:w="13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ind w:left="0" w:right="0" w:hanging="0"/>
              <w:jc w:val="left"/>
              <w:rPr/>
            </w:pPr>
            <w:r>
              <w:rPr/>
              <w:t> </w:t>
            </w:r>
          </w:p>
        </w:tc>
        <w:tc>
          <w:tcPr>
            <w:tcW w:w="17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Usage-cash</w:t>
            </w:r>
          </w:p>
        </w:tc>
        <w:tc>
          <w:tcPr>
            <w:tcW w:w="60"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ind w:left="0" w:right="0" w:hanging="0"/>
              <w:jc w:val="left"/>
              <w:rPr/>
            </w:pPr>
            <w:r>
              <w:rPr/>
              <w:t> </w:t>
            </w:r>
          </w:p>
        </w:tc>
        <w:tc>
          <w:tcPr>
            <w:tcW w:w="13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ind w:left="0" w:right="0" w:hanging="0"/>
              <w:jc w:val="left"/>
              <w:rPr/>
            </w:pPr>
            <w:r>
              <w:rPr/>
              <w:t> </w:t>
            </w:r>
          </w:p>
        </w:tc>
        <w:tc>
          <w:tcPr>
            <w:tcW w:w="17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Usage-noncash</w:t>
            </w:r>
          </w:p>
        </w:tc>
        <w:tc>
          <w:tcPr>
            <w:tcW w:w="60" w:type="dxa"/>
            <w:tcBorders/>
            <w:shd w:fill="FFFFFF" w:val="clear"/>
            <w:vAlign w:val="center"/>
          </w:tcPr>
          <w:p>
            <w:pPr>
              <w:pStyle w:val="TableContents"/>
              <w:bidi w:val="0"/>
              <w:spacing w:before="0" w:after="283"/>
              <w:jc w:val="left"/>
              <w:rPr/>
            </w:pPr>
            <w:r>
              <w:rPr/>
              <w:t> </w:t>
            </w:r>
          </w:p>
        </w:tc>
        <w:tc>
          <w:tcPr>
            <w:tcW w:w="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 Company has a liability of $0.4 million for restructuring costs, of which $0.3 million is included in accrued expenses and other current liabilities and $0.1 million is included in other liabilities on the consolidated balance sheet. There were no restructuring costs incurred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the Company had a liability of $0.2 million for restructuring costs, of which $0.1 million was included in accrued expenses and other current liabilities and $0.1 million was included in other liabilities on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will continue to assess the restructuring plan's progress and provide updates as required in future financial statements if there are material changes to the initial estimates or additional significant restructuring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470" w:type="dxa"/>
        <w:jc w:val="left"/>
        <w:tblInd w:w="0" w:type="dxa"/>
        <w:tblLayout w:type="fixed"/>
        <w:tblCellMar>
          <w:top w:w="0" w:type="dxa"/>
          <w:left w:w="0" w:type="dxa"/>
          <w:bottom w:w="0" w:type="dxa"/>
          <w:right w:w="0" w:type="dxa"/>
        </w:tblCellMar>
      </w:tblPr>
      <w:tblGrid>
        <w:gridCol w:w="320"/>
        <w:gridCol w:w="215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8, 2024, </w:t>
      </w:r>
      <w:r>
        <w:rPr>
          <w:rFonts w:ascii="Times New Roman" w:hAnsi="Times New Roman"/>
          <w:caps w:val="false"/>
          <w:smallCaps w:val="false"/>
          <w:sz w:val="20"/>
        </w:rPr>
        <w:t xml:space="preserve">the Company received written notice (the “Compliance Notice”) from The Nasdaq Stock Market LLC (“Nasdaq”) informing the Company that it has regained compliance with Nasdaq Listing Rule </w:t>
      </w:r>
      <w:r>
        <w:rPr>
          <w:rStyle w:val="Emphasis"/>
          <w:rFonts w:ascii="Times New Roman" w:hAnsi="Times New Roman"/>
          <w:caps w:val="false"/>
          <w:smallCaps w:val="false"/>
          <w:sz w:val="20"/>
        </w:rPr>
        <w:t>5450</w:t>
      </w:r>
      <w:r>
        <w:rPr>
          <w:rFonts w:ascii="Times New Roman" w:hAnsi="Times New Roman"/>
          <w:caps w:val="false"/>
          <w:smallCaps w:val="false"/>
          <w:sz w:val="20"/>
        </w:rPr>
        <w:t>(a)(</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requires that companies listed on Nasdaq maintain a minimum bid price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Nasdaq notified the Company in the Compliance Notice that from </w:t>
      </w:r>
      <w:r>
        <w:rPr>
          <w:rStyle w:val="Emphasis"/>
          <w:rFonts w:ascii="Times New Roman" w:hAnsi="Times New Roman"/>
          <w:caps w:val="false"/>
          <w:smallCaps w:val="false"/>
          <w:sz w:val="20"/>
        </w:rPr>
        <w:t xml:space="preserve">March 22, 2024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April 5, 2024 </w:t>
      </w:r>
      <w:r>
        <w:rPr>
          <w:rFonts w:ascii="Times New Roman" w:hAnsi="Times New Roman"/>
          <w:caps w:val="false"/>
          <w:smallCaps w:val="false"/>
          <w:sz w:val="20"/>
        </w:rPr>
        <w:t xml:space="preserve">the closing bid price of the Company’s common stock had been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or greater and, accordingly, the Company had regained compliance with Nasdaq Listing Rule </w:t>
      </w:r>
      <w:r>
        <w:rPr>
          <w:rStyle w:val="Emphasis"/>
          <w:rFonts w:ascii="Times New Roman" w:hAnsi="Times New Roman"/>
          <w:caps w:val="false"/>
          <w:smallCaps w:val="false"/>
          <w:sz w:val="20"/>
        </w:rPr>
        <w:t>5450</w:t>
      </w:r>
      <w:r>
        <w:rPr>
          <w:rFonts w:ascii="Times New Roman" w:hAnsi="Times New Roman"/>
          <w:caps w:val="false"/>
          <w:smallCaps w:val="false"/>
          <w:sz w:val="20"/>
        </w:rPr>
        <w:t>(a)(</w:t>
      </w:r>
      <w:r>
        <w:rPr>
          <w:rStyle w:val="Emphasis"/>
          <w:rFonts w:ascii="Times New Roman" w:hAnsi="Times New Roman"/>
          <w:caps w:val="false"/>
          <w:smallCaps w:val="false"/>
          <w:sz w:val="20"/>
        </w:rPr>
        <w:t>1</w:t>
      </w:r>
      <w:r>
        <w:rPr>
          <w:rFonts w:ascii="Times New Roman" w:hAnsi="Times New Roman"/>
          <w:caps w:val="false"/>
          <w:smallCaps w:val="false"/>
          <w:sz w:val="20"/>
        </w:rPr>
        <w:t>) and that the matter was now closed.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2023 included in our Annual Report on Form 10-K for the year ended December 31, 2023 as filed with the Securities and Exchange Commission (the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on March 19, 2024. As discussed in the section titled </w:t>
      </w:r>
      <w:r>
        <w:rPr>
          <w:rFonts w:ascii="Times New Roman" w:hAnsi="Times New Roman"/>
          <w:caps w:val="false"/>
          <w:smallCaps w:val="false"/>
          <w:sz w:val="20"/>
        </w:rPr>
        <w:t>“</w:t>
      </w:r>
      <w:r>
        <w:rPr>
          <w:rFonts w:ascii="Times New Roman" w:hAnsi="Times New Roman"/>
          <w:i/>
          <w:caps w:val="false"/>
          <w:smallCaps w:val="false"/>
          <w:sz w:val="20"/>
        </w:rPr>
        <w:t>Special Note Regarding Forward-Looking Statements</w:t>
      </w:r>
      <w:r>
        <w:rPr>
          <w:rFonts w:ascii="Times New Roman" w:hAnsi="Times New Roman"/>
          <w:caps w:val="false"/>
          <w:smallCaps w:val="false"/>
          <w:sz w:val="20"/>
        </w:rPr>
        <w:t>”</w:t>
      </w:r>
      <w:r>
        <w:rPr>
          <w:rFonts w:ascii="Times New Roman" w:hAnsi="Times New Roman"/>
          <w:i/>
          <w:caps w:val="false"/>
          <w:smallCaps w:val="false"/>
          <w:sz w:val="20"/>
        </w:rPr>
        <w:t xml:space="preserve">,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w:t>
      </w:r>
      <w:r>
        <w:rPr>
          <w:rFonts w:ascii="Times New Roman" w:hAnsi="Times New Roman"/>
          <w:caps w:val="false"/>
          <w:smallCaps w:val="false"/>
          <w:sz w:val="20"/>
        </w:rPr>
        <w:t>“</w:t>
      </w:r>
      <w:r>
        <w:rPr>
          <w:rFonts w:ascii="Times New Roman" w:hAnsi="Times New Roman"/>
          <w:i/>
          <w:caps w:val="false"/>
          <w:smallCaps w:val="false"/>
          <w:sz w:val="20"/>
        </w:rPr>
        <w:t>Special Note Regarding Forward 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those discussed in the section 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under Part II, Item 1A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otherwise requires, the terms </w:t>
      </w:r>
      <w:r>
        <w:rPr>
          <w:rFonts w:ascii="Times New Roman" w:hAnsi="Times New Roman"/>
          <w:caps w:val="false"/>
          <w:smallCaps w:val="false"/>
          <w:sz w:val="20"/>
        </w:rPr>
        <w:t>“</w:t>
      </w:r>
      <w:r>
        <w:rPr>
          <w:rFonts w:ascii="Times New Roman" w:hAnsi="Times New Roman"/>
          <w:i/>
          <w:caps w:val="false"/>
          <w:smallCaps w:val="false"/>
          <w:sz w:val="20"/>
        </w:rPr>
        <w:t>Aterian,</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this Quarterly Report on Form 10-Q refer to Aterian, Inc. and our consolidated subsidiaries, including Aterian Group,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technology-enabled consumer products company that predominantly operates through online retail channels such as Amazon and Walmart.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brands include Squatty Potty; hOmeLabs; Aussie Health; Mueller; Pursteam; Healing Solutions; and Photo Paper Direct ("PPD"). We generate revenue primarily through the online sales of our various consumer products with substantially all of our sales being made through the Amazon U.S.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year ended December 31, 2023, the Company enacted a strategy to reduce the number of SKUs it sells and is no longer pursuing future sales of SKUs that are either not profitable or not core to the Company’s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Seasonality of Business and Product Mix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mix can affect our gross profit and the variable portion of our sales and distribution expenses. We rely heavily on a global supply chain in which the cost, lead times, and delays, as well as global and geopolitical events can ultimately have a direct impact to our margins. Further, impacts on our supply chain may force us to hold more inventory, which not only affects working capital but also requires us to increase our storage capacity, through our warehouse network, which of itself has a capital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Operations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Net Revenue</w:t>
      </w:r>
      <w:r>
        <w:rPr>
          <w:rFonts w:ascii="Times New Roman" w:hAnsi="Times New Roman"/>
          <w:caps w:val="false"/>
          <w:smallCaps w:val="false"/>
          <w:sz w:val="20"/>
        </w:rPr>
        <w:t>—We derive our revenue from the sale of consumer products, primarily in the U.S. We sell products directly to consumers through online 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Cost of Goods Sold</w:t>
      </w:r>
      <w:r>
        <w:rPr>
          <w:rFonts w:ascii="Times New Roman" w:hAnsi="Times New Roman"/>
          <w:caps w:val="false"/>
          <w:smallCaps w:val="false"/>
          <w:sz w:val="20"/>
        </w:rPr>
        <w:t>—Cost of goods sold consists of the book value of inventory sold to customers during the reporting period and the amortization of inventory step-up from acquisitions. Book value of inventory includes the amounts we pay manufacturers for product, tariffs and duties associated with transporting product across national borders, and freight costs associated with transporting the product from our manufacturers to our warehouses, as applicable. Shrinkage costs are also recognized within the cost of goods sold. When circumstances dictate that we use net realizable value as the basis for recording inventory, we base our estimates on expected future selling prices, less expected disposal costs.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Research and Development Expenses</w:t>
      </w:r>
      <w:r>
        <w:rPr>
          <w:rFonts w:ascii="Times New Roman" w:hAnsi="Times New Roman"/>
          <w:caps w:val="false"/>
          <w:smallCaps w:val="false"/>
          <w:sz w:val="20"/>
        </w:rPr>
        <w:t>—Research and development expenses include compensation and employee benefits for technology development employees, travel-related costs and fees paid to outside consultants related to the development of our intellectual property. During the three months ending March 31, 2024, the Company shifted its technology platform away from a fully internally developed model to an integrated third party model.  Therefore, beginning with the three months ending March 31, 2024, technology and employee related costs will be presented in general and administrative costs on the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Sales and Distribution Expenses</w:t>
      </w:r>
      <w:r>
        <w:rPr>
          <w:rFonts w:ascii="Times New Roman" w:hAnsi="Times New Roman"/>
          <w:caps w:val="false"/>
          <w:smallCaps w:val="false"/>
          <w:sz w:val="20"/>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General and Administrative Expenses</w:t>
      </w:r>
      <w:r>
        <w:rPr>
          <w:rFonts w:ascii="Times New Roman" w:hAnsi="Times New Roman"/>
          <w:caps w:val="false"/>
          <w:smallCaps w:val="false"/>
          <w:sz w:val="20"/>
        </w:rPr>
        <w:t>—General and administrative expenses include compensation and employee benefits for executive management, finance administration, legal, and human resources, facility costs, insurance, travel, professional service fees and other general overhead costs, including the costs of being a public company. Beginning with the three months ending March 31, 2024, technology and employee related costs will also be presented in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Interest Expense, Net</w:t>
      </w:r>
      <w:r>
        <w:rPr>
          <w:rFonts w:ascii="Times New Roman" w:hAnsi="Times New Roman"/>
          <w:caps w:val="false"/>
          <w:smallCaps w:val="false"/>
          <w:sz w:val="20"/>
        </w:rPr>
        <w:t>—Interest expense, net includes the interest cost from our credit facility and term loans, and includes amortization of deferred finance costs and debt discounts from our credit facility (the “Credit Facility”) with MidCap Funding IV Trust (“MidCap”).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March 31, 2023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operations as a percentage of net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pPr>
      <w:r>
        <w:rPr/>
        <w:t> </w:t>
      </w:r>
    </w:p>
    <w:tbl>
      <w:tblPr>
        <w:tblW w:w="7897" w:type="dxa"/>
        <w:jc w:val="left"/>
        <w:tblInd w:w="0" w:type="dxa"/>
        <w:tblLayout w:type="fixed"/>
        <w:tblCellMar>
          <w:top w:w="0" w:type="dxa"/>
          <w:left w:w="0" w:type="dxa"/>
          <w:bottom w:w="0" w:type="dxa"/>
          <w:right w:w="0" w:type="dxa"/>
        </w:tblCellMar>
      </w:tblPr>
      <w:tblGrid>
        <w:gridCol w:w="3230"/>
        <w:gridCol w:w="60"/>
        <w:gridCol w:w="207"/>
        <w:gridCol w:w="1078"/>
        <w:gridCol w:w="132"/>
        <w:gridCol w:w="99"/>
        <w:gridCol w:w="207"/>
        <w:gridCol w:w="979"/>
        <w:gridCol w:w="80"/>
        <w:gridCol w:w="60"/>
        <w:gridCol w:w="125"/>
        <w:gridCol w:w="650"/>
        <w:gridCol w:w="80"/>
        <w:gridCol w:w="60"/>
        <w:gridCol w:w="60"/>
        <w:gridCol w:w="545"/>
        <w:gridCol w:w="24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2023(1)</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186"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62"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34,879</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15,782</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2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19,097</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180" w:right="0" w:hanging="0"/>
              <w:jc w:val="left"/>
              <w:rPr/>
            </w:pPr>
            <w:r>
              <w:rPr/>
              <w:t> </w:t>
            </w:r>
          </w:p>
        </w:tc>
      </w:tr>
      <w:tr>
        <w:trPr/>
        <w:tc>
          <w:tcPr>
            <w:tcW w:w="32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20,226</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2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1,247</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5,959</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2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Impairment loss on intangibles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16,660</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0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07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44,092</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97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5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54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(24,995</w:t>
            </w:r>
          </w:p>
        </w:tc>
        <w:tc>
          <w:tcPr>
            <w:tcW w:w="1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78.9</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(25,774</w:t>
            </w:r>
          </w:p>
        </w:tc>
        <w:tc>
          <w:tcPr>
            <w:tcW w:w="1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173.1</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(25,800</w:t>
            </w:r>
          </w:p>
        </w:tc>
        <w:tc>
          <w:tcPr>
            <w:tcW w:w="1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tbl>
      <w:tblPr>
        <w:tblW w:w="5530" w:type="dxa"/>
        <w:jc w:val="left"/>
        <w:tblInd w:w="0" w:type="dxa"/>
        <w:tblLayout w:type="fixed"/>
        <w:tblCellMar>
          <w:top w:w="0" w:type="dxa"/>
          <w:left w:w="0" w:type="dxa"/>
          <w:bottom w:w="0" w:type="dxa"/>
          <w:right w:w="0" w:type="dxa"/>
        </w:tblCellMar>
      </w:tblPr>
      <w:tblGrid>
        <w:gridCol w:w="60"/>
        <w:gridCol w:w="245"/>
        <w:gridCol w:w="52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include stock-based compensation expense as follows:</w:t>
            </w:r>
          </w:p>
        </w:tc>
      </w:tr>
    </w:tbl>
    <w:p>
      <w:pPr>
        <w:pStyle w:val="TextBody"/>
        <w:bidi w:val="0"/>
        <w:spacing w:before="0" w:after="0"/>
        <w:ind w:left="0" w:right="0" w:hanging="0"/>
        <w:jc w:val="left"/>
        <w:rPr>
          <w:caps w:val="false"/>
          <w:smallCaps w:val="false"/>
        </w:rPr>
      </w:pPr>
      <w:r>
        <w:rPr>
          <w:caps w:val="false"/>
          <w:smallCaps w:val="false"/>
        </w:rPr>
        <w:t> </w:t>
      </w:r>
    </w:p>
    <w:tbl>
      <w:tblPr>
        <w:tblW w:w="7919" w:type="dxa"/>
        <w:jc w:val="left"/>
        <w:tblInd w:w="0" w:type="dxa"/>
        <w:tblLayout w:type="fixed"/>
        <w:tblCellMar>
          <w:top w:w="0" w:type="dxa"/>
          <w:left w:w="0" w:type="dxa"/>
          <w:bottom w:w="0" w:type="dxa"/>
          <w:right w:w="0" w:type="dxa"/>
        </w:tblCellMar>
      </w:tblPr>
      <w:tblGrid>
        <w:gridCol w:w="3350"/>
        <w:gridCol w:w="60"/>
        <w:gridCol w:w="252"/>
        <w:gridCol w:w="979"/>
        <w:gridCol w:w="121"/>
        <w:gridCol w:w="121"/>
        <w:gridCol w:w="252"/>
        <w:gridCol w:w="979"/>
        <w:gridCol w:w="60"/>
        <w:gridCol w:w="60"/>
        <w:gridCol w:w="167"/>
        <w:gridCol w:w="528"/>
        <w:gridCol w:w="80"/>
        <w:gridCol w:w="60"/>
        <w:gridCol w:w="60"/>
        <w:gridCol w:w="545"/>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64"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2,317</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operations as a percentage of net revenue:</w:t>
      </w:r>
    </w:p>
    <w:p>
      <w:pPr>
        <w:pStyle w:val="TextBody"/>
        <w:bidi w:val="0"/>
        <w:spacing w:before="0" w:after="0"/>
        <w:ind w:left="0" w:right="0" w:hanging="0"/>
        <w:jc w:val="left"/>
        <w:rPr>
          <w:caps w:val="false"/>
          <w:smallCaps w:val="false"/>
        </w:rPr>
      </w:pPr>
      <w:r>
        <w:rPr>
          <w:caps w:val="false"/>
          <w:smallCaps w:val="false"/>
        </w:rPr>
        <w:t> </w:t>
      </w:r>
    </w:p>
    <w:tbl>
      <w:tblPr>
        <w:tblW w:w="6238" w:type="dxa"/>
        <w:jc w:val="left"/>
        <w:tblInd w:w="0" w:type="dxa"/>
        <w:tblLayout w:type="fixed"/>
        <w:tblCellMar>
          <w:top w:w="0" w:type="dxa"/>
          <w:left w:w="0" w:type="dxa"/>
          <w:bottom w:w="0" w:type="dxa"/>
          <w:right w:w="0" w:type="dxa"/>
        </w:tblCellMar>
      </w:tblPr>
      <w:tblGrid>
        <w:gridCol w:w="3230"/>
        <w:gridCol w:w="60"/>
        <w:gridCol w:w="116"/>
        <w:gridCol w:w="940"/>
        <w:gridCol w:w="475"/>
        <w:gridCol w:w="116"/>
        <w:gridCol w:w="116"/>
        <w:gridCol w:w="940"/>
        <w:gridCol w:w="24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47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4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w:t>
            </w:r>
          </w:p>
        </w:tc>
        <w:tc>
          <w:tcPr>
            <w:tcW w:w="47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54.8</w:t>
            </w:r>
          </w:p>
        </w:tc>
        <w:tc>
          <w:tcPr>
            <w:tcW w:w="47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w:t>
            </w:r>
          </w:p>
        </w:tc>
        <w:tc>
          <w:tcPr>
            <w:tcW w:w="24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w:t>
            </w:r>
          </w:p>
        </w:tc>
        <w:tc>
          <w:tcPr>
            <w:tcW w:w="47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w:t>
            </w:r>
          </w:p>
        </w:tc>
        <w:tc>
          <w:tcPr>
            <w:tcW w:w="24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47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w:t>
            </w:r>
          </w:p>
        </w:tc>
        <w:tc>
          <w:tcPr>
            <w:tcW w:w="47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24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Impairment loss on intangibles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47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126.5</w:t>
            </w:r>
          </w:p>
        </w:tc>
        <w:tc>
          <w:tcPr>
            <w:tcW w:w="47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91.3</w:t>
            </w:r>
          </w:p>
        </w:tc>
        <w:tc>
          <w:tcPr>
            <w:tcW w:w="24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w:t>
            </w:r>
          </w:p>
        </w:tc>
        <w:tc>
          <w:tcPr>
            <w:tcW w:w="4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47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24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47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w:t>
            </w:r>
          </w:p>
        </w:tc>
        <w:tc>
          <w:tcPr>
            <w:tcW w:w="47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w:t>
            </w:r>
          </w:p>
        </w:tc>
        <w:tc>
          <w:tcPr>
            <w:tcW w:w="4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47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w:t>
            </w:r>
          </w:p>
        </w:tc>
        <w:tc>
          <w:tcPr>
            <w:tcW w:w="24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w:t>
            </w:r>
          </w:p>
        </w:tc>
        <w:tc>
          <w:tcPr>
            <w:tcW w:w="4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Net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Revenue by Product Categories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sets forth our net revenue disaggregated by product categories:</w:t>
      </w:r>
    </w:p>
    <w:p>
      <w:pPr>
        <w:pStyle w:val="TextBody"/>
        <w:bidi w:val="0"/>
        <w:spacing w:before="0" w:after="0"/>
        <w:ind w:left="0" w:right="0" w:hanging="0"/>
        <w:jc w:val="left"/>
        <w:rPr>
          <w:caps w:val="false"/>
          <w:smallCaps w:val="false"/>
        </w:rPr>
      </w:pPr>
      <w:r>
        <w:rPr>
          <w:caps w:val="false"/>
          <w:smallCaps w:val="false"/>
        </w:rPr>
        <w:t> </w:t>
      </w:r>
    </w:p>
    <w:tbl>
      <w:tblPr>
        <w:tblW w:w="5537" w:type="dxa"/>
        <w:jc w:val="left"/>
        <w:tblInd w:w="0" w:type="dxa"/>
        <w:tblLayout w:type="fixed"/>
        <w:tblCellMar>
          <w:top w:w="0" w:type="dxa"/>
          <w:left w:w="0" w:type="dxa"/>
          <w:bottom w:w="0" w:type="dxa"/>
          <w:right w:w="0" w:type="dxa"/>
        </w:tblCellMar>
      </w:tblPr>
      <w:tblGrid>
        <w:gridCol w:w="995"/>
        <w:gridCol w:w="60"/>
        <w:gridCol w:w="218"/>
        <w:gridCol w:w="1029"/>
        <w:gridCol w:w="104"/>
        <w:gridCol w:w="104"/>
        <w:gridCol w:w="218"/>
        <w:gridCol w:w="1029"/>
        <w:gridCol w:w="60"/>
        <w:gridCol w:w="60"/>
        <w:gridCol w:w="125"/>
        <w:gridCol w:w="650"/>
        <w:gridCol w:w="80"/>
        <w:gridCol w:w="60"/>
        <w:gridCol w:w="60"/>
        <w:gridCol w:w="440"/>
        <w:gridCol w:w="245"/>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37"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33,363</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(13,294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9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Wholesale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1,516</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34,879</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 decreased $14.7 million, or 42.0%, during the three months ended March 31, 2024 to $20.2 million, compared to $34.9 million for the three months ended March 31, 2023. The decrease in net revenue was primarily attributable to a decrease in direct net revenue of $13.3 million, or 39.8%, which was primarily relating to a reduction in our product offering due to our SKU rationalization, competitive pricing pressure and other competitive dynamics on marketplaces.</w:t>
      </w:r>
    </w:p>
    <w:p>
      <w:pPr>
        <w:pStyle w:val="TextBody"/>
        <w:bidi w:val="0"/>
        <w:spacing w:before="0" w:after="0"/>
        <w:ind w:left="0" w:right="0" w:hanging="0"/>
        <w:jc w:val="left"/>
        <w:rPr>
          <w:caps w:val="false"/>
          <w:smallCaps w:val="false"/>
        </w:rPr>
      </w:pPr>
      <w:r>
        <w:rPr>
          <w:caps w:val="false"/>
          <w:smallCaps w:val="false"/>
        </w:rPr>
        <w:t> </w:t>
      </w:r>
    </w:p>
    <w:tbl>
      <w:tblPr>
        <w:tblW w:w="5842" w:type="dxa"/>
        <w:jc w:val="left"/>
        <w:tblInd w:w="0" w:type="dxa"/>
        <w:tblLayout w:type="fixed"/>
        <w:tblCellMar>
          <w:top w:w="0" w:type="dxa"/>
          <w:left w:w="0" w:type="dxa"/>
          <w:bottom w:w="0" w:type="dxa"/>
          <w:right w:w="0" w:type="dxa"/>
        </w:tblCellMar>
      </w:tblPr>
      <w:tblGrid>
        <w:gridCol w:w="3020"/>
        <w:gridCol w:w="60"/>
        <w:gridCol w:w="218"/>
        <w:gridCol w:w="1029"/>
        <w:gridCol w:w="104"/>
        <w:gridCol w:w="104"/>
        <w:gridCol w:w="218"/>
        <w:gridCol w:w="1029"/>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2"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5,349</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3,204</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6,371</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4,857</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3,313</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Personal protective equipment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509</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Cookware, kitchen tools and gadgets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3,620</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1,395</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Home office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2,667</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Housewares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6,209</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4,885</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Essential oils and related accessories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4,588</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3,208</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34,879</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20,214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Every category of business had a reduction in sales compared to the prior year primarily relating to the SKU rationalization that took place during the year-ended December 31, 2023 and softness in consumer demand due the macroeconomic environment. In addition, there were competitive pricing pressures coupled with certain key products losing their prominent positioning on Amazon due to competition, specifically in the air quality and kitchen appliance businesses. These factors resulted in a reduction of units sold and a reduction in retail sales prices generally for each category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Goods Sold and Gross Profit</w:t>
      </w:r>
    </w:p>
    <w:p>
      <w:pPr>
        <w:pStyle w:val="TextBody"/>
        <w:bidi w:val="0"/>
        <w:spacing w:before="0" w:after="0"/>
        <w:ind w:left="0" w:right="0" w:hanging="0"/>
        <w:jc w:val="left"/>
        <w:rPr>
          <w:caps w:val="false"/>
          <w:smallCaps w:val="false"/>
        </w:rPr>
      </w:pPr>
      <w:r>
        <w:rPr>
          <w:caps w:val="false"/>
          <w:smallCaps w:val="false"/>
        </w:rPr>
        <w:t> </w:t>
      </w:r>
    </w:p>
    <w:tbl>
      <w:tblPr>
        <w:tblW w:w="5997" w:type="dxa"/>
        <w:jc w:val="left"/>
        <w:tblInd w:w="0" w:type="dxa"/>
        <w:tblLayout w:type="fixed"/>
        <w:tblCellMar>
          <w:top w:w="0" w:type="dxa"/>
          <w:left w:w="0" w:type="dxa"/>
          <w:bottom w:w="0" w:type="dxa"/>
          <w:right w:w="0" w:type="dxa"/>
        </w:tblCellMar>
      </w:tblPr>
      <w:tblGrid>
        <w:gridCol w:w="1535"/>
        <w:gridCol w:w="60"/>
        <w:gridCol w:w="218"/>
        <w:gridCol w:w="1029"/>
        <w:gridCol w:w="104"/>
        <w:gridCol w:w="104"/>
        <w:gridCol w:w="218"/>
        <w:gridCol w:w="1029"/>
        <w:gridCol w:w="60"/>
        <w:gridCol w:w="60"/>
        <w:gridCol w:w="129"/>
        <w:gridCol w:w="566"/>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7"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15,782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19,097</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decreased by $8.7 million, from $15.8 million for the three months ended March 31, 2023 to $7.0 million for the three months ended March 31, 2024 primarily from reduced sales volumes. The decrease in cost of goods sold was primarily attributable to a decrease of $6.3 million in cost of goods sold from our organic businesses and a decrease of $2.4 million in cost of goods sold from our wholesale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increased from 54.8% for the three months ended March 31, 2023 to 65.1% for the three months ended March 31, 2024. The increase in gross profit was due primarily to a change of product mix, improved shipping container rates, and a reduction in liquidation of high priced excess inventory at reduced prices compared to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Distribution Expenses</w:t>
      </w:r>
    </w:p>
    <w:p>
      <w:pPr>
        <w:pStyle w:val="TextBody"/>
        <w:bidi w:val="0"/>
        <w:spacing w:before="0" w:after="0"/>
        <w:ind w:left="0" w:right="0" w:hanging="0"/>
        <w:jc w:val="left"/>
        <w:rPr>
          <w:caps w:val="false"/>
          <w:smallCaps w:val="false"/>
        </w:rPr>
      </w:pPr>
      <w:r>
        <w:rPr>
          <w:caps w:val="false"/>
          <w:smallCaps w:val="false"/>
        </w:rPr>
        <w:t> </w:t>
      </w:r>
    </w:p>
    <w:tbl>
      <w:tblPr>
        <w:tblW w:w="7032" w:type="dxa"/>
        <w:jc w:val="left"/>
        <w:tblInd w:w="0" w:type="dxa"/>
        <w:tblLayout w:type="fixed"/>
        <w:tblCellMar>
          <w:top w:w="0" w:type="dxa"/>
          <w:left w:w="0" w:type="dxa"/>
          <w:bottom w:w="0" w:type="dxa"/>
          <w:right w:w="0" w:type="dxa"/>
        </w:tblCellMar>
      </w:tblPr>
      <w:tblGrid>
        <w:gridCol w:w="2570"/>
        <w:gridCol w:w="60"/>
        <w:gridCol w:w="218"/>
        <w:gridCol w:w="1029"/>
        <w:gridCol w:w="104"/>
        <w:gridCol w:w="104"/>
        <w:gridCol w:w="218"/>
        <w:gridCol w:w="1029"/>
        <w:gridCol w:w="60"/>
        <w:gridCol w:w="60"/>
        <w:gridCol w:w="129"/>
        <w:gridCol w:w="566"/>
        <w:gridCol w:w="80"/>
        <w:gridCol w:w="60"/>
        <w:gridCol w:w="60"/>
        <w:gridCol w:w="440"/>
        <w:gridCol w:w="24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7"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20,226</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distribution expenses, which included e-commerce platform commissions, online advertising and logistics expenses (i.e., variable sales and distribution expense), decreased to $13.2 million for the three months ended March 31, 2024, from $20.2 million for the three months ended March 31, 2023. This decrease is primarily attributable to the decrease in the volume of products sold in the three months ended March 31, 2024, as our e-commerce platform commissions, online advertising, selling and logistics expenses decreased to $10.3 million in the three months ended March 31, 2024 as compared to $17.0 million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sales and distribution fixed costs (e.g., salary and office expenses) including stock-based compensation decreased to $2.9 million for the three months ended March 31, 2024, from $3.2 million for the three months ended March 31, 2023. This decrease is primarily attributable to lower stock-compensation expense of $0.4 million and lower headcount expense of $0.5 million, partially offset by an increase in restructuring costs of $0.3 million and an increase in miscellaneous vendor costs costs of $0.3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percentage of net revenue, sales and distribution expenses increased to 65.4% for the three months ended March 31, 2024, from 58.0% for the three months ended March 31, 2023. E-commerce platform commissions, online advertising, selling and logistics expenses included within sales and distribution expenses, as a percentage of net revenue, were 51.1% for the three months ended March 31, 2024 as compared to 48.8% for the three months ended March 31, 2023. This increase in sales and distribution expenses as a percentage of revenue is predominantly due to product mix and an increase in online advertising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Expenses </w:t>
      </w:r>
    </w:p>
    <w:p>
      <w:pPr>
        <w:pStyle w:val="TextBody"/>
        <w:bidi w:val="0"/>
        <w:spacing w:before="0" w:after="0"/>
        <w:ind w:left="0" w:right="0" w:hanging="0"/>
        <w:jc w:val="left"/>
        <w:rPr>
          <w:caps w:val="false"/>
          <w:smallCaps w:val="false"/>
        </w:rPr>
      </w:pPr>
      <w:r>
        <w:rPr>
          <w:caps w:val="false"/>
          <w:smallCaps w:val="false"/>
        </w:rPr>
        <w:t> </w:t>
      </w:r>
    </w:p>
    <w:tbl>
      <w:tblPr>
        <w:tblW w:w="7557" w:type="dxa"/>
        <w:jc w:val="left"/>
        <w:tblInd w:w="0" w:type="dxa"/>
        <w:tblLayout w:type="fixed"/>
        <w:tblCellMar>
          <w:top w:w="0" w:type="dxa"/>
          <w:left w:w="0" w:type="dxa"/>
          <w:bottom w:w="0" w:type="dxa"/>
          <w:right w:w="0" w:type="dxa"/>
        </w:tblCellMar>
      </w:tblPr>
      <w:tblGrid>
        <w:gridCol w:w="2990"/>
        <w:gridCol w:w="60"/>
        <w:gridCol w:w="303"/>
        <w:gridCol w:w="1176"/>
        <w:gridCol w:w="145"/>
        <w:gridCol w:w="145"/>
        <w:gridCol w:w="303"/>
        <w:gridCol w:w="630"/>
        <w:gridCol w:w="60"/>
        <w:gridCol w:w="60"/>
        <w:gridCol w:w="129"/>
        <w:gridCol w:w="566"/>
        <w:gridCol w:w="80"/>
        <w:gridCol w:w="60"/>
        <w:gridCol w:w="60"/>
        <w:gridCol w:w="545"/>
        <w:gridCol w:w="24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7"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1,247</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ending March 31, 2024, the Company shifted its technology platform away from a fully internally developed model to an integrated third party model.  Therefore, beginning with the three months ending March 31, 2024, technology and employee related costs will be presented in general and administrative costs on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General and Administrative Expenses </w:t>
      </w:r>
    </w:p>
    <w:p>
      <w:pPr>
        <w:pStyle w:val="TextBody"/>
        <w:bidi w:val="0"/>
        <w:spacing w:before="0" w:after="0"/>
        <w:ind w:left="0" w:right="0" w:hanging="0"/>
        <w:jc w:val="left"/>
        <w:rPr>
          <w:caps w:val="false"/>
          <w:smallCaps w:val="false"/>
        </w:rPr>
      </w:pPr>
      <w:r>
        <w:rPr>
          <w:caps w:val="false"/>
          <w:smallCaps w:val="false"/>
        </w:rPr>
        <w:t> </w:t>
      </w:r>
    </w:p>
    <w:tbl>
      <w:tblPr>
        <w:tblW w:w="7454" w:type="dxa"/>
        <w:jc w:val="left"/>
        <w:tblInd w:w="0" w:type="dxa"/>
        <w:tblLayout w:type="fixed"/>
        <w:tblCellMar>
          <w:top w:w="0" w:type="dxa"/>
          <w:left w:w="0" w:type="dxa"/>
          <w:bottom w:w="0" w:type="dxa"/>
          <w:right w:w="0" w:type="dxa"/>
        </w:tblCellMar>
      </w:tblPr>
      <w:tblGrid>
        <w:gridCol w:w="2990"/>
        <w:gridCol w:w="60"/>
        <w:gridCol w:w="252"/>
        <w:gridCol w:w="979"/>
        <w:gridCol w:w="121"/>
        <w:gridCol w:w="121"/>
        <w:gridCol w:w="252"/>
        <w:gridCol w:w="979"/>
        <w:gridCol w:w="60"/>
        <w:gridCol w:w="60"/>
        <w:gridCol w:w="167"/>
        <w:gridCol w:w="528"/>
        <w:gridCol w:w="80"/>
        <w:gridCol w:w="60"/>
        <w:gridCol w:w="60"/>
        <w:gridCol w:w="440"/>
        <w:gridCol w:w="24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9"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5,959</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decrease in general and administrative expenses was primarily the result of a decrease of $1.3 million in depreciation and amortization, partially offset by an increase in restructuring costs of $0.2 million, an increase in stock-compensation expense of $0.2 million, an increase in headcount expense of $0.1 million, and an increase in miscellaneous costs of $0.1 million primarily relating to the inclusion of research and development expenses in general and administrative expenses for the three months ending March 31, 2024.</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Impairment loss on intangibles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74" w:type="dxa"/>
        <w:jc w:val="left"/>
        <w:tblInd w:w="0" w:type="dxa"/>
        <w:tblLayout w:type="fixed"/>
        <w:tblCellMar>
          <w:top w:w="0" w:type="dxa"/>
          <w:left w:w="0" w:type="dxa"/>
          <w:bottom w:w="0" w:type="dxa"/>
          <w:right w:w="0" w:type="dxa"/>
        </w:tblCellMar>
      </w:tblPr>
      <w:tblGrid>
        <w:gridCol w:w="2525"/>
        <w:gridCol w:w="60"/>
        <w:gridCol w:w="277"/>
        <w:gridCol w:w="1308"/>
        <w:gridCol w:w="133"/>
        <w:gridCol w:w="133"/>
        <w:gridCol w:w="277"/>
        <w:gridCol w:w="576"/>
        <w:gridCol w:w="60"/>
        <w:gridCol w:w="60"/>
        <w:gridCol w:w="125"/>
        <w:gridCol w:w="650"/>
        <w:gridCol w:w="80"/>
        <w:gridCol w:w="60"/>
        <w:gridCol w:w="60"/>
        <w:gridCol w:w="545"/>
        <w:gridCol w:w="245"/>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99"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 loss on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16,660</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(16,660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asset groups experienced a significant decrease in sales and contribution margin through March 31, 2023. This was considered an interim triggering event for the three months ended March 31, 2023. Based on the analysis of comparing the undiscounted cash flow to the carrying value of the asset group, one group tested indicated that the assets may not be recoverable. For this asset group, we compared the fair value to the carrying amount of the asset group and recorded an intangible impairment charge of $16.7 million in the three months ended March 31, 2023. There was no impairment loss on intangibles during the three months ended March 31, 2024.</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tbl>
      <w:tblPr>
        <w:tblW w:w="6134" w:type="dxa"/>
        <w:jc w:val="left"/>
        <w:tblInd w:w="0" w:type="dxa"/>
        <w:tblLayout w:type="fixed"/>
        <w:tblCellMar>
          <w:top w:w="0" w:type="dxa"/>
          <w:left w:w="0" w:type="dxa"/>
          <w:bottom w:w="0" w:type="dxa"/>
          <w:right w:w="0" w:type="dxa"/>
        </w:tblCellMar>
      </w:tblPr>
      <w:tblGrid>
        <w:gridCol w:w="1670"/>
        <w:gridCol w:w="60"/>
        <w:gridCol w:w="325"/>
        <w:gridCol w:w="871"/>
        <w:gridCol w:w="156"/>
        <w:gridCol w:w="156"/>
        <w:gridCol w:w="325"/>
        <w:gridCol w:w="871"/>
        <w:gridCol w:w="60"/>
        <w:gridCol w:w="60"/>
        <w:gridCol w:w="209"/>
        <w:gridCol w:w="486"/>
        <w:gridCol w:w="80"/>
        <w:gridCol w:w="60"/>
        <w:gridCol w:w="60"/>
        <w:gridCol w:w="440"/>
        <w:gridCol w:w="245"/>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9"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 was relatively flat for the three months ended March 31, 2023 and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 in fair market value of warrant liability</w:t>
      </w:r>
    </w:p>
    <w:p>
      <w:pPr>
        <w:pStyle w:val="TextBody"/>
        <w:bidi w:val="0"/>
        <w:spacing w:before="0" w:after="0"/>
        <w:ind w:left="0" w:right="0" w:hanging="0"/>
        <w:jc w:val="left"/>
        <w:rPr>
          <w:caps w:val="false"/>
          <w:smallCaps w:val="false"/>
        </w:rPr>
      </w:pPr>
      <w:r>
        <w:rPr>
          <w:caps w:val="false"/>
          <w:smallCaps w:val="false"/>
        </w:rPr>
        <w:t> </w:t>
      </w:r>
    </w:p>
    <w:tbl>
      <w:tblPr>
        <w:tblW w:w="8417" w:type="dxa"/>
        <w:jc w:val="left"/>
        <w:tblInd w:w="0" w:type="dxa"/>
        <w:tblLayout w:type="fixed"/>
        <w:tblCellMar>
          <w:top w:w="0" w:type="dxa"/>
          <w:left w:w="0" w:type="dxa"/>
          <w:bottom w:w="0" w:type="dxa"/>
          <w:right w:w="0" w:type="dxa"/>
        </w:tblCellMar>
      </w:tblPr>
      <w:tblGrid>
        <w:gridCol w:w="3830"/>
        <w:gridCol w:w="60"/>
        <w:gridCol w:w="307"/>
        <w:gridCol w:w="823"/>
        <w:gridCol w:w="147"/>
        <w:gridCol w:w="147"/>
        <w:gridCol w:w="307"/>
        <w:gridCol w:w="971"/>
        <w:gridCol w:w="80"/>
        <w:gridCol w:w="60"/>
        <w:gridCol w:w="167"/>
        <w:gridCol w:w="528"/>
        <w:gridCol w:w="80"/>
        <w:gridCol w:w="60"/>
        <w:gridCol w:w="60"/>
        <w:gridCol w:w="545"/>
        <w:gridCol w:w="245"/>
      </w:tblGrid>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2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37"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market value of warrant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2023 and 2024 activity is related to the change in fair market value of the warrant liabilities from the Prefunded Warrants and common stock warrants from our March 2022 equity raise of capital. The change in fair value of warrant liabilities during the three months ending March 31, 2024 primarily relates to the reduced share price compared to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Cash Flows for the Three Months Ended March 31, 2023 and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regarding our cash flows for the three months ended March 31, 2023 and 2024:</w:t>
      </w:r>
    </w:p>
    <w:p>
      <w:pPr>
        <w:pStyle w:val="TextBody"/>
        <w:bidi w:val="0"/>
        <w:spacing w:before="0" w:after="0"/>
        <w:ind w:left="0" w:right="0" w:hanging="0"/>
        <w:jc w:val="left"/>
        <w:rPr>
          <w:caps w:val="false"/>
          <w:smallCaps w:val="false"/>
        </w:rPr>
      </w:pPr>
      <w:r>
        <w:rPr>
          <w:caps w:val="false"/>
          <w:smallCaps w:val="false"/>
        </w:rPr>
        <w:t> </w:t>
      </w:r>
    </w:p>
    <w:tbl>
      <w:tblPr>
        <w:tblW w:w="6673" w:type="dxa"/>
        <w:jc w:val="left"/>
        <w:tblInd w:w="0" w:type="dxa"/>
        <w:tblLayout w:type="fixed"/>
        <w:tblCellMar>
          <w:top w:w="0" w:type="dxa"/>
          <w:left w:w="0" w:type="dxa"/>
          <w:bottom w:w="0" w:type="dxa"/>
          <w:right w:w="0" w:type="dxa"/>
        </w:tblCellMar>
      </w:tblPr>
      <w:tblGrid>
        <w:gridCol w:w="3830"/>
        <w:gridCol w:w="60"/>
        <w:gridCol w:w="213"/>
        <w:gridCol w:w="1109"/>
        <w:gridCol w:w="136"/>
        <w:gridCol w:w="102"/>
        <w:gridCol w:w="213"/>
        <w:gridCol w:w="930"/>
        <w:gridCol w:w="80"/>
      </w:tblGrid>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3"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(7,417</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provided (used) by financing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(2,985</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on cash</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change in and restricted cash for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(10,431</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Net Cash Used in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 was $7.4 million for the three months ended March 31, 2023, resulting primarily from our net cash losses from operations of $5.8 million, impacts from working capital of $1.6 million from changes in accounts receivable, purchases of inventory and payments of accounts payable. The reduction in accounts payable of $7.1 million from December 31, 2022 to March 31, 2023 primarily relates to payments for inventory and reduced purchases for the period.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$6 thousand for the three months ended March 31, 2024, resulting primarily from our net cash losses from operations of $4.4 million, inflow from working capital of $4.4 million from changes in accounts receivable, purchases of inventory and payments of accounts payable. The reduction of gross inventory of $3.0 million from December 31, 2023 to March 31, 2024 primarily relates to the liquidation of high priced excess inventory and a reduction of purchases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Net Cash Used in Investing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months ended March 31, 2023, net cash used in investing activities was $0.2 million primarily related to the remaining payment for the purchase of Step and Go assets which was acquired during the three months ending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2024, net cash used in investing activities was $0.2 million primarily related to the purchase of a minority equity investment in 4th and Heart during the three months ending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Net Cash Provided (Used) by 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months ended March 31, 2023, cash used by financing activities of $3.0 million primarily from the net repayments for our MidCap credit facility of $2.1 million, repayment of note payable to Smash of $0.4 million and payment of insurance obligations of $0.5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2024, cash used by financing activities of $2.2 million primarily from the net repayments for our MidCap credit facility of $1.8 million, repayment of note payable to Smash of $0.2 million and payment of insurance obligations of $0.2 million.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for the foreseeable future until such time that we reach a scale of profitability to sustain our operations.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date the accompanying Consolidated Financial Statements were issued (the “issuance date”), we evaluated the significance of the following adverse financial conditions in accordance with Accounting Standard Codification 205-40,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left"/>
        <w:rPr/>
      </w:pPr>
      <w:r>
        <w:rPr/>
        <w:t xml:space="preserve">• </w:t>
      </w:r>
      <w:r>
        <w:rPr>
          <w:rFonts w:ascii="Times New Roman" w:hAnsi="Times New Roman"/>
          <w:sz w:val="20"/>
        </w:rPr>
        <w:t>Since our inception, we have incurred significant losses and used cash flows from operations to fund our enterprise. In this regard, during the three months ended March 31, 2024, we incurred a net loss of $5.2 million and used net cash flows in our operations of $6 thousand. In addition, as of March 31, 2024, we had unrestricted cash and cash equivalents of $17.5 million available to fund our operations and an accumulated deficit of $705.0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We are required to remain in compliance with certain financial covenants required by the MidCap Credit facility (See Note 6, Credit Facility, Term Loans and Warrants). We were in compliance with these financial covenants as of March 31, 2024, and expect to remain in compliance through at least March 31, 2025. During February 2024, the Company amended its terms with Midcap Credit Facility extending the term until December 2026 and amending certain financial covenants with favorable terms. However, with our short history of forecasting our business following the onset of the COVID-19 global pandemic, the current global inflation, related global supply chain disruptions and uncertain consumer demand, we can provide no assurances that we will remain in compliance with our financial covenants.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As of the issuance date, we have no firm commitments to secure additional outside capital from lenders or investors. While we expect to continue to explore raising additional outside capital, specifically to fund our M&amp;A strategy,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Company's plan is to continue to closely monitor our operating forecast, to pursue our M&amp;A strategy, to pursue additional sources of outside capital on terms that are acceptable to us, and to secure a waiver or forbearance from MidCap if we are unable to remain in compliance with one or more of the covenants required by the MidCap Credit Facility. Further, the Company has enacted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extBody"/>
        <w:bidi w:val="0"/>
        <w:spacing w:before="0" w:after="0"/>
        <w:ind w:left="5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initiated two restructuring programs over the last 12 months to reduce operating costs and right size the workforce to align with the scale of our streamlined operations. In addition, we have reduced the SKU count to solely focus on profitable products that are core to the Company’s strategy. During the three months ending March 31, 2024, we extended the term with Midcap Credit Facility until December 2026 (See Note 6, Credit Facility, Term Loans and Warrants) and amended key terms which will add more flexibility to liquidity and strengthen our balance sheet. In consideration of these factors, the Company will monitor profitability and cash flow over the next several quarters to evaluate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Nasdaq Listing - </w:t>
      </w:r>
      <w:r>
        <w:rPr>
          <w:rFonts w:ascii="Times New Roman" w:hAnsi="Times New Roman"/>
          <w:caps w:val="false"/>
          <w:smallCaps w:val="false"/>
          <w:sz w:val="20"/>
        </w:rPr>
        <w:t>On April 24, 2023, we received a letter from the Listing Qualifications Staff of The Nasdaq Stock Market LLC (“Nasdaq”) indicating that, based upon the closing bid price of our common stock for the last 30 consecutive business days, the Company is currently in compliance with the requirement to maintain a minimum bid price of $1.00 per share for continued listing on The Nasdaq Capital Market, as set forth in Nasdaq Listing Rule 5550(a)(2)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(the “Extension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11, 2023, Aterian's shareholders approved discretionary authority to our Board to (A) amend our Amended and Restated Certificate of Incorporation to effect one or more consolidations of the issued and outstanding shares of our common stock, par value $0.0001 per share, pursuant to which the shares of Common Stock would be combined and reclassified at ratios within the range from 1-for-2 up to 1-for-30 and (B) determine whether to arrange for the disposition of fractional interests by stockholders entitled thereto, to pay in cash the fair value of fractions of a share of Common Stock as of the time when those entitled to receive such fractions are determined, or to entitle stockholders to receive from our transfer agent, in lieu of any fractional share, the number of shares of Common Stock rounded up to the next whole number, and to amend our Amended and Restated Certificate of Incorporation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20, 2024, the Company filed a Certificate of Amendment to its Amended and Restated Certificate of Incorporation of the Company with the Secretary of State of Delaware (the “Certificate of Amendment”) to affect a 1 - 12 reverse stock split (the “Reverse Stock Split”) of the shares of the Company’s common stock, par value $0.0001 per share (the “Common Stock”). The Certificate of Amendment did not decrease the number of authorized shares of Common Stock.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not impact any stockholder’s percentage ownership of Common Stock (except to the extent the Reverse Stock Split results in any stockholder owning fractional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Common Stock began trading on a Reverse Stock Split-adjusted basis on the Nasdaq on March 22, 2024. All share and per share data has been retroactively adjusted to reflect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Restructuring - </w:t>
      </w:r>
      <w:r>
        <w:rPr>
          <w:rFonts w:ascii="Times New Roman" w:hAnsi="Times New Roman"/>
          <w:caps w:val="false"/>
          <w:smallCaps w:val="false"/>
          <w:sz w:val="20"/>
        </w:rPr>
        <w:t>On May 9, 2023, the Company announced a plan to reduce expenses by implementing a reduction in its current workforce impacting approximately 50 employees and 15 contractors, primarily in the Philippines. The Company recognized restructuring charges of $1.6 million for the year-ended December 31,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8, 2024, the Company committed to a fixed cost-cutting plan, including a reduction in workforce which resulted in the termination of approximately 17 employees and 26 contractors globally. The Company recognized restructuring charges of $0.6 million for the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March 31, 2024, the Company has a liability of $0.4 million for restructuring costs, of which $0.3 million is included in accrued expenses and other current liabilities and $0.1 million is included in other liabilities on the consolidated balance sheet. There were no restructuring costs incurred during the three months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MidCap Credit Facility </w:t>
      </w:r>
      <w:r>
        <w:rPr>
          <w:rFonts w:ascii="Times New Roman" w:hAnsi="Times New Roman"/>
          <w:caps w:val="false"/>
          <w:smallCaps w:val="false"/>
          <w:sz w:val="20"/>
        </w:rPr>
        <w:t>—On December 22, 2021, we entered into a Credit Facility with MidCap, pursuant to which, among other things, (i) 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16,667 shares of our common stock, in exchange for the Lenders extending loans and other extensions of credit to us under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Facility contained a financial covenant that required us to maintain a minimum unrestricted cash balance of (a) $12.5 million during the period from February 1st through and including May 31st of each calendar year, and (b) $15.0 million at all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23, 2024, the Company amended its asset backed credit facility with MidCap Financial Trust. The Credit Facility term has been extended to December 2026 and gives Aterian access to $17 million in current commitments which can be increased, subject to certain conditions, to $30.0 million. The Credit Facility extension reduces the minimum liquidity financial covenant from a peak of $15.0 million to $6.8 million of cash on hand and/or availability in the Credit Facility. The extension fee was less than $0.1 million. At our election, we may elect to comply with an alternative financial covenant that would require us to maintain a minimum borrowing availability under the credit facility of $5.0 million at all times. We currently do not anticipate electing the alternative financial covenant over the next twelve months and are in compliance with the minimum liquidity covenant as of the date these Condensed Consolidated Financial Statements were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outstanding balance on the MidCap credit facility as of December 31, 2023 and March 31, 2024 was $11.1 million and $9.4 million, respectively. The Company had no availability on the Midcap credit facility as of March 31, 2024. We are in compliance with the financial covenants contained within the Credit Agreement as of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our financial statements and the other financial data included in this Quarterly Report have been prepared in a manner that complies, in all material respects, with generally accepted accounting principles in the U.S. (“GAAP”). However, for the reasons discussed below, we have presented certain non-GAAP measures herein.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used herein, Contribution margin represents gross profit less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provision for income taxes. As used herein, Adjusted EBITDA represents EBITDA plus stock-based compensation expense, changes in fair-market value of warrant liability, impairment on intangibles, restructuring expenses,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reconciliation to calculate contribution margin, we add e-commerce platform commissions, online advertising, selling and logistics expenses (“sales and distribution variable expense”) to gross profit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that EBITDA, Adjusted EBITDA and Adjusted EBITDA as a percentage of net revenue, have limitations as analytical financial measures. For example, neither EBITDA nor Adjusted EBITDA reflects: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our capital expenditures or future requirements for capital expenditures or mergers and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interest expense or the cash requirements necessary to service interest expense or principal payments, associated with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depreciation and amortization, which are non-cash charges, although the assets being depreciated and amortized will likely have to be replaced in the future, or any cash requirements for the replacement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changes in cash requirements for our working capital needs;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changes in fair value of contingent earn-out liabilities, warrant liabilities, and amortization of inventory step-up from acquisitions (included in 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Adjusted EBITDA excludes non-cash stock-based compensation expense, which is and is expected to remain a key element of our overall long-term incentive compensation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recognize that Contribution margin and Contribution margin as a percentage of net revenue have limitations as analytical financial measures. For example, Contribution margin does not reflect: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general and administrative expense necessary to operate our business; •research and development expenses necessary for the development, operation and support of our software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fixed costs portion of our sales and distribution expenses including stock-based compensation expense;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changes in fair value of contingent earn-out liabilities, warrant liabilities, and amortization of inventory step-up from acquisitions (included in cost of goods sold).</w:t>
      </w:r>
    </w:p>
    <w:p>
      <w:pPr>
        <w:pStyle w:val="TextBody"/>
        <w:bidi w:val="0"/>
        <w:spacing w:before="0" w:after="0"/>
        <w:ind w:left="50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Contribution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pStyle w:val="TextBody"/>
        <w:bidi w:val="0"/>
        <w:spacing w:before="0" w:after="0"/>
        <w:ind w:left="0" w:right="0" w:hanging="0"/>
        <w:jc w:val="left"/>
        <w:rPr>
          <w:caps w:val="false"/>
          <w:smallCaps w:val="false"/>
        </w:rPr>
      </w:pPr>
      <w:r>
        <w:rPr>
          <w:caps w:val="false"/>
          <w:smallCaps w:val="false"/>
        </w:rPr>
        <w:t> </w:t>
      </w:r>
    </w:p>
    <w:tbl>
      <w:tblPr>
        <w:tblW w:w="9988" w:type="dxa"/>
        <w:jc w:val="left"/>
        <w:tblInd w:w="0" w:type="dxa"/>
        <w:tblLayout w:type="fixed"/>
        <w:tblCellMar>
          <w:top w:w="0" w:type="dxa"/>
          <w:left w:w="0" w:type="dxa"/>
          <w:bottom w:w="0" w:type="dxa"/>
          <w:right w:w="0" w:type="dxa"/>
        </w:tblCellMar>
      </w:tblPr>
      <w:tblGrid>
        <w:gridCol w:w="6935"/>
        <w:gridCol w:w="60"/>
        <w:gridCol w:w="195"/>
        <w:gridCol w:w="1018"/>
        <w:gridCol w:w="289"/>
        <w:gridCol w:w="93"/>
        <w:gridCol w:w="195"/>
        <w:gridCol w:w="1018"/>
        <w:gridCol w:w="185"/>
      </w:tblGrid>
      <w:tr>
        <w:trPr/>
        <w:tc>
          <w:tcPr>
            <w:tcW w:w="6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8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19,097</w:t>
            </w:r>
          </w:p>
        </w:tc>
        <w:tc>
          <w:tcPr>
            <w:tcW w:w="28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13,168</w:t>
            </w:r>
          </w:p>
        </w:tc>
        <w:tc>
          <w:tcPr>
            <w:tcW w:w="18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E-commerce platform commissions, online advertising, selling and logistics expenses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(17,029</w:t>
            </w:r>
          </w:p>
        </w:tc>
        <w:tc>
          <w:tcPr>
            <w:tcW w:w="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 margin</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2,068</w:t>
            </w:r>
          </w:p>
        </w:tc>
        <w:tc>
          <w:tcPr>
            <w:tcW w:w="28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2,848</w:t>
            </w:r>
          </w:p>
        </w:tc>
        <w:tc>
          <w:tcPr>
            <w:tcW w:w="18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as a percentage of net revenue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 margin as a percentage of net revenue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EBITDA and Adjusted EBITDA to net loss, which is the most directly comparable financial measure presented in accordance with GAAP:</w:t>
      </w:r>
    </w:p>
    <w:p>
      <w:pPr>
        <w:pStyle w:val="TextBody"/>
        <w:bidi w:val="0"/>
        <w:spacing w:before="0" w:after="0"/>
        <w:ind w:left="0" w:right="0" w:hanging="0"/>
        <w:jc w:val="left"/>
        <w:rPr>
          <w:caps w:val="false"/>
          <w:smallCaps w:val="false"/>
        </w:rPr>
      </w:pPr>
      <w:r>
        <w:rPr>
          <w:caps w:val="false"/>
          <w:smallCaps w:val="false"/>
        </w:rPr>
        <w:t> </w:t>
      </w:r>
    </w:p>
    <w:tbl>
      <w:tblPr>
        <w:tblW w:w="7092" w:type="dxa"/>
        <w:jc w:val="left"/>
        <w:tblInd w:w="0" w:type="dxa"/>
        <w:tblLayout w:type="fixed"/>
        <w:tblCellMar>
          <w:top w:w="0" w:type="dxa"/>
          <w:left w:w="0" w:type="dxa"/>
          <w:bottom w:w="0" w:type="dxa"/>
          <w:right w:w="0" w:type="dxa"/>
        </w:tblCellMar>
      </w:tblPr>
      <w:tblGrid>
        <w:gridCol w:w="3980"/>
        <w:gridCol w:w="60"/>
        <w:gridCol w:w="200"/>
        <w:gridCol w:w="1044"/>
        <w:gridCol w:w="393"/>
        <w:gridCol w:w="95"/>
        <w:gridCol w:w="200"/>
        <w:gridCol w:w="875"/>
        <w:gridCol w:w="24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0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24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39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07"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(25,800</w:t>
            </w:r>
          </w:p>
        </w:tc>
        <w:tc>
          <w:tcPr>
            <w:tcW w:w="3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39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39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w:t>
            </w:r>
          </w:p>
        </w:tc>
        <w:tc>
          <w:tcPr>
            <w:tcW w:w="39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24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(23,641</w:t>
            </w:r>
          </w:p>
        </w:tc>
        <w:tc>
          <w:tcPr>
            <w:tcW w:w="3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39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16,660</w:t>
            </w:r>
          </w:p>
        </w:tc>
        <w:tc>
          <w:tcPr>
            <w:tcW w:w="39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39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expense(1)</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pPr>
            <w:r>
              <w:rPr/>
              <w:t>—</w:t>
            </w:r>
          </w:p>
        </w:tc>
        <w:tc>
          <w:tcPr>
            <w:tcW w:w="39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w:t>
            </w:r>
          </w:p>
        </w:tc>
        <w:tc>
          <w:tcPr>
            <w:tcW w:w="39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w:t>
            </w:r>
          </w:p>
        </w:tc>
        <w:tc>
          <w:tcPr>
            <w:tcW w:w="24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(4,256</w:t>
            </w:r>
          </w:p>
        </w:tc>
        <w:tc>
          <w:tcPr>
            <w:tcW w:w="3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as a percentage of net revenue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3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as a percentage of net revenue</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3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1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expenses include non-recurring employee severance costs relating to the Company reorganization executed during the three months ending March 31, 2024.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management’s discussion and analysis of our financial condition and results of operations is based on our financial statements, which have been prepared in accordance with U.S. generally accepted accounting principles. The preparation of these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our significant accounting policies are described in more detail in the notes to our financial statements appearing elsewhere in this Quarterly Report, we believe the following accounting policies used in the preparation of our financial statements require the most significant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policies as compared to the critical accounting policies and significant judgments and estimates as disclosed in our Annual Report on Form 10-K for fiscal year ended December 31, 2023, as filed with the SEC on March 19, 2024 (our “Annual Report”). For additional information, please refer to Note 2 of our Condensed Consolidated Financial Statements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Intangible asset valuation</w:t>
      </w:r>
      <w:r>
        <w:rPr>
          <w:rFonts w:ascii="Times New Roman" w:hAnsi="Times New Roman"/>
          <w:caps w:val="false"/>
          <w:smallCaps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2023, the Company had a substantial decrease in its market capitalization, primarily relating to a decrease in share price. Further, the Company continues to see reduced net revenues across its portfolio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December 31, 2023, the Company continued to see reduced revenue in its Paper business resulting in certain revisions to its internal forecasts. Due to these revisions in forecast due to reduced demand, the Company concluded this was an interim triggering event for the three months ending December 31, 2023 indicating the carrying value of our Paper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three months ending December 31, 2023 within impairment loss on intangibles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ending March 31, 2023, total impairment loss on intangibles was approximately $16.7 million. There was no triggering events to test intangibles for impairment loss during the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and future operating efficiencies.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2" w:name="qqd"/>
      <w:bookmarkEnd w:id="12"/>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3" w:name="controls"/>
      <w:bookmarkEnd w:id="13"/>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Co-Chief Executive Officers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evaluation of our disclosure controls and procedures as of March 31, 2024, our Co-Chief Executive Officers and Chief Financial Officer concluded that our disclosure controls and procedures were effective as of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that occurred during the three months ended March 31, 2024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4" w:name="part2"/>
      <w:bookmarkEnd w:id="14"/>
      <w:r>
        <w:rPr>
          <w:rFonts w:ascii="Times New Roman" w:hAnsi="Times New Roman"/>
          <w:b/>
          <w:caps w:val="false"/>
          <w:smallCaps w:val="false"/>
          <w:sz w:val="20"/>
        </w:rPr>
        <w:t>PART II</w:t>
      </w:r>
      <w:r>
        <w:rPr>
          <w:rFonts w:ascii="Times New Roman" w:hAnsi="Times New Roman"/>
          <w:caps w:val="false"/>
          <w:smallCaps w:val="false"/>
          <w:sz w:val="20"/>
        </w:rPr>
        <w:t>—</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set forth under the headings “Shareholder Derivative Actions Related to the Securities Class Action”, "Earn-out Payment Dispute" and “Mueller Action” in Note 9 of our Condensed Consolidated Financial Statements in this Quarterly Report on Form 10-Q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party to various actions and claims arising in the normal course of business. We do not believe that the final outcome of these matters will have a material adverse effect on our financial position or results of operations. In addition, we maintain what we believe is adequate insurance coverage to further mitigate risk. However, no assurance can be given that the final outcome of such proceedings will not materially impact our financial condition or results of operations. Further, no assurance can be given that the amount or scope of existing insurance coverage will be sufficient to cover losses arising from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risk"/>
      <w:bookmarkEnd w:id="16"/>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Except as presented below, there have been no material changes from the risk factors associated with our business previously disclosed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historically operated at a loss and we may never achieve or sustain profitability or positive cash flows. Further we and our independent registered public accounting firm have expressed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experienced significant after tax losses for the three months ended March 31, 2024 and 2023, respectively. In addition, our costs have increased historically and may increase further in future periods, which could negatively affect our future operating results and ability to achieve and sustain profitability. For example, we may need to continue to expend substantial financial and other resources on the ideation, sourcing and development of products, our technology infrastructure, research and development,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profitability. Even if we do, there can be no assurance that we will be able to maintain or increase profitability on a quarterly or annual basis. Failure to achieve or sustain profitability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growth strategy has resulted in operating losses and negative cash flows from operations that raised substantial doubt about our ability to continue as a going concern. Our independent registered public accounting firm included an explanatory paragraph in its report on our financial statements as of and for the year-ended December 31, 2023,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delay the development of our software,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efforts to grow our business through new products, marketplace and geographic expansion may not be successful and may place a significant strain on our management and operational, financial and other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long-term success depends on our ability to develop and commercialize a continuing stream of new products, to expand both to new marketplaces and geographies and to leverage new technologies we may incorporate into our business. We have entered and expect to continue to enter new product categories and both new marketplaces and geographies for which we have limited or no experience. In part we rely on Amazon’s global reviews program for success in our international expansion. If that program were to be limited, reduced or discontinued, our international expansion would be negatively affected. We also in part rely on our ability to include new products as variations to existing listings on Amazon. If that strategy were no longer possible for whatever reason, our ability to launch new products could be materially affected.  Our efforts to grow our business place significant strain on our management, personnel, operations, systems, financial resources, and internal financial control and reporting functions, among other things. We face the risk that we will be unable to disrupt incumbents and that our competitors will introduce new and better products that compete with us. There are numerous uncertainties inherent in successfully developing and commercializing new products on a continuing basis and new product launches may not deliver expected growth in sales or operating results. Any new product that we develop and market may not be introduced in a timely or cost-effective manner, may contain defects, errors, quality or other issues, or may not achieve the market acceptance necessary to generate sufficient revenue or may never become profitable. If we are unable to develop and introduce a continuing stream of competitive new products, it may have an adverse effect on our business, operating results, financial condition, and cash flows. Our failure to successfully execute on our growth initiatives can negatively impact our financial results,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unsuccessful in making investments, unable to make or unsuccessful in integrating acquisitions or in maintaining or growing the financial performance of any investees or acquired businesses which may adversely affect our business and operating results and could impact the price of our common stock and result in dilution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Acquisitions and investments are an important aspect of our growth strategy and we expect to continue to pursue brand and other strategic acquisitions and investments. We have acquired a number of companies, and we may in the future acquire or invest in or enter into joint ventures with additional companies. Such acquisitions have in the past required, and in the future may require, the attention of management in integrating those businesses including increased attention to managing the supply chain of certain acquisitions. In addition, we have been required to in the past, and may be required to in the future, make significant impairment charges relating to the goodwill and intangible assets of such acquired businesses. The market for acquisitions has historically been highly competitive. Our growth strategy may be adversely affected if we face increased competition for or fail to identify suitable targets. In addition, pursuing or completing any such acquisitions or investments could divert management’s attention, and otherwise disrupt our operations and adversely affect our operating results, financial condition, and cash flows. Any acquisition or investment, if not favorably received by consumers, shareholders, analysts, and others in the investment community, could have a material adverse effect on the price of our common stock. In addition, any acquisition involves numerous risks, including: failing to identify problems during due diligence, liabilities or other shortcomings or challenges that could cause a target to under-perform post-closing; difficulties in the assimilation of the operations, technologies, products, and personnel associated with the acquisition and unanticipated expenses related to such integration; challenges in integrating distribution channels; diversion of management's attention from other business concerns; difficulties in transitioning and preserving customer, contractor, supplier, and other important third-party relationships; challenges realizing anticipated cost savings, synergies and other benefits; the potential impairment of tangible and intangible assets and goodwill; risks of entering markets in which we have no or limited experience; risks associated with subsequent losses including potential unknown liabilities associated with a company we acquire; and problems retaining key personnel. We provide no assurances that we will be able to complete any acquisitions or that any acquired businesses will experience the same or better level of financial performance as prior to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order to complete any future acquisitions, we may need to use our cash on hand, raise additional equity or incur or assume debt, any of which could harm our business. Given the Company’s current market capitalization, certain of these options may not be available or only be available on unfavorable terms and could result in significant additional dilution to our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limited by our ability to raise the funding we need to support our growth, including through acquisitions, or to maintain our existing business. Also, such funding may be available only by diluting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success of our business depends in part on our ability to invest significant resources in various aspects of our business including acquisitions and other strategic investments. Our success also depends on our ability to grow through acquisitions. To support our business growth, we will likely require additional funds to maintain and grow our business and to respond to business challenges. Accordingly, from time to time we may need to engage in equity or debt financings to secure additional funds. If we raise additional funds through issuances of equity or convertible debt securities, that would result in significant dilution to our existing stockholders, and any new equity securities we issue could have rights, preferences and privileges superior to those of holders of our common stock. Any debt we may incur may negatively impact our business, financial condition and operating results. We have in the past and may in the future incur debt that allows us to repay such debt using our common stock, which could result in significant dilution. Further, we may not be able to obtain additional financing on terms favorable to us, or at all, whether due to issues related to the Company or unrelated to the Company including but not limited to bank failures. If we are unable to obtain adequate financing or financing on terms satisfactory to us, when we require it, our ability to grow or to respond to business challenges would be significantly limited, and our business could fail or our operating results, financial condition, and cash flows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debt financing secured by us in the future could involve restrictive covenants relating to our capital-raising activities and other financial and operational matters, which may make it more difficult for us to obtain additional capital and to pursue business opportunities. In addition, we may not be able to continue to acquire the financing needed in order to pursue future acquisitions or similar transactions or we may not be able to raise sufficient equity or equity-like capital without first seeking stockholder approval, which could limit our ability to complete such financing, or to complete any related transaction on a timely basis or at all.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Relating to the Ownership of our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There is no guarantee of a continuing public market for you to resell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no guarantee that we will continue to meet all requirements for continued listing on the Nasdaq Capital Market. We must continue to satisfy Nasdaq’s continued listing requirements, including, among other things, a minimum closing bid price requirement of $1.00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24, 2023, we received a letter from the Listing Qualifications Staff of The Nasdaq Stock Market LLC (“Nasdaq”) indicating that, based upon the closing bid price of our common stock for the last 30 consecutive business days, the Company was not in compliance with the requirement to maintain a minimum bid price of $1.00 per share for continued listing on The Nasdaq Capital Market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 On April 8, 2024, Aterian, Inc. (the “Company”) received written notice (the “Compliance Notice”) from Nasdaq informing the Company that it has regained compliance with Nasdaq Listing Rule 5450(a)(1) which requires that companies listed on Nasdaq maintain a minimum bid price of $1.00 per share. Nasdaq notified the Company in the Compliance Notice that from March 22, 2024 to April 5, 2024 the closing bid price of the Company’s common stock had been $1.00 per share or greater and, accordingly, the Company had regained compliance with Nasdaq Listing Rule 5450(a)(1) and that the matter was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future, if our Common Stock falls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significant material adverse consequences, including:</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283"/>
              <w:jc w:val="right"/>
              <w:rPr/>
            </w:pPr>
            <w:r>
              <w:rPr/>
              <w:t>•</w:t>
            </w:r>
          </w:p>
        </w:tc>
        <w:tc>
          <w:tcPr>
            <w:tcW w:w="9200" w:type="dxa"/>
            <w:tcBorders/>
            <w:vAlign w:val="center"/>
          </w:tcPr>
          <w:p>
            <w:pPr>
              <w:pStyle w:val="TableContents"/>
              <w:bidi w:val="0"/>
              <w:spacing w:before="0" w:after="283"/>
              <w:jc w:val="left"/>
              <w:rPr/>
            </w:pPr>
            <w:r>
              <w:rPr/>
              <w:t> </w:t>
            </w:r>
            <w:r>
              <w:rPr/>
              <w:t>limited availability of market quotations for our Common Stock;</w:t>
            </w:r>
          </w:p>
        </w:tc>
      </w:tr>
      <w:tr>
        <w:trPr/>
        <w:tc>
          <w:tcPr>
            <w:tcW w:w="110" w:type="dxa"/>
            <w:tcBorders/>
            <w:vAlign w:val="center"/>
          </w:tcPr>
          <w:p>
            <w:pPr>
              <w:pStyle w:val="TableContents"/>
              <w:bidi w:val="0"/>
              <w:spacing w:before="0" w:after="283"/>
              <w:jc w:val="right"/>
              <w:rPr/>
            </w:pPr>
            <w:r>
              <w:rPr/>
              <w:t>•</w:t>
            </w:r>
          </w:p>
        </w:tc>
        <w:tc>
          <w:tcPr>
            <w:tcW w:w="9200" w:type="dxa"/>
            <w:tcBorders/>
            <w:vAlign w:val="center"/>
          </w:tcPr>
          <w:p>
            <w:pPr>
              <w:pStyle w:val="TableContents"/>
              <w:bidi w:val="0"/>
              <w:spacing w:before="0" w:after="283"/>
              <w:jc w:val="left"/>
              <w:rPr/>
            </w:pPr>
            <w:r>
              <w:rPr/>
              <w:t> </w:t>
            </w:r>
            <w:r>
              <w:rPr/>
              <w:t>a limited amount of news and analyst coverage for us;</w:t>
            </w:r>
          </w:p>
        </w:tc>
      </w:tr>
      <w:tr>
        <w:trPr/>
        <w:tc>
          <w:tcPr>
            <w:tcW w:w="110" w:type="dxa"/>
            <w:tcBorders/>
            <w:vAlign w:val="center"/>
          </w:tcPr>
          <w:p>
            <w:pPr>
              <w:pStyle w:val="TableContents"/>
              <w:bidi w:val="0"/>
              <w:spacing w:before="0" w:after="283"/>
              <w:jc w:val="right"/>
              <w:rPr/>
            </w:pPr>
            <w:r>
              <w:rPr/>
              <w:t>•</w:t>
            </w:r>
          </w:p>
        </w:tc>
        <w:tc>
          <w:tcPr>
            <w:tcW w:w="9200" w:type="dxa"/>
            <w:tcBorders/>
            <w:vAlign w:val="center"/>
          </w:tcPr>
          <w:p>
            <w:pPr>
              <w:pStyle w:val="TableContents"/>
              <w:bidi w:val="0"/>
              <w:spacing w:before="0" w:after="283"/>
              <w:jc w:val="left"/>
              <w:rPr/>
            </w:pPr>
            <w:r>
              <w:rPr/>
              <w:t> </w:t>
            </w:r>
            <w:r>
              <w:rPr/>
              <w:t>a decreased ability for us to issue additional securities or obtain additional financing in the future;</w:t>
            </w:r>
          </w:p>
        </w:tc>
      </w:tr>
      <w:tr>
        <w:trPr/>
        <w:tc>
          <w:tcPr>
            <w:tcW w:w="110" w:type="dxa"/>
            <w:tcBorders/>
            <w:vAlign w:val="center"/>
          </w:tcPr>
          <w:p>
            <w:pPr>
              <w:pStyle w:val="TableContents"/>
              <w:bidi w:val="0"/>
              <w:spacing w:before="0" w:after="283"/>
              <w:jc w:val="right"/>
              <w:rPr/>
            </w:pPr>
            <w:r>
              <w:rPr/>
              <w:t>•</w:t>
            </w:r>
          </w:p>
        </w:tc>
        <w:tc>
          <w:tcPr>
            <w:tcW w:w="9200" w:type="dxa"/>
            <w:tcBorders/>
            <w:vAlign w:val="center"/>
          </w:tcPr>
          <w:p>
            <w:pPr>
              <w:pStyle w:val="TableContents"/>
              <w:bidi w:val="0"/>
              <w:spacing w:before="0" w:after="283"/>
              <w:jc w:val="left"/>
              <w:rPr/>
            </w:pPr>
            <w:r>
              <w:rPr/>
              <w:t> </w:t>
            </w:r>
            <w:r>
              <w:rPr/>
              <w:t>limited liquidity for our stockholders due to thin trading; and</w:t>
            </w:r>
          </w:p>
        </w:tc>
      </w:tr>
      <w:tr>
        <w:trPr/>
        <w:tc>
          <w:tcPr>
            <w:tcW w:w="110" w:type="dxa"/>
            <w:tcBorders/>
            <w:vAlign w:val="center"/>
          </w:tcPr>
          <w:p>
            <w:pPr>
              <w:pStyle w:val="TableContents"/>
              <w:bidi w:val="0"/>
              <w:spacing w:before="0" w:after="283"/>
              <w:jc w:val="right"/>
              <w:rPr/>
            </w:pPr>
            <w:r>
              <w:rPr/>
              <w:t>•</w:t>
            </w:r>
          </w:p>
        </w:tc>
        <w:tc>
          <w:tcPr>
            <w:tcW w:w="9200" w:type="dxa"/>
            <w:tcBorders/>
            <w:vAlign w:val="center"/>
          </w:tcPr>
          <w:p>
            <w:pPr>
              <w:pStyle w:val="TableContents"/>
              <w:bidi w:val="0"/>
              <w:spacing w:before="0" w:after="283"/>
              <w:jc w:val="left"/>
              <w:rPr/>
            </w:pPr>
            <w:r>
              <w:rPr/>
              <w:t> </w:t>
            </w:r>
            <w:r>
              <w:rPr/>
              <w:t>the potential loss of confidence by investors and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7" w:name="unregistered"/>
      <w:bookmarkEnd w:id="17"/>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30, 2024, we entered into a consulting agreement with an advisory firm, pursuant to which the advisory firm agreed to provide us with certain management consulting, business and advisory services. As partial consideration for the services, we agreed to issue to the advisory firm 166,667 shares of restricted common stock (adjusted for the Reverse Stock Split), which were issued on January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9, 2024, we entered into a subscription agreement with a third party, pursuant to which the Company invested in the third party. As partial consideration, we agreed to issue 12,113 shares of restricted common stock (adjusted for the Reverse Stock Split), which were issued on February 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8" w:name="defaults"/>
      <w:bookmarkEnd w:id="18"/>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9" w:name="minesafety"/>
      <w:bookmarkEnd w:id="1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0" w:name="other"/>
      <w:bookmarkEnd w:id="20"/>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no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1" w:name="exhibits"/>
      <w:bookmarkEnd w:id="21"/>
      <w:r>
        <w:rPr>
          <w:rFonts w:ascii="Times New Roman" w:hAnsi="Times New Roman"/>
          <w:b/>
          <w:caps w:val="false"/>
          <w:smallCaps w:val="false"/>
          <w:sz w:val="20"/>
        </w:rPr>
        <w:t xml:space="preserve">6.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
        <w:gridCol w:w="60"/>
        <w:gridCol w:w="60"/>
        <w:gridCol w:w="6422"/>
        <w:gridCol w:w="60"/>
        <w:gridCol w:w="500"/>
        <w:gridCol w:w="60"/>
        <w:gridCol w:w="848"/>
        <w:gridCol w:w="60"/>
        <w:gridCol w:w="691"/>
        <w:gridCol w:w="60"/>
        <w:gridCol w:w="652"/>
      </w:tblGrid>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pPr>
            <w:hyperlink w:anchor="ex_644459.htm">
              <w:r>
                <w:rPr>
                  <w:rStyle w:val="InternetLink"/>
                  <w:rFonts w:ascii="Times New Roman" w:hAnsi="Times New Roman"/>
                  <w:caps w:val="false"/>
                  <w:smallCaps w:val="false"/>
                  <w:sz w:val="20"/>
                </w:rPr>
                <w:t>Certifications of the Principal Executive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pPr>
            <w:hyperlink w:anchor="ex_644460.htm">
              <w:r>
                <w:rPr>
                  <w:rStyle w:val="InternetLink"/>
                  <w:rFonts w:ascii="Times New Roman" w:hAnsi="Times New Roman"/>
                  <w:caps w:val="false"/>
                  <w:smallCaps w:val="false"/>
                  <w:sz w:val="20"/>
                </w:rPr>
                <w:t>Certifications of the Principal Financial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pPr>
            <w:hyperlink w:anchor="ex_644461.htm">
              <w:r>
                <w:rPr>
                  <w:rStyle w:val="InternetLink"/>
                  <w:rFonts w:ascii="Times New Roman" w:hAnsi="Times New Roman"/>
                  <w:caps w:val="false"/>
                  <w:smallCaps w:val="false"/>
                  <w:sz w:val="20"/>
                </w:rPr>
                <w:t>Certifications of the Principal Executive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pPr>
            <w:hyperlink w:anchor="ex_644462.htm">
              <w:r>
                <w:rPr>
                  <w:rStyle w:val="InternetLink"/>
                  <w:rFonts w:ascii="Times New Roman" w:hAnsi="Times New Roman"/>
                  <w:caps w:val="false"/>
                  <w:smallCaps w:val="false"/>
                  <w:sz w:val="20"/>
                </w:rPr>
                <w:t>Certifications of the Principal Executive Officer and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3" w:type="dxa"/>
            <w:gridSpan w:val="9"/>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3" w:type="dxa"/>
            <w:gridSpan w:val="9"/>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Indicates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2" w:name="signatures"/>
      <w:bookmarkEnd w:id="22"/>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Quarterly Report on Form 10-Q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290" w:type="dxa"/>
        <w:jc w:val="left"/>
        <w:tblInd w:w="0" w:type="dxa"/>
        <w:tblLayout w:type="fixed"/>
        <w:tblCellMar>
          <w:top w:w="0" w:type="dxa"/>
          <w:left w:w="0" w:type="dxa"/>
          <w:bottom w:w="0" w:type="dxa"/>
          <w:right w:w="0" w:type="dxa"/>
        </w:tblCellMar>
      </w:tblPr>
      <w:tblGrid>
        <w:gridCol w:w="1640"/>
        <w:gridCol w:w="320"/>
        <w:gridCol w:w="5330"/>
      </w:tblGrid>
      <w:tr>
        <w:trPr/>
        <w:tc>
          <w:tcPr>
            <w:tcW w:w="1640" w:type="dxa"/>
            <w:tcBorders/>
            <w:vAlign w:val="center"/>
          </w:tcPr>
          <w:p>
            <w:pPr>
              <w:pStyle w:val="TableContents"/>
              <w:bidi w:val="0"/>
              <w:spacing w:before="0" w:after="283"/>
              <w:jc w:val="left"/>
              <w:rPr/>
            </w:pPr>
            <w:r>
              <w:rPr/>
              <w:t> </w:t>
            </w:r>
          </w:p>
        </w:tc>
        <w:tc>
          <w:tcPr>
            <w:tcW w:w="565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ATERIAN, INC.</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15,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3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Joseph A. Risico</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A. Risico</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Co-Chief Executive Office</w:t>
            </w:r>
            <w:r>
              <w:rPr>
                <w:rFonts w:ascii="Times New Roman" w:hAnsi="Times New Roman"/>
                <w:i/>
                <w:caps w:val="false"/>
                <w:smallCaps w:val="false"/>
                <w:sz w:val="20"/>
              </w:rPr>
              <w:t>r</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(Co-Principal Executive Officer)</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15,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3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Arturo Rodriguez</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Arturo Rodriguez</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Co-Chief Executive Officer and Chief Financial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(Co-Principal Executive Officer and Principal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29 </w:t>
      </w:r>
    </w:p>
    <w:p>
      <w:pPr>
        <w:pStyle w:val="TextBody"/>
        <w:bidi w:val="0"/>
        <w:spacing w:before="0" w:after="0"/>
        <w:ind w:left="0" w:right="0" w:hanging="0"/>
        <w:jc w:val="right"/>
        <w:rPr>
          <w:rFonts w:ascii="Times New Roman" w:hAnsi="Times New Roman"/>
          <w:b/>
          <w:caps w:val="false"/>
          <w:smallCaps w:val="false"/>
          <w:sz w:val="20"/>
        </w:rPr>
      </w:pPr>
      <w:bookmarkStart w:id="23" w:name="ex_644459.htm"/>
      <w:bookmarkStart w:id="24" w:name="ksex_644459"/>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 13a-14(a)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Joseph A. Risico,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452710F20237301693427342083"/>
      <w:bookmarkEnd w:id="25"/>
      <w:r>
        <w:rPr>
          <w:rFonts w:ascii="Times New Roman" w:hAnsi="Times New Roman"/>
          <w:caps w:val="false"/>
          <w:smallCaps w:val="false"/>
          <w:sz w:val="20"/>
        </w:rPr>
        <w:t>May 15, 2024</w:t>
      </w:r>
    </w:p>
    <w:p>
      <w:pPr>
        <w:pStyle w:val="TextBody"/>
        <w:bidi w:val="0"/>
        <w:spacing w:before="0" w:after="0"/>
        <w:ind w:left="0" w:right="0" w:hanging="0"/>
        <w:jc w:val="left"/>
        <w:rPr>
          <w:caps w:val="false"/>
          <w:smallCaps w:val="false"/>
        </w:rPr>
      </w:pPr>
      <w:r>
        <w:rPr>
          <w:caps w:val="false"/>
          <w:smallCaps w:val="false"/>
        </w:rPr>
        <w:t> </w:t>
      </w:r>
    </w:p>
    <w:tbl>
      <w:tblPr>
        <w:tblW w:w="2735" w:type="dxa"/>
        <w:jc w:val="left"/>
        <w:tblInd w:w="0" w:type="dxa"/>
        <w:tblLayout w:type="fixed"/>
        <w:tblCellMar>
          <w:top w:w="0" w:type="dxa"/>
          <w:left w:w="0" w:type="dxa"/>
          <w:bottom w:w="0" w:type="dxa"/>
          <w:right w:w="0" w:type="dxa"/>
        </w:tblCellMar>
      </w:tblPr>
      <w:tblGrid>
        <w:gridCol w:w="2675"/>
        <w:gridCol w:w="60"/>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Joseph A. Risico</w:t>
            </w:r>
          </w:p>
        </w:tc>
        <w:tc>
          <w:tcPr>
            <w:tcW w:w="6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A. Risico</w:t>
            </w:r>
          </w:p>
        </w:tc>
        <w:tc>
          <w:tcPr>
            <w:tcW w:w="6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Co-Chief Executive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644460.htm"/>
      <w:bookmarkStart w:id="27" w:name="ksex_644460"/>
      <w:bookmarkEnd w:id="26"/>
      <w:bookmarkEnd w:id="27"/>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RULE 13a-14(a)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Arturo Rodriguez,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8" w:name="led452710F20237301693427485435"/>
      <w:bookmarkEnd w:id="28"/>
      <w:r>
        <w:rPr>
          <w:rFonts w:ascii="Times New Roman" w:hAnsi="Times New Roman"/>
          <w:caps w:val="false"/>
          <w:smallCaps w:val="false"/>
          <w:sz w:val="20"/>
        </w:rPr>
        <w:t>May 15, 2024</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5330"/>
        <w:gridCol w:w="6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3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Arturo Rodriguez</w:t>
            </w:r>
          </w:p>
        </w:tc>
        <w:tc>
          <w:tcPr>
            <w:tcW w:w="6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Arturo Rodriguez</w:t>
            </w:r>
          </w:p>
        </w:tc>
        <w:tc>
          <w:tcPr>
            <w:tcW w:w="6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Co-Chief Executive Officer and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(Co-Principal Executive Officer and</w:t>
            </w:r>
            <w:r>
              <w:rPr>
                <w:rFonts w:ascii="Times New Roman" w:hAnsi="Times New Roman"/>
                <w:caps w:val="false"/>
                <w:smallCaps w:val="false"/>
                <w:sz w:val="20"/>
              </w:rPr>
              <w:t> </w:t>
            </w:r>
            <w:r>
              <w:rPr>
                <w:rFonts w:ascii="Times New Roman" w:hAnsi="Times New Roman"/>
                <w:i/>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644461.htm"/>
      <w:bookmarkStart w:id="30" w:name="ksex_644461"/>
      <w:bookmarkEnd w:id="29"/>
      <w:bookmarkEnd w:id="30"/>
      <w:r>
        <w:rPr>
          <w:rFonts w:ascii="Times New Roman" w:hAnsi="Times New Roman"/>
          <w:b/>
          <w:caps w:val="false"/>
          <w:smallCaps w:val="false"/>
          <w:sz w:val="20"/>
        </w:rPr>
        <w:t>EXHIBIT 31.3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 13a-14(a)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Arturo Rodriguez,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1" w:name="led452710F20237301693427563234"/>
      <w:bookmarkEnd w:id="31"/>
      <w:r>
        <w:rPr>
          <w:rFonts w:ascii="Times New Roman" w:hAnsi="Times New Roman"/>
          <w:caps w:val="false"/>
          <w:smallCaps w:val="false"/>
          <w:sz w:val="20"/>
        </w:rPr>
        <w:t>May 15, 2024</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5330"/>
        <w:gridCol w:w="6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3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Arturo Rodriguez</w:t>
            </w:r>
          </w:p>
        </w:tc>
        <w:tc>
          <w:tcPr>
            <w:tcW w:w="6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Arturo Rodriguez</w:t>
            </w:r>
          </w:p>
        </w:tc>
        <w:tc>
          <w:tcPr>
            <w:tcW w:w="6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Co-Chief Executive Officer and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(Co-Principal Executive Officer and</w:t>
            </w:r>
            <w:r>
              <w:rPr>
                <w:rFonts w:ascii="Times New Roman" w:hAnsi="Times New Roman"/>
                <w:caps w:val="false"/>
                <w:smallCaps w:val="false"/>
                <w:sz w:val="20"/>
              </w:rPr>
              <w:t> </w:t>
            </w:r>
            <w:r>
              <w:rPr>
                <w:rFonts w:ascii="Times New Roman" w:hAnsi="Times New Roman"/>
                <w:i/>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2" w:name="ex_644462.htm"/>
      <w:bookmarkStart w:id="33" w:name="ksex_644462"/>
      <w:bookmarkEnd w:id="32"/>
      <w:bookmarkEnd w:id="33"/>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AND PRINCIPAL FINANCIAL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Aterian, Inc. (the “Company”) for the period ended </w:t>
      </w:r>
      <w:bookmarkStart w:id="34" w:name="led452710F20237301693427616705"/>
      <w:bookmarkEnd w:id="34"/>
      <w:r>
        <w:rPr>
          <w:rFonts w:ascii="Times New Roman" w:hAnsi="Times New Roman"/>
          <w:caps w:val="false"/>
          <w:smallCaps w:val="false"/>
          <w:sz w:val="20"/>
        </w:rPr>
        <w:t>March 31, 2024 as filed with the Securities and Exchange Commission on the date hereof (the “Report”), the undersigned hereby certify, pursuant to 18 U.S.C. Section 1350, as adopted pursuant to Section 906 of the Sarbanes-Oxley Act of 2002, to their 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2675"/>
        <w:gridCol w:w="60"/>
        <w:gridCol w:w="5330"/>
      </w:tblGrid>
      <w:tr>
        <w:trPr/>
        <w:tc>
          <w:tcPr>
            <w:tcW w:w="2675" w:type="dxa"/>
            <w:tcBorders/>
            <w:vAlign w:val="center"/>
          </w:tcPr>
          <w:p>
            <w:pPr>
              <w:pStyle w:val="TableContents"/>
              <w:bidi w:val="0"/>
              <w:spacing w:before="0" w:after="283"/>
              <w:jc w:val="left"/>
              <w:rPr/>
            </w:pPr>
            <w:r>
              <w:rPr/>
              <w:t> </w:t>
            </w:r>
          </w:p>
        </w:tc>
        <w:tc>
          <w:tcPr>
            <w:tcW w:w="5390" w:type="dxa"/>
            <w:gridSpan w:val="2"/>
            <w:tcBorders/>
            <w:vAlign w:val="center"/>
          </w:tcPr>
          <w:p>
            <w:pPr>
              <w:pStyle w:val="TableContents"/>
              <w:bidi w:val="0"/>
              <w:spacing w:before="0" w:after="283"/>
              <w:jc w:val="left"/>
              <w:rPr/>
            </w:pPr>
            <w:r>
              <w:rPr/>
              <w:t> </w:t>
            </w:r>
          </w:p>
        </w:tc>
      </w:tr>
      <w:tr>
        <w:trPr/>
        <w:tc>
          <w:tcPr>
            <w:tcW w:w="26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Joseph A. Risico</w:t>
            </w:r>
          </w:p>
        </w:tc>
        <w:tc>
          <w:tcPr>
            <w:tcW w:w="60" w:type="dxa"/>
            <w:tcBorders/>
            <w:vAlign w:val="center"/>
          </w:tcPr>
          <w:p>
            <w:pPr>
              <w:pStyle w:val="TableContents"/>
              <w:bidi w:val="0"/>
              <w:spacing w:before="0" w:after="283"/>
              <w:jc w:val="left"/>
              <w:rPr/>
            </w:pPr>
            <w:r>
              <w:rPr/>
              <w:t> </w:t>
            </w:r>
          </w:p>
        </w:tc>
        <w:tc>
          <w:tcPr>
            <w:tcW w:w="53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 Arturo Rodriguez</w:t>
            </w:r>
          </w:p>
        </w:tc>
      </w:tr>
      <w:tr>
        <w:trPr/>
        <w:tc>
          <w:tcPr>
            <w:tcW w:w="2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A. Risico</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Arturo Rodriguez</w:t>
            </w:r>
          </w:p>
        </w:tc>
      </w:tr>
      <w:tr>
        <w:trPr/>
        <w:tc>
          <w:tcPr>
            <w:tcW w:w="26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Co-Chief Executive Officer</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Co-Chief Executive Officer and Chief Financial Officer</w:t>
            </w:r>
          </w:p>
        </w:tc>
      </w:tr>
      <w:tr>
        <w:trPr/>
        <w:tc>
          <w:tcPr>
            <w:tcW w:w="26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(Co-Principal Executive Officer)</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(Co-Principal Executive Officer and</w:t>
            </w:r>
            <w:r>
              <w:rPr>
                <w:rFonts w:ascii="Times New Roman" w:hAnsi="Times New Roman"/>
                <w:caps w:val="false"/>
                <w:smallCaps w:val="false"/>
                <w:sz w:val="20"/>
              </w:rPr>
              <w:t> </w:t>
            </w:r>
            <w:r>
              <w:rPr>
                <w:rFonts w:ascii="Times New Roman" w:hAnsi="Times New Roman"/>
                <w:i/>
                <w:caps w:val="false"/>
                <w:smallCaps w:val="false"/>
                <w:sz w:val="20"/>
              </w:rPr>
              <w:t>Principal Financial Officer)</w:t>
            </w:r>
          </w:p>
        </w:tc>
      </w:tr>
      <w:tr>
        <w:trPr/>
        <w:tc>
          <w:tcPr>
            <w:tcW w:w="2675"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bookmarkStart w:id="35" w:name="led452710F20237301693427601001"/>
            <w:bookmarkEnd w:id="35"/>
            <w:r>
              <w:rPr>
                <w:rFonts w:ascii="Times New Roman" w:hAnsi="Times New Roman"/>
                <w:caps w:val="false"/>
                <w:smallCaps w:val="false"/>
                <w:sz w:val="20"/>
              </w:rPr>
              <w:t>May 15, 2024</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283"/>
              <w:jc w:val="left"/>
              <w:rPr/>
            </w:pPr>
            <w:bookmarkStart w:id="36" w:name="led452710F202373016934276010011"/>
            <w:bookmarkEnd w:id="36"/>
            <w:r>
              <w:rPr/>
              <w:t>May 15,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26076</Words>
  <Characters>142451</Characters>
  <CharactersWithSpaces>169872</CharactersWithSpaces>
  <Paragraphs>5659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