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9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Mohawk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4"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2220" w:type="dxa"/>
            <w:vAlign w:val="bottom"/>
          </w:tcPr>
          <w:p>
            <w:pPr>
              <w:jc w:val="center"/>
              <w:ind w:right="50"/>
              <w:spacing w:after="0"/>
              <w:rPr>
                <w:sz w:val="20"/>
                <w:szCs w:val="20"/>
                <w:color w:val="auto"/>
              </w:rPr>
            </w:pPr>
            <w:r>
              <w:rPr>
                <w:rFonts w:ascii="Arial" w:cs="Arial" w:eastAsia="Arial" w:hAnsi="Arial"/>
                <w:sz w:val="14"/>
                <w:szCs w:val="14"/>
                <w:b w:val="1"/>
                <w:bCs w:val="1"/>
                <w:color w:val="auto"/>
                <w:w w:val="94"/>
              </w:rPr>
              <w:t>Delaware</w:t>
            </w:r>
          </w:p>
        </w:tc>
        <w:tc>
          <w:tcPr>
            <w:tcW w:w="5360" w:type="dxa"/>
            <w:vAlign w:val="bottom"/>
          </w:tcPr>
          <w:p>
            <w:pPr>
              <w:jc w:val="right"/>
              <w:ind w:right="289"/>
              <w:spacing w:after="0"/>
              <w:rPr>
                <w:sz w:val="20"/>
                <w:szCs w:val="20"/>
                <w:color w:val="auto"/>
              </w:rPr>
            </w:pPr>
            <w:r>
              <w:rPr>
                <w:rFonts w:ascii="Arial" w:cs="Arial" w:eastAsia="Arial" w:hAnsi="Arial"/>
                <w:sz w:val="14"/>
                <w:szCs w:val="14"/>
                <w:b w:val="1"/>
                <w:bCs w:val="1"/>
                <w:color w:val="auto"/>
              </w:rPr>
              <w:t>83-1739858</w:t>
            </w:r>
          </w:p>
        </w:tc>
        <w:tc>
          <w:tcPr>
            <w:tcW w:w="0" w:type="dxa"/>
            <w:vAlign w:val="bottom"/>
          </w:tcPr>
          <w:p>
            <w:pPr>
              <w:spacing w:after="0"/>
              <w:rPr>
                <w:sz w:val="1"/>
                <w:szCs w:val="1"/>
                <w:color w:val="auto"/>
              </w:rPr>
            </w:pPr>
          </w:p>
        </w:tc>
      </w:tr>
      <w:tr>
        <w:trPr>
          <w:trHeight w:val="149"/>
        </w:trPr>
        <w:tc>
          <w:tcPr>
            <w:tcW w:w="222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360" w:type="dxa"/>
            <w:vAlign w:val="bottom"/>
          </w:tcPr>
          <w:p>
            <w:pPr>
              <w:jc w:val="center"/>
              <w:ind w:left="384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220" w:type="dxa"/>
            <w:vAlign w:val="bottom"/>
          </w:tcPr>
          <w:p>
            <w:pPr>
              <w:jc w:val="center"/>
              <w:ind w:right="50"/>
              <w:spacing w:after="0"/>
              <w:rPr>
                <w:sz w:val="20"/>
                <w:szCs w:val="20"/>
                <w:color w:val="auto"/>
              </w:rPr>
            </w:pPr>
            <w:r>
              <w:rPr>
                <w:rFonts w:ascii="Arial" w:cs="Arial" w:eastAsia="Arial" w:hAnsi="Arial"/>
                <w:sz w:val="14"/>
                <w:szCs w:val="14"/>
                <w:b w:val="1"/>
                <w:bCs w:val="1"/>
                <w:color w:val="auto"/>
                <w:w w:val="93"/>
              </w:rPr>
              <w:t>incorporation or organization)</w:t>
            </w:r>
          </w:p>
        </w:tc>
        <w:tc>
          <w:tcPr>
            <w:tcW w:w="5360" w:type="dxa"/>
            <w:vAlign w:val="bottom"/>
          </w:tcPr>
          <w:p>
            <w:pPr>
              <w:jc w:val="center"/>
              <w:ind w:left="3869"/>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59"/>
        </w:trPr>
        <w:tc>
          <w:tcPr>
            <w:tcW w:w="2220" w:type="dxa"/>
            <w:vAlign w:val="bottom"/>
          </w:tcPr>
          <w:p>
            <w:pPr>
              <w:jc w:val="center"/>
              <w:ind w:right="50"/>
              <w:spacing w:after="0"/>
              <w:rPr>
                <w:sz w:val="20"/>
                <w:szCs w:val="20"/>
                <w:color w:val="auto"/>
              </w:rPr>
            </w:pPr>
            <w:r>
              <w:rPr>
                <w:rFonts w:ascii="Arial" w:cs="Arial" w:eastAsia="Arial" w:hAnsi="Arial"/>
                <w:sz w:val="14"/>
                <w:szCs w:val="14"/>
                <w:b w:val="1"/>
                <w:bCs w:val="1"/>
                <w:color w:val="auto"/>
                <w:w w:val="94"/>
              </w:rPr>
              <w:t>37 East 18th Street, 7th Floor</w:t>
            </w:r>
          </w:p>
        </w:tc>
        <w:tc>
          <w:tcPr>
            <w:tcW w:w="536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10003</w:t>
            </w:r>
          </w:p>
        </w:tc>
        <w:tc>
          <w:tcPr>
            <w:tcW w:w="0" w:type="dxa"/>
            <w:vAlign w:val="bottom"/>
          </w:tcPr>
          <w:p>
            <w:pPr>
              <w:spacing w:after="0"/>
              <w:rPr>
                <w:sz w:val="1"/>
                <w:szCs w:val="1"/>
                <w:color w:val="auto"/>
              </w:rPr>
            </w:pPr>
          </w:p>
        </w:tc>
      </w:tr>
      <w:tr>
        <w:trPr>
          <w:trHeight w:val="153"/>
        </w:trPr>
        <w:tc>
          <w:tcPr>
            <w:tcW w:w="2220" w:type="dxa"/>
            <w:vAlign w:val="bottom"/>
          </w:tcPr>
          <w:p>
            <w:pPr>
              <w:jc w:val="center"/>
              <w:ind w:right="50"/>
              <w:spacing w:after="0" w:line="153" w:lineRule="exact"/>
              <w:rPr>
                <w:sz w:val="20"/>
                <w:szCs w:val="20"/>
                <w:color w:val="auto"/>
              </w:rPr>
            </w:pPr>
            <w:r>
              <w:rPr>
                <w:rFonts w:ascii="Arial" w:cs="Arial" w:eastAsia="Arial" w:hAnsi="Arial"/>
                <w:sz w:val="14"/>
                <w:szCs w:val="14"/>
                <w:b w:val="1"/>
                <w:bCs w:val="1"/>
                <w:color w:val="auto"/>
                <w:w w:val="98"/>
              </w:rPr>
              <w:t>New York, NY</w:t>
            </w: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20" w:type="dxa"/>
            <w:vAlign w:val="bottom"/>
          </w:tcPr>
          <w:p>
            <w:pPr>
              <w:jc w:val="center"/>
              <w:ind w:right="5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360" w:type="dxa"/>
            <w:vAlign w:val="bottom"/>
          </w:tcPr>
          <w:p>
            <w:pPr>
              <w:jc w:val="center"/>
              <w:ind w:left="386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6"/>
        </w:trPr>
        <w:tc>
          <w:tcPr>
            <w:tcW w:w="2220" w:type="dxa"/>
            <w:vAlign w:val="bottom"/>
          </w:tcPr>
          <w:p>
            <w:pPr>
              <w:spacing w:after="0"/>
              <w:rPr>
                <w:sz w:val="20"/>
                <w:szCs w:val="20"/>
                <w:color w:val="auto"/>
              </w:rPr>
            </w:pPr>
          </w:p>
        </w:tc>
        <w:tc>
          <w:tcPr>
            <w:tcW w:w="5360" w:type="dxa"/>
            <w:vAlign w:val="bottom"/>
          </w:tcPr>
          <w:p>
            <w:pPr>
              <w:jc w:val="right"/>
              <w:ind w:right="3109"/>
              <w:spacing w:after="0"/>
              <w:rPr>
                <w:sz w:val="20"/>
                <w:szCs w:val="20"/>
                <w:color w:val="auto"/>
              </w:rPr>
            </w:pPr>
            <w:r>
              <w:rPr>
                <w:rFonts w:ascii="Arial" w:cs="Arial" w:eastAsia="Arial" w:hAnsi="Arial"/>
                <w:sz w:val="14"/>
                <w:szCs w:val="14"/>
                <w:b w:val="1"/>
                <w:bCs w:val="1"/>
                <w:color w:val="auto"/>
              </w:rPr>
              <w:t>(347) 676-1681</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5360" w:type="dxa"/>
            <w:vAlign w:val="bottom"/>
          </w:tcPr>
          <w:p>
            <w:pPr>
              <w:jc w:val="center"/>
              <w:ind w:right="182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50800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MWK</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1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240" w:firstLine="518"/>
        <w:spacing w:after="0" w:line="25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6" w:lineRule="exact"/>
        <w:rPr>
          <w:sz w:val="24"/>
          <w:szCs w:val="24"/>
          <w:color w:val="auto"/>
        </w:rPr>
      </w:pPr>
    </w:p>
    <w:p>
      <w:pPr>
        <w:ind w:left="520" w:right="23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2019, the registrant had 17,625,241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574675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4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100" w:type="dxa"/>
            <w:vAlign w:val="bottom"/>
            <w:gridSpan w:val="12"/>
            <w:vMerge w:val="restart"/>
          </w:tcPr>
          <w:p>
            <w:pPr>
              <w:spacing w:after="0"/>
              <w:rPr>
                <w:sz w:val="24"/>
                <w:szCs w:val="2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6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100" w:type="dxa"/>
            <w:vAlign w:val="bottom"/>
            <w:gridSpan w:val="12"/>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94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42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70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8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428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3"/>
          </w:tcPr>
          <w:p>
            <w:pPr>
              <w:spacing w:after="0"/>
              <w:rPr>
                <w:sz w:val="18"/>
                <w:szCs w:val="18"/>
                <w:color w:val="auto"/>
              </w:rPr>
            </w:pPr>
          </w:p>
        </w:tc>
        <w:tc>
          <w:tcPr>
            <w:tcW w:w="49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500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758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48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6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502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Mine Safety Disclosures</w:t>
              </w:r>
            </w:hyperlink>
          </w:p>
        </w:tc>
        <w:tc>
          <w:tcPr>
            <w:tcW w:w="704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8"/>
                <w:szCs w:val="18"/>
                <w:color w:val="auto"/>
              </w:rPr>
            </w:pPr>
          </w:p>
        </w:tc>
        <w:tc>
          <w:tcPr>
            <w:tcW w:w="7600" w:type="dxa"/>
            <w:vAlign w:val="bottom"/>
            <w:gridSpan w:val="1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380"/>
        <w:spacing w:after="0" w:line="252"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6" w:lineRule="exact"/>
        <w:rPr>
          <w:sz w:val="20"/>
          <w:szCs w:val="20"/>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costs of goods sold and operating expenses;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grow profitability;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to meet our liquidity needs;</w:t>
      </w:r>
    </w:p>
    <w:p>
      <w:pPr>
        <w:spacing w:after="0" w:line="9" w:lineRule="exact"/>
        <w:rPr>
          <w:rFonts w:ascii="Arial" w:cs="Arial" w:eastAsia="Arial" w:hAnsi="Arial"/>
          <w:sz w:val="18"/>
          <w:szCs w:val="18"/>
          <w:color w:val="auto"/>
        </w:rPr>
      </w:pPr>
    </w:p>
    <w:p>
      <w:pPr>
        <w:ind w:left="1140" w:hanging="376"/>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technology platform, including our AIMEE (</w:t>
      </w:r>
      <w:r>
        <w:rPr>
          <w:rFonts w:ascii="Arial" w:cs="Arial" w:eastAsia="Arial" w:hAnsi="Arial"/>
          <w:sz w:val="18"/>
          <w:szCs w:val="18"/>
          <w:b w:val="1"/>
          <w:bCs w:val="1"/>
          <w:color w:val="auto"/>
        </w:rPr>
        <w:t>A</w:t>
      </w:r>
      <w:r>
        <w:rPr>
          <w:rFonts w:ascii="Arial" w:cs="Arial" w:eastAsia="Arial" w:hAnsi="Arial"/>
          <w:sz w:val="18"/>
          <w:szCs w:val="18"/>
          <w:color w:val="auto"/>
        </w:rPr>
        <w:t xml:space="preserve">rtificial </w:t>
      </w:r>
      <w:r>
        <w:rPr>
          <w:rFonts w:ascii="Arial" w:cs="Arial" w:eastAsia="Arial" w:hAnsi="Arial"/>
          <w:sz w:val="18"/>
          <w:szCs w:val="18"/>
          <w:b w:val="1"/>
          <w:bCs w:val="1"/>
          <w:color w:val="auto"/>
        </w:rPr>
        <w:t>I</w:t>
      </w:r>
      <w:r>
        <w:rPr>
          <w:rFonts w:ascii="Arial" w:cs="Arial" w:eastAsia="Arial" w:hAnsi="Arial"/>
          <w:sz w:val="18"/>
          <w:szCs w:val="18"/>
          <w:color w:val="auto"/>
        </w:rPr>
        <w:t xml:space="preserve">ntelligence </w:t>
      </w:r>
      <w:r>
        <w:rPr>
          <w:rFonts w:ascii="Arial" w:cs="Arial" w:eastAsia="Arial" w:hAnsi="Arial"/>
          <w:sz w:val="18"/>
          <w:szCs w:val="18"/>
          <w:b w:val="1"/>
          <w:bCs w:val="1"/>
          <w:color w:val="auto"/>
        </w:rPr>
        <w:t>M</w:t>
      </w:r>
      <w:r>
        <w:rPr>
          <w:rFonts w:ascii="Arial" w:cs="Arial" w:eastAsia="Arial" w:hAnsi="Arial"/>
          <w:sz w:val="18"/>
          <w:szCs w:val="18"/>
          <w:color w:val="auto"/>
        </w:rPr>
        <w:t xml:space="preserve">ohawk </w:t>
      </w:r>
      <w:r>
        <w:rPr>
          <w:rFonts w:ascii="Arial" w:cs="Arial" w:eastAsia="Arial" w:hAnsi="Arial"/>
          <w:sz w:val="18"/>
          <w:szCs w:val="18"/>
          <w:b w:val="1"/>
          <w:bCs w:val="1"/>
          <w:color w:val="auto"/>
        </w:rPr>
        <w:t>e</w:t>
      </w:r>
      <w:r>
        <w:rPr>
          <w:rFonts w:ascii="Arial" w:cs="Arial" w:eastAsia="Arial" w:hAnsi="Arial"/>
          <w:sz w:val="18"/>
          <w:szCs w:val="18"/>
          <w:color w:val="auto"/>
        </w:rPr>
        <w:t xml:space="preserve">-Commerce </w:t>
      </w:r>
      <w:r>
        <w:rPr>
          <w:rFonts w:ascii="Arial" w:cs="Arial" w:eastAsia="Arial" w:hAnsi="Arial"/>
          <w:sz w:val="18"/>
          <w:szCs w:val="18"/>
          <w:b w:val="1"/>
          <w:bCs w:val="1"/>
          <w:color w:val="auto"/>
        </w:rPr>
        <w:t>E</w:t>
      </w:r>
      <w:r>
        <w:rPr>
          <w:rFonts w:ascii="Arial" w:cs="Arial" w:eastAsia="Arial" w:hAnsi="Arial"/>
          <w:sz w:val="18"/>
          <w:szCs w:val="18"/>
          <w:color w:val="auto"/>
        </w:rPr>
        <w:t>ngine) software platform;</w:t>
      </w: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new products;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complete merger and acquisition transactions;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including our AIMEE software platform;</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and</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obligations associated with being a public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11" w:lineRule="exact"/>
        <w:rPr>
          <w:sz w:val="20"/>
          <w:szCs w:val="20"/>
          <w:color w:val="auto"/>
        </w:rPr>
      </w:pPr>
    </w:p>
    <w:p>
      <w:pPr>
        <w:ind w:right="80" w:firstLine="380"/>
        <w:spacing w:after="0" w:line="271" w:lineRule="auto"/>
        <w:rPr>
          <w:sz w:val="20"/>
          <w:szCs w:val="20"/>
          <w:color w:val="auto"/>
        </w:rPr>
      </w:pPr>
      <w:r>
        <w:rPr>
          <w:rFonts w:ascii="Arial" w:cs="Arial" w:eastAsia="Arial" w:hAnsi="Arial"/>
          <w:sz w:val="17"/>
          <w:szCs w:val="17"/>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described in the forward-looking statements.</w:t>
      </w:r>
    </w:p>
    <w:p>
      <w:pPr>
        <w:spacing w:after="0" w:line="179" w:lineRule="exact"/>
        <w:rPr>
          <w:sz w:val="20"/>
          <w:szCs w:val="20"/>
          <w:color w:val="auto"/>
        </w:rPr>
      </w:pPr>
    </w:p>
    <w:p>
      <w:pPr>
        <w:ind w:right="140" w:firstLine="380"/>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81,002</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81,296</w:t>
            </w:r>
          </w:p>
        </w:tc>
        <w:tc>
          <w:tcPr>
            <w:tcW w:w="12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 facility</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13,754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8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12,497</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39,563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44,958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LOANS</w:t>
            </w:r>
          </w:p>
        </w:tc>
        <w:tc>
          <w:tcPr>
            <w:tcW w:w="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8"/>
                <w:szCs w:val="18"/>
                <w:color w:val="auto"/>
              </w:rPr>
              <w:t>11,534,190 shares outstanding at December 31, 2018; 500,000,000 shares authorized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and 17,625,241 shares outstanding at June 30, 2019</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110,094</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Accumulated deficit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(87,034)</w:t>
            </w: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(18,103)</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(18,106)</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9,273,735</w:t>
            </w: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11,872,326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9,963,851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12,206,747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Three Months Ended June 30, 2018</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6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6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76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3"/>
                <w:szCs w:val="13"/>
                <w:color w:val="auto"/>
              </w:rPr>
            </w:pPr>
          </w:p>
        </w:tc>
        <w:tc>
          <w:tcPr>
            <w:tcW w:w="11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BALANCE—April 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8,575,950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(48,368</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5,992,750 shares of series C preferred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April 2018 which converted at 0.2564</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 share into 1,536,602 shares of common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as part of the Merger (see Note 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1,536,602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10,117,017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Three Months Ended June 30, 2019</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6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6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76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3"/>
                <w:szCs w:val="13"/>
                <w:color w:val="auto"/>
              </w:rPr>
            </w:pPr>
          </w:p>
        </w:tc>
        <w:tc>
          <w:tcPr>
            <w:tcW w:w="11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BALANCE—April 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13,940,808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(79,409</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88,548 shares of restricted common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on May 17, 2019 and forfeiture of 69,141</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of restricted common stock (see Note 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rPr>
              <w:t>Issuance of 64,982 shares of restricted common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stock on June 12, 2019 (see Note 7)</w:t>
            </w:r>
          </w:p>
        </w:tc>
        <w:tc>
          <w:tcPr>
            <w:tcW w:w="960" w:type="dxa"/>
            <w:vAlign w:val="bottom"/>
          </w:tcPr>
          <w:p>
            <w:pPr>
              <w:jc w:val="right"/>
              <w:spacing w:after="0"/>
              <w:rPr>
                <w:sz w:val="20"/>
                <w:szCs w:val="20"/>
                <w:color w:val="auto"/>
              </w:rPr>
            </w:pPr>
            <w:r>
              <w:rPr>
                <w:rFonts w:ascii="Arial" w:cs="Arial" w:eastAsia="Arial" w:hAnsi="Arial"/>
                <w:sz w:val="18"/>
                <w:szCs w:val="18"/>
                <w:color w:val="auto"/>
              </w:rPr>
              <w:t>64,982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3,600,000 shares of common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on June 14, 2019 (see Note 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29,628</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17,625,241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(87,034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8"/>
              </w:rPr>
              <w:t>Six Months Ended June 30, 2018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6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6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76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3"/>
                <w:szCs w:val="13"/>
                <w:color w:val="auto"/>
              </w:rPr>
            </w:pPr>
          </w:p>
        </w:tc>
        <w:tc>
          <w:tcPr>
            <w:tcW w:w="11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8,575,950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(39,197</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5,992,750 shares of series C preferred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April 2018 which converted at 0.2564</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 share into 1,536,602 shares of common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as part of the Merger (see Note 1)</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1,536,602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10,117,017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8"/>
              </w:rPr>
              <w:t>Six Months Ended June 30, 2019</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6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860" w:type="dxa"/>
            <w:vAlign w:val="bottom"/>
            <w:gridSpan w:val="3"/>
            <w:vMerge w:val="restart"/>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8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1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11,534,190</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(71,020</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2,406,618 shares of restricted common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on March 20, 2019 (see Note 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2,406,618</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rPr>
              <w:t>Issuance of 88,548 shares of restricted common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80"/>
              <w:spacing w:after="0"/>
              <w:rPr>
                <w:sz w:val="20"/>
                <w:szCs w:val="20"/>
                <w:color w:val="auto"/>
              </w:rPr>
            </w:pPr>
            <w:r>
              <w:rPr>
                <w:rFonts w:ascii="Arial" w:cs="Arial" w:eastAsia="Arial" w:hAnsi="Arial"/>
                <w:sz w:val="18"/>
                <w:szCs w:val="18"/>
                <w:color w:val="auto"/>
              </w:rPr>
              <w:t>stock on May 17, 2019 and forfeiture of 69,141</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shares of restricted common stock (see Note 7)</w:t>
            </w:r>
          </w:p>
        </w:tc>
        <w:tc>
          <w:tcPr>
            <w:tcW w:w="960" w:type="dxa"/>
            <w:vAlign w:val="bottom"/>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64,982 shares of restricted common</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on June 12, 2019 (see Note 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rPr>
              <w:t>Issuance of 3,600,000 shares of common stock</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on June 14, 2019 (see Note 1)</w:t>
            </w:r>
          </w:p>
        </w:tc>
        <w:tc>
          <w:tcPr>
            <w:tcW w:w="960" w:type="dxa"/>
            <w:vAlign w:val="bottom"/>
          </w:tcPr>
          <w:p>
            <w:pPr>
              <w:jc w:val="right"/>
              <w:spacing w:after="0"/>
              <w:rPr>
                <w:sz w:val="20"/>
                <w:szCs w:val="20"/>
                <w:color w:val="auto"/>
              </w:rPr>
            </w:pPr>
            <w:r>
              <w:rPr>
                <w:rFonts w:ascii="Arial" w:cs="Arial" w:eastAsia="Arial" w:hAnsi="Arial"/>
                <w:sz w:val="18"/>
                <w:szCs w:val="18"/>
                <w:color w:val="auto"/>
              </w:rPr>
              <w:t>3,600,000</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BALANCE—June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17,625,241</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110,094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15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Net loss</w:t>
            </w:r>
          </w:p>
        </w:tc>
        <w:tc>
          <w:tcPr>
            <w:tcW w:w="25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(18,106)</w:t>
            </w: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(16,014)</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sales returns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Amortization of deferred financing costs and debt discounts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Other</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assets and liabilities: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3"/>
        </w:trPr>
        <w:tc>
          <w:tcPr>
            <w:tcW w:w="6320" w:type="dxa"/>
            <w:vAlign w:val="bottom"/>
          </w:tcPr>
          <w:p>
            <w:pPr>
              <w:ind w:left="500"/>
              <w:spacing w:after="0"/>
              <w:rPr>
                <w:sz w:val="20"/>
                <w:szCs w:val="20"/>
                <w:color w:val="auto"/>
              </w:rPr>
            </w:pPr>
            <w:r>
              <w:rPr>
                <w:rFonts w:ascii="Arial" w:cs="Arial" w:eastAsia="Arial" w:hAnsi="Arial"/>
                <w:sz w:val="16"/>
                <w:szCs w:val="16"/>
                <w:color w:val="auto"/>
              </w:rPr>
              <w:t>Prepaid and other current assets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accrued and other liabilities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740"/>
              <w:spacing w:after="0"/>
              <w:rPr>
                <w:sz w:val="20"/>
                <w:szCs w:val="20"/>
                <w:color w:val="auto"/>
              </w:rPr>
            </w:pPr>
            <w:r>
              <w:rPr>
                <w:rFonts w:ascii="Arial" w:cs="Arial" w:eastAsia="Arial" w:hAnsi="Arial"/>
                <w:sz w:val="16"/>
                <w:szCs w:val="16"/>
                <w:color w:val="auto"/>
              </w:rPr>
              <w:t>Cash used in operating activities</w:t>
            </w:r>
          </w:p>
        </w:tc>
        <w:tc>
          <w:tcPr>
            <w:tcW w:w="1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(17,768)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(16,289)</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Purchase of fixed assets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on sale of fixed assets</w:t>
            </w:r>
          </w:p>
        </w:tc>
        <w:tc>
          <w:tcPr>
            <w:tcW w:w="15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20" w:type="dxa"/>
            <w:vAlign w:val="bottom"/>
          </w:tcPr>
          <w:p>
            <w:pPr>
              <w:ind w:left="740"/>
              <w:spacing w:after="0"/>
              <w:rPr>
                <w:sz w:val="20"/>
                <w:szCs w:val="20"/>
                <w:color w:val="auto"/>
              </w:rPr>
            </w:pPr>
            <w:r>
              <w:rPr>
                <w:rFonts w:ascii="Arial" w:cs="Arial" w:eastAsia="Arial" w:hAnsi="Arial"/>
                <w:sz w:val="16"/>
                <w:szCs w:val="16"/>
                <w:color w:val="auto"/>
              </w:rPr>
              <w:t>Cash provided by (used in) investing activities</w:t>
            </w: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Series C preferred stock</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Proceeds from Initial Public Offering</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costs of Series C preferred stock</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(2,980)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Issuance costs from Initial Public offering</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from Mid Cap credit facility</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Repayments from Mid Cap credit facility</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(12,816)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(35,229)</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from Mid Cap term loan</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Debt issuance costs from Mid Cap credit facility</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 from Horizon term loan</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Deferred offering costs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financing proceeds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260"/>
              <w:spacing w:after="0"/>
              <w:rPr>
                <w:sz w:val="20"/>
                <w:szCs w:val="20"/>
                <w:color w:val="auto"/>
              </w:rPr>
            </w:pPr>
            <w:r>
              <w:rPr>
                <w:rFonts w:ascii="Arial" w:cs="Arial" w:eastAsia="Arial" w:hAnsi="Arial"/>
                <w:sz w:val="16"/>
                <w:szCs w:val="16"/>
                <w:color w:val="auto"/>
              </w:rPr>
              <w:t>Insurance obligation payments</w:t>
            </w: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lease obligation payments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7"/>
        </w:trPr>
        <w:tc>
          <w:tcPr>
            <w:tcW w:w="6320" w:type="dxa"/>
            <w:vAlign w:val="bottom"/>
          </w:tcPr>
          <w:p>
            <w:pPr>
              <w:ind w:left="740"/>
              <w:spacing w:after="0"/>
              <w:rPr>
                <w:sz w:val="20"/>
                <w:szCs w:val="20"/>
                <w:color w:val="auto"/>
              </w:rPr>
            </w:pPr>
            <w:r>
              <w:rPr>
                <w:rFonts w:ascii="Arial" w:cs="Arial" w:eastAsia="Arial" w:hAnsi="Arial"/>
                <w:sz w:val="16"/>
                <w:szCs w:val="16"/>
                <w:color w:val="auto"/>
              </w:rPr>
              <w:t>Cash provided by financing activities</w:t>
            </w:r>
          </w:p>
        </w:tc>
        <w:tc>
          <w:tcPr>
            <w:tcW w:w="15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ON CASH</w:t>
            </w:r>
          </w:p>
        </w:tc>
        <w:tc>
          <w:tcPr>
            <w:tcW w:w="15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6"/>
                <w:szCs w:val="16"/>
                <w:color w:val="auto"/>
              </w:rPr>
              <w:t>NET CHANGE IN CASH AND RESTRICTED CASH FOR PERIOD</w:t>
            </w: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 AT BEGINNING OF PERIOD</w:t>
            </w:r>
          </w:p>
        </w:tc>
        <w:tc>
          <w:tcPr>
            <w:tcW w:w="15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320" w:type="dxa"/>
            <w:vAlign w:val="bottom"/>
          </w:tcPr>
          <w:p>
            <w:pPr>
              <w:spacing w:after="0"/>
              <w:rPr>
                <w:sz w:val="20"/>
                <w:szCs w:val="20"/>
                <w:color w:val="auto"/>
              </w:rPr>
            </w:pPr>
            <w:r>
              <w:rPr>
                <w:rFonts w:ascii="Arial" w:cs="Arial" w:eastAsia="Arial" w:hAnsi="Arial"/>
                <w:sz w:val="16"/>
                <w:szCs w:val="16"/>
                <w:color w:val="auto"/>
              </w:rPr>
              <w:t>CASH AND RESTRICTED CASH AT END OF PERIOD</w:t>
            </w:r>
          </w:p>
        </w:tc>
        <w:tc>
          <w:tcPr>
            <w:tcW w:w="25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9,395</w:t>
            </w:r>
          </w:p>
        </w:tc>
        <w:tc>
          <w:tcPr>
            <w:tcW w:w="160" w:type="dxa"/>
            <w:vAlign w:val="bottom"/>
          </w:tcPr>
          <w:p>
            <w:pPr>
              <w:spacing w:after="0"/>
              <w:rPr>
                <w:sz w:val="21"/>
                <w:szCs w:val="21"/>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RECONCILIATION OF CASH AND RESTRICTED CASH</w:t>
            </w:r>
          </w:p>
        </w:tc>
        <w:tc>
          <w:tcPr>
            <w:tcW w:w="15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CASH</w:t>
            </w:r>
          </w:p>
        </w:tc>
        <w:tc>
          <w:tcPr>
            <w:tcW w:w="25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8,966</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CASH—Prepaid and other assets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CASH—Other non-current assets</w:t>
            </w:r>
          </w:p>
        </w:tc>
        <w:tc>
          <w:tcPr>
            <w:tcW w:w="15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RESTRICTED CASH</w:t>
            </w:r>
          </w:p>
        </w:tc>
        <w:tc>
          <w:tcPr>
            <w:tcW w:w="256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9,395</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15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256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Cash paid for taxes</w:t>
            </w:r>
          </w:p>
        </w:tc>
        <w:tc>
          <w:tcPr>
            <w:tcW w:w="25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 AND FINANCING ACTIVITIES:</w:t>
            </w:r>
          </w:p>
        </w:tc>
        <w:tc>
          <w:tcPr>
            <w:tcW w:w="1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Deferred equity fundraising cost not paid</w:t>
            </w:r>
          </w:p>
        </w:tc>
        <w:tc>
          <w:tcPr>
            <w:tcW w:w="25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Capital lease</w:t>
            </w:r>
          </w:p>
        </w:tc>
        <w:tc>
          <w:tcPr>
            <w:tcW w:w="256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2018 and 2019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Mohawk Group Holdings, Inc. and subsidiaries (“Mohawk” or the “Company”) is a rapidly growing technology-enabled consumer products company that uses machine learning, and data analytics to design, develop, market and sell products. Mohawk predominately operates through online retail channels such as Amazon, eBay, and Walmart.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Mohawk’s offices can be found in China, Philippines, Israel, Poland, and the United States.</w:t>
      </w:r>
    </w:p>
    <w:p>
      <w:pPr>
        <w:spacing w:after="0" w:line="2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Merger—</w:t>
      </w:r>
      <w:r>
        <w:rPr>
          <w:rFonts w:ascii="Arial" w:cs="Arial" w:eastAsia="Arial" w:hAnsi="Arial"/>
          <w:sz w:val="18"/>
          <w:szCs w:val="18"/>
          <w:color w:val="auto"/>
        </w:rPr>
        <w:t>On September 4, 2018, pursuant to an Agreement and Plan of Merger and Reorganization among the Company, MGH Merger Sub,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Mohawk Group, Inc. (“MGI”), as amended by Amendment No. 1 dated as of April 1, 2018 (the “Merger Agreement”), MGI merged with Merger Sub, Inc., with MGI remaining as the surviving entity and becoming a wholly-owned operating subsidiary of the Company (the “Merger”). The Merger was a reverse recapitalization for financial reporting purposes. The Merger is reflected in the financial statements and financial disclosures as if the merger was effective on January 1, 2017. Operations prior to the Merger are the historical operations of MGI.</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Merger Agreement, all outstanding common shares, preferred shares and warrants, excluding MGI’s Series C preferred stock (“Series C”) and warrants for Series C, converted to new common shares of the Company at a ratio of 1 to 0.3131 (“the Conversion”). All outstanding Series C, including any warrants for Series C converted on a one to 0.2564 basis to new common shares of the Company. At the time of the merger, the Company had 0.9 million shares outstanding held by certain Series C holders.</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On June 14, 2019, the Company completed its initial public offering (“IPO”), selling 3,600,000 shares of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$10.00 per share. Net proceeds to the Company from the offering were approximately $29.6 million, after deducting legal, underwriting and other offering expenses.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Liquidity, Going Concern and Initial Public Offering—</w:t>
      </w:r>
      <w:r>
        <w:rPr>
          <w:rFonts w:ascii="Arial" w:cs="Arial" w:eastAsia="Arial" w:hAnsi="Arial"/>
          <w:sz w:val="18"/>
          <w:szCs w:val="18"/>
          <w:color w:val="auto"/>
        </w:rPr>
        <w:t>The Company is an early-stage growth company. As a result, the Company is investing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launching new products, advancing its software, and its sales and distribution infrastructure to accelerate revenue growth and scale operations to support such growth. To fund this investment, the Company has incurred losses with the expectation that it will generate profitable revenue streams in the future. While management and the Company’s board of directors believes that the Company will eventually reach a scale where the growth of its product revenues will offset the continued investments required in launching new products, completing the development of its software, and managing its sales and distribution operations, they believe that the size and nascent stage of the Company’s target market justify continuing to invest in growth at the expense of short-term profitability.</w:t>
      </w:r>
    </w:p>
    <w:p>
      <w:pPr>
        <w:spacing w:after="0" w:line="1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pursuit of the foregoing growth strategy, the Company incurred operating losses of $22.6 million and $29.4 million for the years ended December 31, 2017 and 2018, respectively, primarily due to the impact from its continued investment in launching new products, advancing its AIMEE software platform and building out its sales and distribution infrastructure. In addition, at December 31, 2017 and 2018, the Company had an accumulated deficit of $39.2 million and $71.0 million , respectively, cash on hand amounted to $5.3 million and $20.0 million, respectively, total outstanding borrowings from lenders amounted to $10.3 million and $27.5 million, respectively, and total available capacity on borrowings amounted to $5.6 million and $1.4 million at December 31, 2017 and 2018, respectively. Moreover, the Company has not had a sufficient track record of improvement of its operating cash outflows. As such, in the event that the Company was unsuccessful in its ability to continue to reduce its cash outflows or obtain additional financing if such reduction in cash outflows was not achieved, the Company would have been unable to meet its obligations as they became due within one year from the date these condensed consolidated financial statements were issued. These negative financial conditions raised substantial doubt about the Company’s ability to continue as a going concern.</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Management plans to continue pursuing its growth strategy. In the past, the Company has successfully funded its losses to-date through equity financings, beginning in July 2014. As of December 31, 2018, the Company has raised over $72.6 million in equity financing to fund its operations since inception. Further, in October 2017, the Company improved its working capital flexibility by securing an up to $30.0 million credit facility and a $7.0 million term loan with MidCap Financial Trust (“MidCap”) and in November 2018, the Company exited the original credit facility with MidCap and entered into a new three-year, $25.0 million revolving credit facility with MidCap, which can be increased, subject to certain conditions, to $50.0 million. Furthermore, on December 31, 2018, the Company entered into a new term loan agreement with Horizon Technology Finance Corporation (“Horizon”) obtaining a five-year, $15.0 million term loan and repaying the outstanding amount of MidCap’s term loan of approximately $4.9 million. While there was no assurance that future investments in the Company’s equity or issuances of debt will occur, management believes its success in obtaining funding since inception will continue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During the Company’s December 31, 2018 audit of its consolidated financial statements, the Company’s financial forecast for the next 12 months included revenue growth, margin expansion, a reduction of certain fixed costs, an improvement in inventory management, and reduction in operating cash deficit. In addition, management anticipated that the Company would not breach its financial covenants associated with its existing credit facility or term loan for the next twelve months. However, there was no assurance that management’s forecast would be attained to maintain its liquidity to fund operations and/or maintain compliance with its covenants without future investments in the Company’s equity or issuance of debt from outside sources. In the event of a breach of the Company’s financial covenants under the credit facility and/or its term loan, outstanding borrowings would become due on demand absent a waiver from the lenders.</w:t>
      </w:r>
    </w:p>
    <w:p>
      <w:pPr>
        <w:spacing w:after="0" w:line="189"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These condensed consolidated financial statements have been prepared on the basis that the Company will continue to operate as a going concern and as such, include no adjustments that might be necessary in the event that the Company was unable to operate on this basis.</w:t>
      </w:r>
    </w:p>
    <w:p>
      <w:pPr>
        <w:spacing w:after="0" w:line="16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For the three and six months ended June 30, 2019, the Company incurred operating losses of $6.3 million and $13.5 million, respectively. As of June 30, 2019, the Company had accumulated deficit of $87.0 million, cash on hand of $39.5 million, and total outstanding borrowing from lenders of $31.9 million with a total available capacity on borrowings of $1.1 million. On June 14, 2019, the Company completed its IPO, raising approximately $29.6 million after deducting legal, underwriting and other offering expenses. As of June 30, 2019, the Company has raised over $102.3 million in equity financing to fund its operations since inception, including the net proceeds from the IPO.</w:t>
      </w: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believes that, based on its current sales and expense level projections, the credit facility with MidCap (see Note 6), and the proceeds from the IPO, the Company will satisfy its estimated liquidity needs for the twelve months from the condensed consolidated financial statements issuance date. As such, the substantial doubt raised by the Company’s historical operating results has been mitigated.</w:t>
      </w:r>
    </w:p>
    <w:p>
      <w:pPr>
        <w:spacing w:after="0" w:line="31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condensed consolidated financial statements have been prepared by the Company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(“GAAP”) for interim financial reporting and as required by Rule 10-01 of Regulation S-X. In the opinion of the Company’s management, the accompanying unaudited condensed consolidated financial statements contain all adjustments (consisting of items of a normal and recurring nature) necessary to present fairly the financial position as of June 30, 2019, the results of operations for the three and six months ended June 30, 2018 and 2019 and cash flows for the six months ended June 30, 2018 and 2019. The results of operations for the three and six months ended June 30, 2019 are not necessarily indicative of the results to be expected for the full year.</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condensed consolidated balance sheet as of December 31, 2018 included herein was derived from the Company’s audited consolidated financial statements as of that date, but does not include all of the information and notes required by GAAP for complete financial statements.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2018, included in the Company’s final prospectus filed with the Securities and Exchange Commission pursuant to Rule 424(b) under the Securities Act of 1933, as amended (the “Securities Act”), on June 13, 2019 (the “Prospectus”).</w:t>
      </w:r>
    </w:p>
    <w:p>
      <w:pPr>
        <w:spacing w:after="0" w:line="16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financial statements in conformity with GAAP requires management to make estimates and assumptions that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The most significant estimates relate to the determination of fair value of the Company’s common stock and stock-based compensation, prior to the Company’s IPO.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5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condensed consolidated financial statements include the accounts of the Company and its wholly-owned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direct to consumer sales, the Company considers customer order confirmations to be a contract with the customer. Customer confirmations are executed at the time an order is placed through third party online channels. For wholesale sales, the Company considers the customer purchase order to be the contract.</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$0.3 million and $0.5 million at December 31, 2018 and June 30, 2019, respectively, which is included in accrued liabilities and represents the expected value of the refunds that will be due to its customers.</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evaluated principal versus agent considerations to determine whether it is appropriate to record platform fees paid to Amazon as an expense or as a reduction of revenue. Platform fees are recorded as sales and distribution expense and are not recorded as a reduction of revenue because the Company owns and controls all the goods before they are transferred to the customer. The Company can, at any time, direct Amazon and similarly with other third party logistics providers (“Logistics Providers”), to return the Company’s inventory to any location specified by the Company. Any returns made by customers directly to Logistics Providers are the responsibility of the Company to make customers whole and the Company retains the back-end inventory risk. Further, the Company is subject to credit risk (i.e., credit card chargebacks), establishes the prices of its products, can determine who fulfills the goods to the customer (Amazon (or any other Logistics Provider) or the Company) and can limit quantities or stop selling the goods at any time. Based on these considerations, the Company is the principal in this arrangement.</w:t>
      </w:r>
    </w:p>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the three and six months ended June 30, 2018 and 2019 were less than $0.1 million and $0.1 million, respectively.</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of the Company’s revenues as reflected on the condensed consolidated statements of operations for the three and six months ended June 30, 2018 and 2019 are recognized at a point in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 Consistent with prior periods, sales taxes collected from customers are presented on a net basis and as such are excluded from net revenue.</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 June 30, 2018</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color w:val="auto"/>
                <w:w w:val="92"/>
              </w:rPr>
              <w:t>(in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6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5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20" w:type="dxa"/>
            <w:vAlign w:val="bottom"/>
            <w:vMerge w:val="restart"/>
          </w:tcPr>
          <w:p>
            <w:pPr>
              <w:jc w:val="right"/>
              <w:ind w:right="1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 June 30, 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color w:val="auto"/>
                <w:w w:val="92"/>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12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29,276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 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8"/>
          </w:tcPr>
          <w:p>
            <w:pPr>
              <w:jc w:val="center"/>
              <w:ind w:right="380"/>
              <w:spacing w:after="0" w:line="158"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ind w:left="12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 2019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8"/>
          </w:tcPr>
          <w:p>
            <w:pPr>
              <w:jc w:val="center"/>
              <w:ind w:right="380"/>
              <w:spacing w:after="0"/>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Wholesale</w:t>
            </w:r>
          </w:p>
        </w:tc>
        <w:tc>
          <w:tcPr>
            <w:tcW w:w="120" w:type="dxa"/>
            <w:vAlign w:val="bottom"/>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46,292</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2"/>
              </w:rPr>
              <w:t>Three Months Ended June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4"/>
          </w:tcPr>
          <w:p>
            <w:pPr>
              <w:jc w:val="center"/>
              <w:ind w:left="494"/>
              <w:spacing w:after="0" w:line="155" w:lineRule="exact"/>
              <w:rPr>
                <w:sz w:val="20"/>
                <w:szCs w:val="20"/>
                <w:color w:val="auto"/>
              </w:rPr>
            </w:pPr>
            <w:r>
              <w:rPr>
                <w:rFonts w:ascii="Arial" w:cs="Arial" w:eastAsia="Arial" w:hAnsi="Arial"/>
                <w:sz w:val="14"/>
                <w:szCs w:val="14"/>
                <w:color w:val="auto"/>
                <w:w w:val="92"/>
              </w:rPr>
              <w:t>(in thousands)</w:t>
            </w:r>
          </w:p>
        </w:tc>
        <w:tc>
          <w:tcPr>
            <w:tcW w:w="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Environmental appliances (i.e., dehumidifiers</w:t>
            </w: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20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w:t>
            </w:r>
          </w:p>
        </w:tc>
        <w:tc>
          <w:tcPr>
            <w:tcW w:w="1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19,111</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Small home appliances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Cosmetics, skincare, and heath supplements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5"/>
              </w:rPr>
              <w:t>Portable projectors, speakers and headphones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1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Total net product revenue</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29,971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1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8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2"/>
              </w:rPr>
              <w:t>Six Months Ended June 30,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4"/>
          </w:tcPr>
          <w:p>
            <w:pPr>
              <w:jc w:val="center"/>
              <w:ind w:left="494"/>
              <w:spacing w:after="0" w:line="155" w:lineRule="exact"/>
              <w:rPr>
                <w:sz w:val="20"/>
                <w:szCs w:val="20"/>
                <w:color w:val="auto"/>
              </w:rPr>
            </w:pPr>
            <w:r>
              <w:rPr>
                <w:rFonts w:ascii="Arial" w:cs="Arial" w:eastAsia="Arial" w:hAnsi="Arial"/>
                <w:sz w:val="14"/>
                <w:szCs w:val="14"/>
                <w:color w:val="auto"/>
                <w:w w:val="92"/>
              </w:rPr>
              <w:t>(in thousands)</w:t>
            </w:r>
          </w:p>
        </w:tc>
        <w:tc>
          <w:tcPr>
            <w:tcW w:w="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Environmental appliances (i.e., dehumidifiers</w:t>
            </w: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20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1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25,674</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Small home appliances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Cosmetics, skincare, and heath supplements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5"/>
              </w:rPr>
              <w:t>Portable projectors, speakers and headphones</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1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Total net product revenue</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1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8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vMerge w:val="restart"/>
          </w:tcPr>
          <w:p>
            <w:pPr>
              <w:jc w:val="right"/>
              <w:ind w:right="129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13" w:name="page14"/>
    <w:bookmarkEnd w:id="13"/>
    <w:p>
      <w:pPr>
        <w:ind w:right="100"/>
        <w:spacing w:after="0" w:line="272"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June 30, 2019, the carrying amounts of these instruments approximated their fair values because of their short-term nature. The credit facility is carried at amortized cost and at December 31, 2018 and June 30, 2019, respectively, the carrying amount approximates fair value as the stated interest rate approximates market rates currently available to the Company. The Company estimates the fair value of the borrowings under our Horizon Term Loan to be approximately $14.7 million and $14.7 million at December 31, 2018 and June 30, 2019, respectively. The Company considers the inputs utilized to determine the fair value of the borrowings to be Level 2 inputs. The Company’s financial instruments of cash and restricted cash consist of Level 1 assets at June 30, 2019. The Company’s cash and restricted cash was approximately $40.0 million and included savings deposits and overnight investments at June 30, 2019.</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Jumpstart Our Business Startups Act of 2012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November 2016, the FASB issued Accounting Standards Update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(“ASU 2016-18”). ASU 2016-18 requires that the statement of cash flows explains the change during the period in the total cash and restricted cash. Therefore, amounts generally described as restricted cash should be included with cash when reconciling the beginning-of-period and end-of-period total amounts shown on the statement of cash flows. This ASU is effective for fiscal years beginning after December 15, 2018, and interim periods within those fiscal years.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ASU 2016-18 requires retrospective application for all periods presented and as a result the Company has recasted its condensed statement of cash flows for the six months ended June 30, 2018 to reflect the adoption of ASU 2016-18, which was implemented on January 1, 2019.</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various types of changes which would trigger modification accounting for share-based payment awards. In summary, an entity would not apply modification accounting if the fair value, vesting conditions, and classification of the awards are the same immediately before and after the modification. The guidance is effective for annual periods beginning after December 15, 2018, and interim periods within those annual periods. The amendments are applied prospectively to awards modified on or after the adoption date. The new guidance was adopted on January 1, 2019 with no material impact on the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This ASU is effective for all annual reporting periods beginning after December 15, 2019, with early adoption permitted. The Company is currently evaluating the effect that the updated standard will have on its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right="380"/>
        <w:spacing w:after="0" w:line="302"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(“ASU 2018-02”). ASU 2018-02 addresses the effect of the change in the U.S. federal corporate tax rate due to the enactment of the December 22, 2017 Tax Act on items within accumulated other comprehensive income (loss). The guidance will be effective for all annual reporting periods beginning after December 15, 2019, with early adoption permitted. The Company is currently evaluating the effect that the updated standard will have on its consolidated financial statements.</w:t>
      </w:r>
    </w:p>
    <w:p>
      <w:pPr>
        <w:spacing w:after="0" w:line="1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On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changes the fair value measurement disclosure requirements of ASC Topic 820. The amendments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Early adoption is permitted for any eliminated or modified disclosures upon issuance of this ASU. The Company is currently evaluating the effect that the updated standard will have on its consolidated financial statements.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expands the scope of ASC Topic 718, Compensation—Stock Compensation, which currently only includes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also include share-based payments issued to nonemployees for goods and services. This ASU is effective for all annual reporting periods beginning after December 15, 2019, including interim periods therein. The Company is currently evaluating the effect that the updated standard will have on its consolidated financial statements.</w:t>
      </w:r>
    </w:p>
    <w:p>
      <w:pPr>
        <w:spacing w:after="0" w:line="29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2018 and June 30, 2019:</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right"/>
              <w:ind w:right="737"/>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24,595</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All of the Company’s inventory on-hand is held either with Amazon or the Company’s other third-party warehouses. The Company does not have any contractual right of returns with its contract manufacturers. The Company’s inventory on-hand held by Amazon was approximately $6.1 million and $5.5 million as of December 31, 2018 and June 30, 2019, respectively.</w:t>
      </w:r>
    </w:p>
    <w:p>
      <w:pPr>
        <w:spacing w:after="0" w:line="28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2018 and June 30,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jc w:val="right"/>
              <w:ind w:right="794"/>
              <w:spacing w:after="0" w:line="155" w:lineRule="exact"/>
              <w:rPr>
                <w:sz w:val="20"/>
                <w:szCs w:val="20"/>
                <w:color w:val="auto"/>
              </w:rPr>
            </w:pPr>
            <w:r>
              <w:rPr>
                <w:rFonts w:ascii="Arial" w:cs="Arial" w:eastAsia="Arial" w:hAnsi="Arial"/>
                <w:sz w:val="14"/>
                <w:szCs w:val="14"/>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Restricted cash</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720"/>
              <w:spacing w:after="0"/>
              <w:rPr>
                <w:sz w:val="20"/>
                <w:szCs w:val="20"/>
                <w:color w:val="auto"/>
              </w:rPr>
            </w:pPr>
            <w:r>
              <w:rPr>
                <w:rFonts w:ascii="Arial" w:cs="Arial" w:eastAsia="Arial" w:hAnsi="Arial"/>
                <w:sz w:val="18"/>
                <w:szCs w:val="18"/>
                <w:color w:val="auto"/>
              </w:rPr>
              <w:t>Prepaid and other current assets</w:t>
            </w:r>
          </w:p>
        </w:tc>
        <w:tc>
          <w:tcPr>
            <w:tcW w:w="2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60" w:type="dxa"/>
            <w:vAlign w:val="bottom"/>
            <w:vMerge w:val="restart"/>
          </w:tcPr>
          <w:p>
            <w:pPr>
              <w:jc w:val="right"/>
              <w:ind w:right="12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2018 and June 30,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right"/>
              <w:ind w:right="733"/>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Accrual for insurance financing</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Accrual for deferred financing fees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return reserve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recall liability</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accruals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9,708</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through its professional employer organization provider, a 401(k) defined contribution plan covering all eligible US employees.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82"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term loans consisted of the following as of December 31, 2018 and June 30,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71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Mid Cap Credit facility</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3"/>
        </w:trPr>
        <w:tc>
          <w:tcPr>
            <w:tcW w:w="4560" w:type="dxa"/>
            <w:vAlign w:val="bottom"/>
            <w:gridSpan w:val="2"/>
          </w:tcPr>
          <w:p>
            <w:pPr>
              <w:spacing w:after="0"/>
              <w:rPr>
                <w:sz w:val="20"/>
                <w:szCs w:val="20"/>
                <w:color w:val="auto"/>
              </w:rPr>
            </w:pPr>
            <w:r>
              <w:rPr>
                <w:rFonts w:ascii="Arial" w:cs="Arial" w:eastAsia="Arial" w:hAnsi="Arial"/>
                <w:sz w:val="18"/>
                <w:szCs w:val="18"/>
                <w:color w:val="auto"/>
              </w:rPr>
              <w:t>Total Mid Cap credit facility</w:t>
            </w:r>
          </w:p>
        </w:tc>
        <w:tc>
          <w:tcPr>
            <w:tcW w:w="9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Horizon Term loan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deferred debt issuance costs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discount associated with issuance of warrants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Horizon term loan</w:t>
            </w: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Less-current portion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loan-non current portion</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16, 2017, the Company entered into a three-year, $15.0 million revolving credit facility (the “Prior Credit Facility”) with MidCap pursuant to a credit and security agreement (the “Credit and Security Agreement”). As part of the Credit and Security Agreement, the Company also obtained a three-year, $7.0 million term loan with MidCap (the “Prior Term Loan”). On November 23, 2018, the Company exited the Prior Credit Facility with MidCap and entered into a new three-year $25.0 million revolving credit facility (the “Credit Facility”) with MidCap. The Credit Facility can be increased, subject to certain conditions, to $50.0 million. Loans under the Credit Facility are determined based on percentages of the Company’s eligible accounts receivable and eligible inventory. The Credit Facility bears interest at LIBOR plus 5.75% for outstanding borrowings. The Company is required to pay a facility availability fee of</w:t>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0.5% on the average unused portion of the facility. The Credit Facility contains a minimum liquidity financial covenant that requires the Company to maintain a minimum of $5.0 million in cash on hand or availability in the Credit Facility. In 2018, the Company incurred approximately $1.3 million in debt issuance costs which has been offset against the debt and will be expensed over the three years. Unamortized debt issuance costs of $0.7 million, relating to the Prior Credit Facility, will be amortized in accordance with the terms of the Credit Facility. As of December 31, 2018, there was $16.5 million outstanding on the Credit Facility and an available balance of approximately $1.4 million. As of June 30, 2019, there was $20.4 million outstanding on the Credit Facility and an available balance of approximately $1.1 million. As of June 30, 2019, the Company was in compliance with the financial covenants contained within the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The Company recorded interest expense from the credit facilities of approximately $0.3 million and $0.8 million for the three months ended June 30, 2018 and 2019, respectively, which included $0.1 million and $0.2 million, respectively, relating to debt issuance costs. The Company recorded interest expense from the credit facilities of approximately $0.6 million and $1.5 million for the six months ended June 30, 2018 and 2019, respectively, which included $0.2 million and $0.4 million, respectively, relating to debt issuance costs.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interest expense from the Prior Term Loan of $0.2 million and $0.5 million for the three and six months ended June 30, 2018, which included less than $0.1 million and less than $0.1 million relating to debt issuance costs, respectively.</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December 31, 2018, the Company repaid the Prior Term Loan with MidCap for $4.9 million as part of the entry into a new term loan with Horizon, including $0.1 million of a prepayment penalty.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December 31, 2018, the Company entered into a new term loan agreement with Horizon (the “Horizon Loan Agreement”). As part of the agreement, the Company obtained a five-year $15.0 million term loan (the “Term Loan”). The Term Loan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2.50% for outstanding borrowings and payments on principal are made on a monthly basis. The maturity date of the Term Loan is January 2023. The Term Loan contains minimum required EBITDA financial covenants that require the Company to achieve EBITDA of certain amounts based on the amount that the Company is permitted to borrow under the Credit Facility (the “Revolving Line Indebtedness Cap”). The Horizon Loan Agreement also contains a cash collateral covenant that requires the Company to maintain a cash collateral account with an amount based on the Revolving Line Indebtedness Cap.</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Horizon Term Loan Agreement, the Company issued to Horizon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approximately $1.0 million in debt issuance costs which has been offset against the debt and will expense over the five years.</w:t>
      </w:r>
    </w:p>
    <w:p>
      <w:pPr>
        <w:spacing w:after="0" w:line="23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Credit Facility and the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w:t>
      </w:r>
    </w:p>
    <w:p>
      <w:pPr>
        <w:ind w:right="140" w:firstLine="8"/>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important exceptions and qualifications.</w:t>
      </w:r>
    </w:p>
    <w:p>
      <w:pPr>
        <w:spacing w:after="0" w:line="19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of June 30, 2019, there was $15.0 million outstanding on the Term Loan and the Company was in compliance with the financial covenants contained within the loan. The Company recorded interest expense from the Term Loan of $0.5 million and $1.0 million for the three and six months ended June 30, 2019, respectively, which included $0.1 million and less than $0.3 million, respectively, relating to debt issuance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six months ended June 30, 2018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230"/>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38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40" w:type="dxa"/>
            <w:vAlign w:val="bottom"/>
            <w:tcBorders>
              <w:top w:val="single" w:sz="8" w:color="auto"/>
            </w:tcBorders>
            <w:gridSpan w:val="4"/>
          </w:tcPr>
          <w:p>
            <w:pPr>
              <w:jc w:val="right"/>
              <w:ind w:right="319"/>
              <w:spacing w:after="0" w:line="155" w:lineRule="exact"/>
              <w:rPr>
                <w:sz w:val="20"/>
                <w:szCs w:val="20"/>
                <w:color w:val="auto"/>
              </w:rPr>
            </w:pPr>
            <w:r>
              <w:rPr>
                <w:rFonts w:ascii="Arial" w:cs="Arial" w:eastAsia="Arial" w:hAnsi="Arial"/>
                <w:sz w:val="14"/>
                <w:szCs w:val="14"/>
                <w:color w:val="auto"/>
              </w:rPr>
              <w:t>(in thousands)</w:t>
            </w: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gridSpan w:val="2"/>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506</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1,288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6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40" w:type="dxa"/>
            <w:vAlign w:val="bottom"/>
            <w:vMerge w:val="restart"/>
          </w:tcPr>
          <w:p>
            <w:pPr>
              <w:jc w:val="right"/>
              <w:ind w:right="1276"/>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7"/>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jc w:val="right"/>
              <w:ind w:right="737"/>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5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 w:type="dxa"/>
            <w:vAlign w:val="bottom"/>
            <w:vMerge w:val="continue"/>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of directors of Mohawk Group, Inc., a subsidiary of the Company (“MGI”), board of directors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June 30, 2019, options to purchase an aggregate of 328,959 shares of the Company’s common stock were outstanding and 40,882 shares were reserved for awards available for future issuance under the Mohawk 2014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board of directors adopted the Mohawk Group Holdings, Inc. 2018 Equity Incentive Plan (the “Mohawk 2018 Plan”) on October 11, 2018. The Mohawk 2018 Plan was approved by its stockholders on May 24, 2019. As of June 30, 2019, 64,982 shares subject to restricted stock awards and options to purchase 1,565,903 shares of the Company’s common stock were outstanding and 77,261 shares were reserved for awards available for future issuance under the Mohawk 2018 Plan.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Options granted to date under the Mohawk 2014 Pan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board of directors adopted the Mohawk Group Holdings, Inc. 2019 Equity Plan (the “2019 Equity Plan”) on March 20, 2019. The 2019 Equity Plan was approved by its stockholders on May 24, 2019. As of June 30, 2019, an aggregate of 2,426,025 shares of restricted common stock were outstanding, with no shares reserved for future issuance. Restricted shares granted under the 2019 Equity Plan shall vest in substantially equal installments on the 6th, 12th, 18th and 24th monthly anniversary of the closing of the IPO. Awards granted under the 2019 Equity Plan and not previously forfeited upon termination of service carry dividend and voting rights applicable to the Company’s common stock, irrespective of any vesting requirement. Under ASC Topic 718, following the IPO, the Company records stock-based compensation expense related to grants made under the 2019 Equity Plan over the vesting period of the restricted shares.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is a summary of stock options activity during the six months ended June 30, 2019:</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1,867,747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19,573,295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131,905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(104,746)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1,894,862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596,194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as of June 30,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7.56</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397,416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201,770</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1,894,862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596,194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six months ended June 30, 2019, the Company granted options to purchase 131,905 shares of the Company’s common stock, cancelled options to purchase 104,746 shares of the Company’s common stock and options to purchase 44 shares of the Company’s common stock were exercised.</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weighted-average grant date fair value of options granted during the six months ended June 30, 2019 was $5.94 There were no grants during the six months ended June 30, 2018. As of June 30, 2019, the total unrecognized compensation expense related to unvested options was $15.3 million, which the Company expects to recognize over an estimated weighted average period of 2.25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weighted average assumptions used in the Black-Scholes option-pricing model to determine grant fair value:</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53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r>
      <w:tr>
        <w:trPr>
          <w:trHeight w:val="133"/>
        </w:trPr>
        <w:tc>
          <w:tcPr>
            <w:tcW w:w="53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r>
      <w:tr>
        <w:trPr>
          <w:trHeight w:val="171"/>
        </w:trPr>
        <w:tc>
          <w:tcPr>
            <w:tcW w:w="53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66.04%</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0.000</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A summary of restricted stock activity within the Company’s equity plans and changes for the six months ended June 30, 2019,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Restricted Stock Awards</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Average Grant-</w:t>
            </w: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2019</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2,560,148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(69,141)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June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2,491,007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 xml:space="preserve">During the six months ended June 30, 2019, the Company granted 2,560,148 restricted shares and 69,141 restricted shares were forfeited. Stock-based compensation expense for restricted shares granted was $1.2 million for the six months ended June 30, 2019. </w:t>
      </w:r>
      <w:r>
        <w:rPr>
          <w:rFonts w:ascii="Arial" w:cs="Arial" w:eastAsia="Arial" w:hAnsi="Arial"/>
          <w:sz w:val="18"/>
          <w:szCs w:val="18"/>
          <w:color w:val="222222"/>
        </w:rPr>
        <w:t>No restricted shares vested during the six</w:t>
      </w:r>
      <w:r>
        <w:rPr>
          <w:rFonts w:ascii="Arial" w:cs="Arial" w:eastAsia="Arial" w:hAnsi="Arial"/>
          <w:sz w:val="18"/>
          <w:szCs w:val="18"/>
          <w:color w:val="auto"/>
        </w:rPr>
        <w:t xml:space="preserve"> </w:t>
      </w:r>
      <w:r>
        <w:rPr>
          <w:rFonts w:ascii="Arial" w:cs="Arial" w:eastAsia="Arial" w:hAnsi="Arial"/>
          <w:sz w:val="18"/>
          <w:szCs w:val="18"/>
          <w:color w:val="222222"/>
        </w:rPr>
        <w:t>months ended June 30, 2019.</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weighted-average grant date fair value of restricted shares granted during the six months ended June 30, 2019 was $19.26. As of June 30, 2019, the total unrecognized compensation expense related to unvested restricted shares was $46.8 million, which the Company expects to recognize over an estimated weighted average period of 1.95 years.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222222"/>
        </w:rPr>
        <w:t xml:space="preserve">The table above includes 64,982 of restricted shares that have been granted under the 2018 Equity Incentive Plan and included in the shares outstanding under that plan and </w:t>
      </w:r>
      <w:r>
        <w:rPr>
          <w:rFonts w:ascii="Arial" w:cs="Arial" w:eastAsia="Arial" w:hAnsi="Arial"/>
          <w:sz w:val="18"/>
          <w:szCs w:val="18"/>
          <w:color w:val="000000"/>
        </w:rPr>
        <w:t>carry dividend or voting rights applicable to the Company’s common shares.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22222"/>
        </w:rPr>
        <w:t>Stock-based compensation expense is allocated based on the cost center to which the award holder belongs. The following table summarizes the total stock-based compensation expense by function for the three and six months ended June 30, 2018 and 2019:</w:t>
      </w:r>
    </w:p>
    <w:p>
      <w:pPr>
        <w:sectPr>
          <w:pgSz w:w="11900" w:h="16838" w:orient="portrait"/>
          <w:cols w:equalWidth="0" w:num="1">
            <w:col w:w="11400"/>
          </w:cols>
          <w:pgMar w:left="240" w:top="557" w:right="259" w:bottom="1440" w:gutter="0" w:footer="0" w:header="0"/>
        </w:sectPr>
      </w:pPr>
    </w:p>
    <w:p>
      <w:pPr>
        <w:spacing w:after="0" w:line="311"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13970</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7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98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20955</wp:posOffset>
            </wp:positionV>
            <wp:extent cx="14751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020" w:space="720"/>
            <w:col w:w="2660"/>
          </w:cols>
          <w:pgMar w:left="240" w:top="557" w:right="25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105"/>
              <w:spacing w:after="0" w:line="155"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60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FF0FC"/>
            </w:tcBorders>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restricted shares are entitled to receive dividends and hold voting rights applicable to the Company’s common stock, irrespective of any vesting requirement. Accordingly, although the vesting commences upon the elimination of the contingency, the restricted shares are considered a participating security and the Company is required to apply the two-class method to consider the impact of the restricted shares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restricted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Three Months Ended June 30,</w:t>
            </w:r>
          </w:p>
        </w:tc>
      </w:tr>
      <w:tr>
        <w:trPr>
          <w:trHeight w:val="156"/>
        </w:trPr>
        <w:tc>
          <w:tcPr>
            <w:tcW w:w="5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559"/>
              <w:spacing w:after="0" w:line="155" w:lineRule="exact"/>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(8,935)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(7,625)</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9,963,851</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12,206,747</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56"/>
        </w:trPr>
        <w:tc>
          <w:tcPr>
            <w:tcW w:w="5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559"/>
              <w:spacing w:after="0" w:line="155" w:lineRule="exact"/>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(18,106)</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(16,014)</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9,273,735</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11,872,326</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Recall</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April 2018, the Company retained outside counsel to assist it in evaluating a safety issue related to certain hair dryers that it imported and sold through its subsidiaries between 2014 and 2018 (the “Xtava Allure Hair Dryer”). The Company had received communications directly from consumers and identified online reviews of overheating or fires associated with these hair dryers. The Company sold approximately 170,000 net units from the introduction of the product in 2015 through its discontinuance in the first quarter of 2018 totaling approximately $6.2 million in net revenue.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2018 the Company’s board of directors approved a voluntary recall of the Xtava Allure Hair Dryer. In June 2018, the Company filed an application for a voluntary recall with the US Consumer Product Safety Commission (“CPSC”) pursuant to Section 15(b) of the Consumer Product Safety Act (“CPSA”). The Company has received approval from the CPSC to provide consumers with replacement units and publicly announced the recall on August 15, 2018. The Company estimates it will incur approximately $1.6 million in costs related to the recall for procurement, manufacturing, fulfillment and delivery to consumers who apply and qualify for the recall costs. The Company also estimates it will incur legal and other expenses of approximately $0.4 million related to the recall which will be expensed as incurred. The Company has also incurred and settled all but one consumer legal matter related to Xtava Allure Hair Dryer for insignificant amounts. The Company believes the remaining legal matter will be settled for an insignificant amount. As of June 30, 2019, the remaining recall liability is $1.5 million.</w:t>
      </w:r>
    </w:p>
    <w:p>
      <w:pPr>
        <w:spacing w:after="0" w:line="19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Pursuant to the CPSC and the guidelines set forth by the CPSA, a company may be subject to a late reporting investigation when a recall is announced. If a company is deemed to be a late reporter upon investigation by the CPSC, it may be subject to penalties. The Company believes it is likely that the CPSC will launch a discovery process to understand if a late reporting penalty is warranted. The investigation would evaluate a number of statutory and regulatory factors in determining a penalty amount, such as the severity of the risk of injury, the occurrence or absence of injury, the appropriateness of such penalty in relation to the size of the business and other factors. As of the date of issuance of this report, the Company believes it has met all the appropriate reporting requirements. If the Company is determined to have violated the reporting guidelines a penalty may be material to the consolidated financial statements. If CPSC seeks significant civil penalties for late reporting, the Company intends to vigorously defend itself. As of the date of the issuance of these financial statements the Company cannot reasonably estimate what, if any, penalties for potential late reporting may be levied.</w:t>
      </w:r>
    </w:p>
    <w:p>
      <w:pPr>
        <w:spacing w:after="0" w:line="270" w:lineRule="exact"/>
        <w:rPr>
          <w:sz w:val="20"/>
          <w:szCs w:val="20"/>
          <w:color w:val="auto"/>
        </w:rPr>
      </w:pPr>
    </w:p>
    <w:p>
      <w:pPr>
        <w:ind w:right="7900" w:firstLine="8"/>
        <w:spacing w:after="0" w:line="400" w:lineRule="auto"/>
        <w:tabs>
          <w:tab w:leader="none" w:pos="51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Restated Voting Agreement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 2018, Dr. Larisa Storozhenko, Maximus Yaney and Asher Maximus I, LLC (the “Initial Designating Parties”) entered into a voting agreement with Mr. Asher Delug, one of the stockholders of the Company and a member of the Company’s board of directors, pursuant to which Mr. Delug will have the power to vote such number of shares of common stock as is equal to: (a) all of the shares of the Company’s common stock beneficially held by the Initial Designating Parties minus (b) such number of shares of common stock representing 19.9% of the total voting power of the Company’s capital stock outstanding with respect to the election of directors, the appointment of officers and any amendments of the Company’s amended and restated certificate of incorporation or amended and restated bylaws (the “Voting Agreement”).</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Voting Agreement was amended and restated pursuant to a new Voting Agreement, dated March 13, 2019, by and among MV II, LLC, Dr. Larisa Storozhenko, Mr. Maximus Yaney, Mr. Delug and the Company (the “Restated Voting Agreement”). Under the Restated Voting Agreement, each of MV II, LLC, Dr. Larisa Storozhenko and Mr. Yaney (collectively, the “Designating Parties”) agreed to relinquish the right to vote their shares of the Company’s capital stock, and any of the Company’s other equity interests (collectively, the “Voting Interests”) by granting the Company’s board of directors the sole right to vote all of the Voting Interests as the Designating Parties’ proxyholder. The Voting Interests include all shares of the Company’s common stock currently held by the Designating Parties, as well as any of the Company’s securities or other equity interests acquired by the Designating Parties in the future. Pursuant to the proxy granted by the Designating Parties, the Company’s board of directors are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the Restated Voting Agreement, each of the Designating Parties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1" w:name="page22"/>
    <w:bookmarkEnd w:id="21"/>
    <w:p>
      <w:pPr>
        <w:ind w:right="400"/>
        <w:spacing w:after="0" w:line="291" w:lineRule="auto"/>
        <w:rPr>
          <w:sz w:val="20"/>
          <w:szCs w:val="20"/>
          <w:color w:val="auto"/>
        </w:rPr>
      </w:pPr>
      <w:r>
        <w:rPr>
          <w:rFonts w:ascii="Arial" w:cs="Arial" w:eastAsia="Arial" w:hAnsi="Arial"/>
          <w:sz w:val="16"/>
          <w:szCs w:val="16"/>
          <w:color w:val="auto"/>
        </w:rPr>
        <w:t>The Restated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ind w:right="40"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Yaney’s death. For purposes of the agreement, a “Deemed Liquidation Event” means (i) the acquisition of the Company by another entity by means of any transaction or series of related transactions to which the Company is party other than a transaction or series of transactions in which the holders of the Company’s voting securities outstanding immediately prior to such transaction or series of transactions retain, immediately after such transaction or series of transactions, as a result of the Company’s shares held by such holders prior to such transaction or series of transactions, a majority of the total voting power represented by the Company’s outstanding voting securities or such other surviving or resulting entity; (ii) a sale, lease or other disposition of all or substantially all of the Company’s or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SaaS business as part of reorganization of the Company approved by the Company’s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 with Asher Delug</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April 12, 2019, the Company entered into a Voting Agreement with Asher Delug (the “Delug Voting Agreement”). The terms of the Delug Voting Agreement are substantially similar to the terms of the Restated Voting Agreement.</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Delug Voting Agreement, Mr. Delug agreed to relinquish his right to vote his shares of the Company’s capital stock, and any of the Company’s other equity interests (collectively, the “Delug Voting Interests”) by granting the Company’s board of directors the sole right to vote all of the Delug Voting Interests as Mr. Delug’s proxyholder. The Delug Voting Interests include all shares of the Company’s common stock currently held by Mr. Delug, as well as any of the Company’s securities or other equity interests acquired by Mr. Delug in the future. Pursuant to the proxy granted by Mr. Delug, the Company’s board of directors are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Delug Voting Agreement, Mr. Delug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Delug Voting Agreement became effective on June 12, 2019 and will continue until the earlier to occur of (a) a Deemed Liquidation Event unless, immediately upon such Deemed Liquidation Event, the Company’s common stock is and remains listed on The Nasdaq Stock Market LLC, or (b) Mr. Delug’s death. For purposes of the agreement, a “Deemed Liquidation Event” has the same meaning as in the Restated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thereto included in Part I, Item 1 of this report and with our audited financial statements and related notes thereto for the year ended December 31, 2018, included in the final prospectus for our initial public offering (“IPO”), dated as of June 12, 2019, and filed with the Securities and Exchange Commission (“SEC”) pursuant to Rule 424(b)(4) on June 13, 2019 (File No. 333-231381) (the “Final Prospectus”). You should review the sections titled “Special Note Regarding Forward-Looking Statements” for a discussion of forward-looking statements and in Part II, Item 1A, “Risk Factors” and elsewhere in this Quarterly Report on Form 10-Q for a discussion of factors that could cause actual results to differ materially from the results described in or implied by the forward-looking statements contained in the following discussion and analysis and elsewhere in this Quarterly Report on Form 10-Q and in the Final Prospectus.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the context otherwise requires, the terms “Mohawk,” the “Company,” “we,” “us” and “our” in this Quarterly Report on Form 10-Q refer to Mohawk Group Holdings, Inc. and our consolidated subsidiaries, including Mohawk Group,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Mohawk is a rapidly growing technology-enabled consumer products company. Mohawk was founded on the premise that if a consumer products goods (“CPG”) company was founded today, it would apply artificial intelligence (“A.I.”) and machine learning, the synthesis of massive quantities of data and the use of social proof to validate high caliber product offerings as opposed to over-reliance on brand value and other traditional marketing tactics.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founding in 2014, we have scaled our business in a rapid, capital-efficient manner, having raised $102.3 million of equity capital from inception through June 30, 2019. We have doubled net revenue each year since 2015, resulting in net revenue of $73.3 million in 2018, up 101.0% over 2017, with net losses of $31.8 million and $23.1 million for 2018 and 2017, respectively. For the six months ended June 30, 2019, we increased our net revenue by $19.3 million to $48.2 million from $28.9 million for the six months ended June 30, 2018, with net losses of $16.0 million and $18.1 million for the six months ended June 30, 2019 and June 30, 2018, respectively. We have launched and sold hundreds of SKUs on Amazon and other e-commerce platforms. Through the success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automate various parts of our fulfillment and logistics operations and to automate the change of pricing of product listings.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generate revenue primarily through the online sales of our various digital native consumer products and substantially all of our sales are made through the Amazon U.S. marketplace. AIMEE is integrated with marketplaces in the U.S., including Amazon, Walmart, and eBay, among others and other platforms like Shopify, and we intend to launch products in the future, managed by AIMEE, on marketplaces outside the U.S. In 2018, predominantly through pilot programs, we began offering third party brands access to AIMEE through our managed SaaS business. In 2018, revenue from our managed SaaS business was $0.5 million. For the six months ended June 30, 2019, our revenue from our managed SaaS business was $0.9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used herein, EBITDA represents net loss plus depreciation and amortization, interest expense, net and income tax expense. As used herein, Adjusted EBITDA represents EBITDA plus stock-based compensation and other expense, net. EBITDA and Adjusted EBITDA do not represent and should not be considered as alternatives to net loss, as determined under GAAP.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200"/>
        <w:spacing w:after="0" w:line="276" w:lineRule="auto"/>
        <w:rPr>
          <w:sz w:val="20"/>
          <w:szCs w:val="20"/>
          <w:color w:val="auto"/>
        </w:rPr>
      </w:pPr>
      <w:r>
        <w:rPr>
          <w:rFonts w:ascii="Arial" w:cs="Arial" w:eastAsia="Arial" w:hAnsi="Arial"/>
          <w:sz w:val="17"/>
          <w:szCs w:val="17"/>
          <w:color w:val="auto"/>
        </w:rPr>
        <w:t>We present EBITDA and Adjusted EBITDA because we believe each of these measures provides an additional metric to evaluate our operations and, when considered with both our GAAP results and the reconciliation to net loss, provides useful supplemental information for investors. We use EBITDA and Adjusted EBITDA,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EBITDA and Adjusted EBITDA are useful to investors in assessing the operating performance of our business without the effect of non-cash items. EBITDA and Adjusted EBITDA should not be considered in isolation or as alternatives to net loss, loss from operations or any other measure of financial performance calculated and prescribed in accordance with GAAP. Neither EBITDA nor Adjusted EBITDA should be considered a measure of discretionary cash available to us to invest in the growth of our business. Our EBITDA and Adjusted EBITDA may not be comparable to similar titled measures in other organizations because other organizations may not calculate Adjusted EBITDA in the same manner as we do. Our presentation of Adjusted EBITDA should not be construed as an inference that our future results will be unaffected by the expenses that are excluded from that term or by unusual or non-recurring items.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recognize that both EBITDA and Adjusted EBITDA have limitations as analytical financial measures. For example, neither EBITDA nor Adjusted EBITDA reflects:</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nor does EBITDA or Adjusted EBITDA reflect any cash requirements for such replacements;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Adjusted EBITDA excludes non-cash stock-based compensation expense, which is and will remain a key element of our overall long-term incentive compensation package.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derive our revenue from the sale of consumer products, primarily in the United States. We sell products directly to consumers through online retail channels and through wholesale channels. Direct to consumer sales, which is currently the majority of our revenue, is done through various online retail channels. We sell on Amazon.com, Walmart.com, eBay,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2018, predominantly through pilot programs, we began offering third party brands access to AIMEE through our managed SaaS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Each of our products typically goes through three core phases:</w:t>
      </w:r>
    </w:p>
    <w:p>
      <w:pPr>
        <w:spacing w:after="0" w:line="117" w:lineRule="exact"/>
        <w:rPr>
          <w:sz w:val="20"/>
          <w:szCs w:val="20"/>
          <w:color w:val="auto"/>
        </w:rPr>
      </w:pPr>
    </w:p>
    <w:p>
      <w:pPr>
        <w:ind w:left="1040" w:right="12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negative 35%. Net margin is calculated by taking net revenue less cost of goods sold, less fulfillment, online advertising and selling expenses. These costs primarily reflect the estimated variable costs related to the sale of a product.</w:t>
      </w:r>
    </w:p>
    <w:p>
      <w:pPr>
        <w:spacing w:after="0" w:line="78"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10% net margin, within three months of launch. Net margin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1040" w:right="20" w:hanging="519"/>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Milk or Liquidate: If a product does not enter the sustain phase or achieve profitability at each transaction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the filing of this Quarterly Report on Form 10-Q, none of our products have achieved the milk phase.</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18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is comprised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imposed additional tariffs on products imported from China. We contract manufacturers, through purchase orders, predominantly in China, for our consumer products. As such, this exposes us to risks associated with doing business globally, including changes in tariffs, which impacts a significant number of our products. If proposed increases are enacted, the tariffs would impact all of our products. We believe tariff increases that have been previously announced and subsequently postponed by the USTR would have impacted our cost of goods sold at the end of the third quarter of 2019 as we expected to sell-through our pre-tariff inventory. We planned our inventory purchases to delay the tariff impact and once we sold through our pre-tariff inventory we expected to raise prices to offset the tariff impact. Our pricing actions are intended to offset the full gross margin impact of tariff increases, if they are enacted, however, there are no assurances that the pricing actions will not reduce customer orders.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 related costs and fees paid to outside consultants related to the development of our intellectual property.</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Sales and distribution expenses consist of online advertising costs, marketing and promotional costs, sales and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fulfillment, warehouse costs and employee compensation and benefits. Costs associated with our advertising and sales promotion are expensed as incurred and are included in sales and distribution expenses. Shipping and handling expense is included in our condensed consolidated statements of operations in selling and distribution expenses. This includes pick and pack costs and outbound transportation costs to ship goods to customers performed by e-commerce platforms or incurred directly by our own fulfillment operations, which also leverages AIMEE, and through our third-party logistic partners. Our sales and distribution expenses, specifically our logistics expenses and online advertising, will vary quarter to quarter as they are dependent on our product mix (i.e., products in the launch phase or sustain phase) and whether we fulfill products ourselves or through e-commerce platform service providers.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420"/>
        <w:spacing w:after="0" w:line="313" w:lineRule="auto"/>
        <w:rPr>
          <w:sz w:val="20"/>
          <w:szCs w:val="20"/>
          <w:color w:val="auto"/>
        </w:rPr>
      </w:pPr>
      <w:r>
        <w:rPr>
          <w:rFonts w:ascii="Arial" w:cs="Arial" w:eastAsia="Arial" w:hAnsi="Arial"/>
          <w:sz w:val="17"/>
          <w:szCs w:val="17"/>
          <w:b w:val="1"/>
          <w:bCs w:val="1"/>
          <w:color w:val="auto"/>
        </w:rPr>
        <w:t>General and Administrative Expenses</w:t>
      </w:r>
      <w:r>
        <w:rPr>
          <w:rFonts w:ascii="Arial" w:cs="Arial" w:eastAsia="Arial" w:hAnsi="Arial"/>
          <w:sz w:val="17"/>
          <w:szCs w:val="17"/>
          <w:color w:val="auto"/>
        </w:rPr>
        <w:t>—General and administrative expenses include compensation and employee benefits for executive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administration, legal and human resources, facility costs, travel, professional service fees and other general overhead costs.</w:t>
      </w:r>
    </w:p>
    <w:p>
      <w:pPr>
        <w:spacing w:after="0" w:line="138"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Interest Expense, Net</w:t>
      </w:r>
      <w:r>
        <w:rPr>
          <w:rFonts w:ascii="Arial" w:cs="Arial" w:eastAsia="Arial" w:hAnsi="Arial"/>
          <w:sz w:val="18"/>
          <w:szCs w:val="18"/>
          <w:color w:val="auto"/>
        </w:rPr>
        <w:t>—Interest expense, net includes the interest cost from our credit facility and term loans and includes amortization of deferred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debt discounts from our current and prior credit facilities and prior term loan with MidCap Financial Trust (“MidCap”) and our current term loan with Horizon Technology Finance Corporation (“Horizon”).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and Financial Data:</w:t>
      </w:r>
    </w:p>
    <w:p>
      <w:pPr>
        <w:sectPr>
          <w:pgSz w:w="11900" w:h="16838" w:orient="portrait"/>
          <w:cols w:equalWidth="0" w:num="1">
            <w:col w:w="11440"/>
          </w:cols>
          <w:pgMar w:left="240" w:top="553" w:right="219" w:bottom="1440" w:gutter="0" w:footer="0" w:header="0"/>
        </w:sectPr>
      </w:pPr>
    </w:p>
    <w:p>
      <w:pPr>
        <w:spacing w:after="0" w:line="329"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13970</wp:posOffset>
            </wp:positionV>
            <wp:extent cx="1457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7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20955</wp:posOffset>
            </wp:positionV>
            <wp:extent cx="14751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020" w:space="720"/>
            <w:col w:w="2700"/>
          </w:cols>
          <w:pgMar w:left="240" w:top="553" w:right="2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4"/>
          </w:tcPr>
          <w:p>
            <w:pPr>
              <w:jc w:val="right"/>
              <w:ind w:right="70"/>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6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29,309</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9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46,371</w:t>
            </w:r>
          </w:p>
        </w:tc>
        <w:tc>
          <w:tcPr>
            <w:tcW w:w="10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Wholesale</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Net revenue</w:t>
            </w:r>
          </w:p>
        </w:tc>
        <w:tc>
          <w:tcPr>
            <w:tcW w:w="21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48,213</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553" w:right="219" w:bottom="1440" w:gutter="0" w:footer="0" w:header="0"/>
          <w:type w:val="continuous"/>
        </w:sectPr>
      </w:pPr>
    </w:p>
    <w:p>
      <w:pPr>
        <w:spacing w:after="0" w:line="101"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13970</wp:posOffset>
            </wp:positionV>
            <wp:extent cx="1457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7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102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20955</wp:posOffset>
            </wp:positionV>
            <wp:extent cx="14751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020" w:space="720"/>
            <w:col w:w="2700"/>
          </w:cols>
          <w:pgMar w:left="240" w:top="553" w:right="2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EBITDA (1)</w:t>
            </w:r>
          </w:p>
        </w:tc>
        <w:tc>
          <w:tcPr>
            <w:tcW w:w="2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(6,289)</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(16,912)</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(13,410)</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Adjusted EBITDA (1)</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(8,172)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(3,683)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(16,596)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(9,260)</w:t>
            </w:r>
          </w:p>
        </w:tc>
      </w:tr>
    </w:tbl>
    <w:p>
      <w:pPr>
        <w:spacing w:after="0" w:line="201" w:lineRule="exact"/>
        <w:rPr>
          <w:sz w:val="20"/>
          <w:szCs w:val="20"/>
          <w:color w:val="auto"/>
        </w:rPr>
      </w:pPr>
    </w:p>
    <w:p>
      <w:pPr>
        <w:ind w:left="520" w:right="1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and Adjusted EBITDA are not financial measures prepared in accordance GAAP. As used herein, EBITDA represents net loss plus depreciation and amortization, interest expense, net and income tax expense. As used herein, Adjusted EBITDA represents EBITDA plus stock-based compensation and other expense, net.</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loss, which is the most directly comparable financial measure presented in accordance with GAAP:</w:t>
      </w:r>
    </w:p>
    <w:p>
      <w:pPr>
        <w:sectPr>
          <w:pgSz w:w="11900" w:h="16838" w:orient="portrait"/>
          <w:cols w:equalWidth="0" w:num="1">
            <w:col w:w="11440"/>
          </w:cols>
          <w:pgMar w:left="240" w:top="553" w:right="219" w:bottom="1440" w:gutter="0" w:footer="0" w:header="0"/>
          <w:type w:val="continuous"/>
        </w:sectPr>
      </w:pPr>
    </w:p>
    <w:p>
      <w:pPr>
        <w:spacing w:after="0" w:line="270" w:lineRule="exact"/>
        <w:rPr>
          <w:sz w:val="20"/>
          <w:szCs w:val="20"/>
          <w:color w:val="auto"/>
        </w:rPr>
      </w:pPr>
    </w:p>
    <w:p>
      <w:pPr>
        <w:jc w:val="center"/>
        <w:ind w:left="61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1457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0"/>
          <w:szCs w:val="20"/>
          <w:color w:val="auto"/>
        </w:rPr>
      </w:pPr>
    </w:p>
    <w:p>
      <w:pPr>
        <w:ind w:left="6320"/>
        <w:spacing w:after="0"/>
        <w:tabs>
          <w:tab w:leader="none" w:pos="7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10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13970</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020" w:space="720"/>
            <w:col w:w="2700"/>
          </w:cols>
          <w:pgMar w:left="240" w:top="553" w:right="2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jc w:val="right"/>
              <w:ind w:right="45"/>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(8,935)</w:t>
            </w: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(7,625)</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(18,106)</w:t>
            </w: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(16,014)</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Add (deduct)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1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(13,410)</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6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number of launches of new products included in direct net revenue which have achieved, or are expected to achieve, more than $0.5 million in net revenue per year and growth in our direct net revenue versus comparable previous year period.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2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Growth in direct net revenue versus comparable</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previous year period</w:t>
            </w:r>
          </w:p>
        </w:tc>
        <w:tc>
          <w:tcPr>
            <w:tcW w:w="2200" w:type="dxa"/>
            <w:vAlign w:val="bottom"/>
            <w:gridSpan w:val="3"/>
          </w:tcPr>
          <w:p>
            <w:pPr>
              <w:jc w:val="right"/>
              <w:ind w:right="140"/>
              <w:spacing w:after="0"/>
              <w:rPr>
                <w:sz w:val="20"/>
                <w:szCs w:val="20"/>
                <w:color w:val="auto"/>
              </w:rPr>
            </w:pPr>
            <w:r>
              <w:rPr>
                <w:rFonts w:ascii="Arial" w:cs="Arial" w:eastAsia="Arial" w:hAnsi="Arial"/>
                <w:sz w:val="18"/>
                <w:szCs w:val="18"/>
                <w:color w:val="auto"/>
              </w:rPr>
              <w:t>135.3%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139.3%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58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00" w:type="dxa"/>
            <w:vAlign w:val="bottom"/>
            <w:gridSpan w:val="2"/>
          </w:tcPr>
          <w:p>
            <w:pPr>
              <w:jc w:val="right"/>
              <w:ind w:right="86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and 2019</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June 30, 2018 and 2019, together with the changes in those items in dollars: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w w:val="92"/>
              </w:rPr>
              <w:t>(in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108.2%</w:t>
            </w: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1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(181.3)</w:t>
            </w: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0"/>
        </w:trPr>
        <w:tc>
          <w:tcPr>
            <w:tcW w:w="3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revenue:</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7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74.1%</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25.9%</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56.0%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(57.7)%</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color w:val="auto"/>
                <w:w w:val="90"/>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29,309</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Wholesale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944.7%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revenue</w:t>
            </w:r>
          </w:p>
        </w:tc>
        <w:tc>
          <w:tcPr>
            <w:tcW w:w="2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14,588</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30,368</w:t>
            </w:r>
          </w:p>
        </w:tc>
        <w:tc>
          <w:tcPr>
            <w:tcW w:w="2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 The following table sets forth our net revenue disaggregated by product categories: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r>
      <w:tr>
        <w:trPr>
          <w:trHeight w:val="156"/>
        </w:trPr>
        <w:tc>
          <w:tcPr>
            <w:tcW w:w="4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w:t>
            </w:r>
          </w:p>
        </w:tc>
        <w:tc>
          <w:tcPr>
            <w:tcW w:w="1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19,111</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Small home appliances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5,096</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1,920</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Portable projectors, speakers and headphones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29,971</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FF0FC"/>
          </w:tcPr>
          <w:p>
            <w:pPr>
              <w:spacing w:after="0"/>
              <w:rPr>
                <w:sz w:val="19"/>
                <w:szCs w:val="19"/>
                <w:color w:val="auto"/>
              </w:rPr>
            </w:pPr>
          </w:p>
        </w:tc>
      </w:tr>
      <w:tr>
        <w:trPr>
          <w:trHeight w:val="223"/>
        </w:trPr>
        <w:tc>
          <w:tcPr>
            <w:tcW w:w="438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w:t>
            </w: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Net revenue increased $15.8 million, or 108.2%, to $30.4 million during the three months ended June 30, 2019 compared to $14.6 million for the three months ended June 30, 2018. The increase was primarily attributable to increased direct sales volume of $16.2 million, or 123.2%, from growth in our existing product portfolio and from new products launched in 2019. We also saw a decrease in wholesale revenue of $0.8 million (predominantly environmental appliances) versus the prior year as we had certain customers that desired wholesale arrangements on selected products in 2018 instead of allowing us to sell the products via a direct method. Wholesale is currently not a strategic focus for us, but we expect from time to time to sell our products via wholesale arrangements as we may determine that is the most advantageous channel for certain product categories we enter or for liquidation purposes. Finally, we saw an increase in our managed SaaS revenue of $0.4 million in the three months ended June 30, 2019 as we began formally offering access to AIMEE to third party brands in 2018.</w:t>
      </w:r>
    </w:p>
    <w:p>
      <w:pPr>
        <w:spacing w:after="0" w:line="192"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Environmental appliances (i.e., dehumidifiers and air conditioners) accounted for approximately $6.1 million in net revenue for the three months ended June 30, 2018 and grew to $19.1 million for the three months ended June 30, 2019. We continued to expand our small home appliances products, which increased $1.2 million in net revenue to $5.1 million for the three months ended June 30, 2019 as compared to the prior year comparable quarter. We started to sell cosmetics, skincare and heath supplements in the second half of 2018 and generated $2.6 million in net revenue from such products for the three months ended June 30, 2019. Net revenue from cookware, kitchen tools and gadgets was down approximately $0.9 million during the three months ended June 30, 2019 from the prior year comparable period as we focused on certain product categories reducing the SKUs managed and sold in this category. We recorded fewer sales of portable projectors, speakers and headphones, hair appliances and accessories and all other categories as we focused on other aspects of our overall product portfolio, reducing net revenue from $1.8 million in the three months ended June 30, 2018 to $1.2 million in the three months ended June 30, 2019, a decrease of $0.6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10,808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72.2%</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3,780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11,760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r>
    </w:tbl>
    <w:p>
      <w:pPr>
        <w:spacing w:after="0" w:line="20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Cost of goods sold increased $7.8 million, or 72.2%, to $18.6 million during the three months ended June 30, 2019 compared to $10.8 million for the three months ended June 30, 2018. The increase was primarily attributable to increased sales volume offset by a decrease in wholesale revenue.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increased to 38.7% for the three months ended June 30, 2019 compared to 25.9% for the three months ended June 30, 2018. The improvement in gross margin was due to the increase in direct sales, which carry better margins than our wholesale business, improved product unit economics, as compared to the three months ended June 30, 2018 and the increase in our managed SaaS business. Our gross margin may also be impacted by our product mix (i.e., number of products in the sustain or launch phase) in any particular quarter.</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8,163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11,828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44.9%</w:t>
            </w:r>
          </w:p>
        </w:tc>
      </w:tr>
    </w:tbl>
    <w:p>
      <w:pPr>
        <w:spacing w:after="0" w:line="20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Sales and distribution expenses increased by $3.7 million from $8.2 million for the three months ended June 30, 2018 to $11.8 million for the three months ended June 30, 2019. E-commerce platform commissions, online advertising and logistics expenses increased to $10.0 million for the three months ended June 30, 2019 from $6.8 million for the three months ended June 30, 2018. These increases are attributable primarily to the increase in our net revenues. For the three months ended June 30, 2019, our sales and distribution fixed costs remained flat at $1.3 million versus the comparable prior year period. The three months ended June 30, 2019 includes an increase in stock-based compensation expense to $0.5 million from $0.0 million in the comparable prior year period from stock options granted in December 2018 pursuant to the 2018 Equity Plan and grants of restricted stock awards pursuant to the 2019 Equity Plan, which we began to expense as of the closing date of our IPO. We expect our stock-based compensation expense included within sales and distribution expenses to increase to approximately $1.6 million per quarter starting in the third quarter of 2019 from the issuance and vesting of shares of restricted common stock granted pursuant to the 2019 Equity Plan as the current period only contains expense since the closing date of our IPO.</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a percentage of net revenue, sales and distribution expenses decreased to 38.9% for the three months ended June 30, 2019 from 56.0% for the three months ended June 30, 2018. E-commerce platform commissions, online advertising and logistics expenses included within sales and distribution expenses, as a percentage of net revenue, were 33.0% for the three months ended June 30, 2019 as compared to 46.8% for three months ended June 30, 2018. These variable costs decreased as we started, late in the second quarter of 2018, to fulfill product sales ourselves leveraging AIMEE along with our own third party logistic partners instead of fulfilling through e-commerce platform service providers, which allowed us to reduce our logistics spend and improve our product unit economics, especially on oversized goods. We have also been expanding our automation of online advertising spend as part of our product management, including launches, which reduces our marketing spend per product. We expect to see future period costs savings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897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107.4%</w:t>
            </w:r>
          </w:p>
        </w:tc>
      </w:tr>
    </w:tbl>
    <w:p>
      <w:pPr>
        <w:spacing w:after="0" w:line="20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Research and development expenses increased by $1.0 million from $0.9 million for the three months ended June 30, 2018 to $1.9 million for the three months ended June 30, 2019. The increase in research and development expenses was attributable to an increase in our developers and related development support costs of $0.6 million as we continue to increase the number of developers used as part of our development work of AIMEE and stock-based compensation of $0.4 million. The increase in stock compensation expense relates to stock options granted in December 2018 pursuant to the 2018 Equity Plan and grants of restricted stock awards pursuant to the 2019 Equity Plan to technology development employees, which we began to expense as of the closing date of our IPO. We expect our stock-based compensation expense included within research and development expenses to increase to approximately $1.1 million per quarter starting in the third quarter of 2019 from the issuance and vesting of shares of restricted common stock granted to technology development employees pursuant to the 2019 Equity Plan as the current period only contains expense since the closing date of our IPO. We expect our total research and development expenses to increase over time.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3"/>
                <w:szCs w:val="13"/>
                <w:color w:val="auto"/>
              </w:rPr>
            </w:pPr>
          </w:p>
        </w:tc>
      </w:tr>
      <w:tr>
        <w:trPr>
          <w:trHeight w:val="155"/>
        </w:trPr>
        <w:tc>
          <w:tcPr>
            <w:tcW w:w="4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230"/>
        </w:trPr>
        <w:tc>
          <w:tcPr>
            <w:tcW w:w="4420" w:type="dxa"/>
            <w:vAlign w:val="bottom"/>
          </w:tcPr>
          <w:p>
            <w:pPr>
              <w:ind w:left="580"/>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3,130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41.0%</w:t>
            </w:r>
          </w:p>
        </w:tc>
      </w:tr>
      <w:tr>
        <w:trPr>
          <w:trHeight w:val="648"/>
        </w:trPr>
        <w:tc>
          <w:tcPr>
            <w:tcW w:w="4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General and administrative expenses increased by $1.3 million from $3.1 million for the three months ended June 30, 2018 to $4.4 million for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2019. The increase in general and administrative expenses was primarily attributable to an increase in stock-based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from the issuance of stock options to employees in the fourth quarter of 2018. We expect our stock-based compensation expense included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to increase to approximately $4.6 million per quarter starting in the third quarter of 2019 from the issuance and vesting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restricted common stock granted pursuant to the 2019 Equity Plan as the current period only contains expense since the closing date of our IPO.</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506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153.2%</w:t>
            </w:r>
          </w:p>
        </w:tc>
      </w:tr>
    </w:tbl>
    <w:p>
      <w:pPr>
        <w:spacing w:after="0" w:line="20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Interest expense, net increased by $0.8 million from $0.5 million for the three months ended June 30, 2018 to $1.3 million for the three months ended June 30, 2019. The increase was primarily related to increased interest expense under the three-year $25.0 million revolving credit facility with MidCap (the “Credit Facility”) and the five-year $15.0 million term loan with Horizon (the “Term Loan”), which we entered into on December 31, 2018. We expect interest expense to continue to increase as we continue to utilize the Credit Facility to purchase additional inventories as part of our growth strategy.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2018 and 2019</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summarizes our results of operations for the six months ended June 30, 2018 and 2019, together with the changes in those items in dollars: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6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28,904</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Loss before income taxes</w:t>
            </w:r>
          </w:p>
        </w:tc>
        <w:tc>
          <w:tcPr>
            <w:tcW w:w="1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w w:val="93"/>
              </w:rPr>
              <w:t>Six Months Ended June 30,</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61.8%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38.2%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43.8%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4"/>
              </w:rPr>
              <w:t>Six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600"/>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5"/>
          </w:tcPr>
          <w:p>
            <w:pPr>
              <w:jc w:val="right"/>
              <w:ind w:right="340"/>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w:t>
            </w:r>
          </w:p>
        </w:tc>
        <w:tc>
          <w:tcPr>
            <w:tcW w:w="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46,371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SaaS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580"/>
              <w:spacing w:after="0"/>
              <w:rPr>
                <w:sz w:val="20"/>
                <w:szCs w:val="20"/>
                <w:color w:val="auto"/>
              </w:rPr>
            </w:pPr>
            <w:r>
              <w:rPr>
                <w:rFonts w:ascii="Arial" w:cs="Arial" w:eastAsia="Arial" w:hAnsi="Arial"/>
                <w:sz w:val="18"/>
                <w:szCs w:val="18"/>
                <w:color w:val="auto"/>
              </w:rPr>
              <w:t>Net revenue</w:t>
            </w: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3"/>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28,904</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48,213</w:t>
            </w:r>
          </w:p>
        </w:tc>
        <w:tc>
          <w:tcPr>
            <w:tcW w:w="2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60" w:type="dxa"/>
            <w:vAlign w:val="bottom"/>
            <w:gridSpan w:val="5"/>
          </w:tcPr>
          <w:p>
            <w:pPr>
              <w:spacing w:after="0"/>
              <w:rPr>
                <w:sz w:val="20"/>
                <w:szCs w:val="20"/>
                <w:color w:val="auto"/>
              </w:rPr>
            </w:pPr>
            <w:r>
              <w:rPr>
                <w:rFonts w:ascii="Arial" w:cs="Arial" w:eastAsia="Arial" w:hAnsi="Arial"/>
                <w:sz w:val="18"/>
                <w:szCs w:val="18"/>
                <w:color w:val="auto"/>
                <w:w w:val="91"/>
              </w:rPr>
              <w:t>The following table sets forth our net revenue disaggregated by product categories: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9"/>
          </w:tcPr>
          <w:p>
            <w:pPr>
              <w:jc w:val="right"/>
              <w:ind w:right="86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11,272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25,674</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Small home appliances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9,326</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5,777</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6,509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3,959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2,056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1,858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8"/>
              </w:rPr>
              <w:t>Portable projectors, speakers and headphones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1,383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559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gridSpan w:val="2"/>
          </w:tcPr>
          <w:p>
            <w:pPr>
              <w:ind w:left="1140"/>
              <w:spacing w:after="0"/>
              <w:rPr>
                <w:sz w:val="20"/>
                <w:szCs w:val="20"/>
                <w:color w:val="auto"/>
              </w:rPr>
            </w:pPr>
            <w:r>
              <w:rPr>
                <w:rFonts w:ascii="Arial" w:cs="Arial" w:eastAsia="Arial" w:hAnsi="Arial"/>
                <w:sz w:val="18"/>
                <w:szCs w:val="18"/>
                <w:color w:val="auto"/>
              </w:rPr>
              <w:t>Total net product revenue</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28,836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47,283</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930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28,904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48,213</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revenue increased $19.3 million, or 66.8% to $48.2 million during the six months ended June 30, 2019 compared to $28.9 million for the six months ended June 30, 2018. The increase was primarily attributable to increased direct sales volume of $21.1 million, or 83.7%, from growth in our existing product portfolio and from new products launched in 2019. We also saw a decrease in wholesale revenue of $2.7 million (predominantly environmental appliances) versus the prior year as we had certain customers that desired wholesale arrangements on selected products in 2018 instead of allowing us to sell the products via a direct method. Wholesale is currently not a strategic focus for us, but we expect from time to time to sell our products via wholesale arrangements as we may determine that is the most advantageous channel for certain product categories we enter or for liquidation purposes. Finally, we saw managed SaaS revenue of $0.9 million in the six months ended June 30, 2019 as we began formally offering access to AIMEE to third party brands in 2018.</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right="60"/>
        <w:spacing w:after="0" w:line="270" w:lineRule="auto"/>
        <w:rPr>
          <w:sz w:val="20"/>
          <w:szCs w:val="20"/>
          <w:color w:val="auto"/>
        </w:rPr>
      </w:pPr>
      <w:r>
        <w:rPr>
          <w:rFonts w:ascii="Arial" w:cs="Arial" w:eastAsia="Arial" w:hAnsi="Arial"/>
          <w:sz w:val="17"/>
          <w:szCs w:val="17"/>
          <w:color w:val="auto"/>
        </w:rPr>
        <w:t>Environmental appliances (i.e., dehumidifiers and air conditioners) accounted for approximately $11.3 million in net revenue for the six months ended June 30, 2018, and grew to $25.7 million for the six months ended June 30, 2019. We continued to expand our small home appliances products, which increased $2.2 million in net revenue to $9.3 million for the six months ended June 30, 2019 as compared to the prior year comparable period. We started to sell cosmetics, skincare and heath supplements in the second half of 2018 and generated $5.8 million in net revenue from such products for the six months ended June 30, 2019. Net revenue from cookware, kitchen tools and gadgets was down approximately $2.6 million during the six months ended June 30, 2019 from the prior year comparable period as we focused on certain product categories reducing the number of SKUs managed and sold in this category. We recorded fewer sales of portable projectors, speakers and headphones, hair appliances and accessories and all other categories as we focused on other aspects of our overall product portfolio, reducing net revenue from $3.9 million in the six months ended June 30, 2018 to $2.5 million in the six months ended June 30, 2019, a decrease of $1.4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21,658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29,783</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7,246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18,430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11,184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154.3%</w:t>
            </w:r>
          </w:p>
        </w:tc>
      </w:tr>
    </w:tbl>
    <w:p>
      <w:pPr>
        <w:spacing w:after="0" w:line="201"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Cost of goods sold increased $8.1 million, or 37.5%, to $29.8 million during the six months ended June 30, 2019 compared to $21.7 million for the six months ended June 30, 2018. The increase was primarily attributable to increased sales volume offset by a decrease in wholesale revenue.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margin increased to 38.2% for the six months ended June 30, 2019 compared to 25.1% for the six months ended June 30, 2018. The improvement in gross margin was due to the increase in direct sales, which carry better margins than our wholesale business, improved product unit economics, as compared to the six months ended June 30, 2018 and the increase in our managed SaaS business. Our gross margin may also be impacted by our product mix (i.e., number of products in the sustain or launch phase) in any particular quarter.</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16,956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21,101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Sales and distribution expenses increased by $4.1 million from $17.0 million for the six months ended June 30, 2018 to $21.1 million for the six months ended June 30, 2019. E-commerce platform commissions, online advertising and logistics expenses increased to $17.5 million for the three months ended June 30, 2019 from $14.3 million for the three months ended June 30, 2018. This increase is primarily attributable to the increase in our net revenues. For the six months ended June 30, 2019, our sales and distribution fixed costs also increased slightly by $0.1 million to $2.7 million versus the comparable prior year period from the expansion of our sales and distribution headcount and other related expenses in the second half of 2018. The six months ended June 30, 2019 includes an increase in stock-based compensation expense to $0.9 million from $0.0 million in the comparable prior year period from stock options granted in December 2018 pursuant to the 2018 Equity Plan and grants of restricted stock awards pursuant to the 2019 Equity Plan, which we began to expense as of the closing date of our IPO. We expect our stock-based compensation expense included within sales and distribution expenses to increase to approximately $1.6 million per quarter starting in the third quarter of 2019 from the issuance and vesting of restricted common stock granted pursuant to the 2019 Equity Plan as the current period only contains expense since the closing date of our IPO.</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percentage of net revenue, sales and distribution expenses decreased to 43.8% in the six months ended June 30, 2019 from 58.7% in the six months ended June 30, 2018. E-commerce platform commissions, online advertising and logistics expenses included within sales and distribution expenses, as a percentage of net revenue, were 36.3% for the six months ended June 30, 2019 as compared to 49.5% for six months ended June 30, 2018. These variable costs decreased as we started, late in the second quarter of 2018, to fulfill product sales ourselves leveraging AIMEE along with our own third party logistic partners instead of fulfilling through e-commerce platform service providers, which allowed us to reduce our logistics spend and improve our product unit economics, especially on oversized goods. We have also been expanding our automation of online advertising spend as part of our product management, including launches, which reduces our marketing spend per product. We expect to see future period costs savings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49.7%</w:t>
            </w: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and development expenses increased by $1.0 million from $2.0 million for the six months ended June 30, 2018 to $3.0 million for the six months ended June 30, 2019. The increase in research and development expenses was attributable to an increase in our developers and related development support costs of $0.5 million as we continue to increase the number of developers used as part of our development work of AIMEE and stock-based compensation of $0.5 million. The increase in stock compensation expense relates to stock options granted in December 2018 pursuant to the 2018 Equity Plan and grants of restricted stock awards pursuant to the 2019 Equity Plan to technology development employees, which we began to expense as of the closing date of our IPO. We expect our stock-based compensation expense included within research and development expenses to increase to approximately $1.1 million per quarter starting in the third quarter of 2019 from the issuance and vesting of restricted common stock granted pursuant to the 2019 Equity Plan to technology development employees as the current period only contains expense since the closing date of our IPO. We expect our total research and development expenses to increase over time.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5,336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7,780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45.8%</w:t>
            </w: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General and administrative expenses increased by $2.4 million from $5.3 million for the six months ended June 30, 2018 to $7.8 million for the six months ended June 30, 2019. The increase in general and administrative expenses was primarily attributable to an increase in stock-based compensation of $2.3 million from the issuance of stock options to employees in the fourth quarter of 2018. We expect our stock-based compensation expense included within general and administrative expenses to increase to approximately $4.6 million per quarter starting in the third quarter of 2019 from the issuance and vesting of restricted common stock granted pursuant to the 2019 Equity Plan as the current period only contains expense since the closing date of our IPO.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1,063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134.6%</w:t>
            </w:r>
          </w:p>
        </w:tc>
      </w:tr>
    </w:tbl>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Interest expense, net increased by $1.4 million from $1.1 million for the six months ended June 30, 2018 to $2.5 million for the six months ended June 30, 2019. The increase was primarily related to increased interest expense under our Credit Facility and our Term Loan, which we entered into on December 31,</w:t>
      </w:r>
    </w:p>
    <w:p>
      <w:pPr>
        <w:ind w:right="160"/>
        <w:spacing w:after="0" w:line="261" w:lineRule="auto"/>
        <w:rPr>
          <w:sz w:val="20"/>
          <w:szCs w:val="20"/>
          <w:color w:val="auto"/>
        </w:rPr>
      </w:pPr>
      <w:r>
        <w:rPr>
          <w:rFonts w:ascii="Arial" w:cs="Arial" w:eastAsia="Arial" w:hAnsi="Arial"/>
          <w:sz w:val="18"/>
          <w:szCs w:val="18"/>
          <w:color w:val="auto"/>
        </w:rPr>
        <w:t>2018. We expect interest expense to continue to increase as we continue to utilize our Credit Facility to purchase additional inventories as part of our growth strategy.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Six Months Ended June 30, 2018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2018 and 2019, respectively: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(17,768)</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on cash</w:t>
            </w: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change in cash and restricted cash for period</w:t>
            </w:r>
          </w:p>
        </w:tc>
        <w:tc>
          <w:tcPr>
            <w:tcW w:w="1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19,255</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vMerge w:val="restart"/>
          </w:tcPr>
          <w:p>
            <w:pPr>
              <w:jc w:val="right"/>
              <w:ind w:right="127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operating activities was $17.8 million for the six months ended June 30, 2018 compared to $16.3 million of net cash used in operating activities for the six months ended June 30, 2019. The decrease in cash used in operating activities was driven by a reduction of net loss after reconciling for non-cash items used in operating activities from $17.3 million used in the six months ended June 30, 2018 to $10.9 million used for the six months ended June 30, 2019. Cash used in operating activities was partially increased by an increase in cash used for working capital from $0.4 million used to $5.4 million used for the six months ended June 30, 2019, primarily related to the increase of accounts receivable during the period from increased sales late in the second quarter and increased prepaids in the period.</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provided by financing activities was $21.4 million for the six months ended June 30, 2018, compared to $35.6 million of net cash provided by financing activities for the six months ended June 30, 2019. For the six months ended June 30, 2018, cash provided by financing activities of $21.4 million was primarily from proceeds of the sale of shares of Series C preferred stock of $21.0 million, net borrowings under the three-year, $15.0 million revolving credit facility (the “Prior Credit Facility”) with MidCap of $1.2 million, offset by $0.7 million in payments related to the three-year, $7.0 million term loan with MidCap (the “Prior Term Loan”) and $0.2 million in payments related to debt issuance costs. For the six months ended June 30, 2019, cash provided by financing activities of $35.6 million was primarily from the net proceeds of our IPO of $30.9 million, net borrowings from the Credit Facility with MidCap of $3.9 million, proceeds from insurance financing, net of $2.3 million, offset by $1.5 million in payments related to debt issuance costs and deferred equity fundraising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Initial Public Offering</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an early-stage growth company. As a result, we are investing in launching new products, advancing our software and expanding our sales and distribution infrastructure to accelerate revenue growth and scale operations to support such growth. To fund this investment, we have incurred losses with the expectation that we will generate profitable revenue streams in the future. While management and our board of directors believes that we will eventually reach a scale where the growth of our product revenues will offset the continued investments required in launching new products, completing the development of our software, and our sales and distribution operations, we believe that the size and nascent stage of our target market justify continuing to invest in growth at the expense of short-term profitability. In pursuit of the foregoing growth strategy, we have incurred operating losses of $22.6 million and $29.4 million for the years ended December 31, 2017 and 2018, respectively, primarily due to the impact from our continued investment in launching new products, advancing our artificial intelligence software and building out our sales and distribution infrastructure.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 addition, at December 31, 2017 and 2018, we had an accumulated deficit of $39.2 million and $71.0 million, respectively, cash on hand amounted to</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$5.3 million and $20.0 million, respectively, total outstanding borrowings from lenders amounted to $10.3 million and $27.5 million, respectively, and total available capacity on borrowings amounted to $5.6 million and $1.4 million, respectively. Moreover, we have not had a sufficient track record of improvement of our operating cash outflows. As such, in the event that we were unsuccessful in our ability to continue to reduce our cash outflows or obtain additional financing if such reduction in cash outflows was not achieved, we would have been unable to meet our obligations as they became due within one year from the date the consolidated financial statements were issued. These negative financial conditions raised substantial doubt about our ability to continue as a going concern.</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plan to continue pursuing our growth strategy. In the past, we have successfully funded our losses to-date through equity financings, beginning in July 2014 and continuing through our IPO, which was completed in June 2019 (see below). As of December 31, 2018, we have raised over $72.6 million in equity financing to fund our operations. Further, in October 2017, we improved our working capital flexibility by securing $30.0 million through the Prior Credit Facility with MidCap and $7.0 million through the Prior Term Loan with MidCap and in November 2018, we exited the Prior Credit Facility and entered into the Credit Facility with MidCap, which can be increased, subject to certain conditions, to $50.0 million. Furthermore, on December 31, 2018, we entered into the Term Loan, obtaining a five-year $15.0 million term loan and repaying the outstanding amount of MidCap’s term loan of approximately $4.9 million. While there was no assurance that future equity investments or issuance of debt will occur, our management believed our success in funding since inception will continue in the foreseeable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line="272" w:lineRule="auto"/>
        <w:rPr>
          <w:sz w:val="20"/>
          <w:szCs w:val="20"/>
          <w:color w:val="auto"/>
        </w:rPr>
      </w:pPr>
      <w:r>
        <w:rPr>
          <w:rFonts w:ascii="Arial" w:cs="Arial" w:eastAsia="Arial" w:hAnsi="Arial"/>
          <w:sz w:val="17"/>
          <w:szCs w:val="17"/>
          <w:color w:val="auto"/>
        </w:rPr>
        <w:t>During the December 31, 2018 audit of our consolidated financial statements, our financial forecast for the next 12 months included revenue growth, margin improvement by achieving lower cost of goods sold by continuing to negotiate preferential terms and costs with certain key manufacturers, a reduction of certain fixed costs, an improvement in inventory management and reduction in operating cash deficit. In addition, management anticipated that we would not breach our financial covenants associated with our Credit Facility for the next twelve months. However, there was no assurance that management’s forecast will be attained to maintain our liquidity to fund operations and/or maintain compliance with our covenants without future equity investments, such as an initial public offering, or issuance of debt from outside sources. In the event of a breach of our financial covenants under the Credit Facility, outstanding borrowings would become due on demand absent a waiver from the lender.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2019, we incurred operating losses of $6.3 million and $13.5 million, respectively. For the three and six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2018, we incurred operating losses of $8.4 million and $17.1 million, respectively. As of June 30, 2019,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$87.0 million, cash on hand of $39.5 million and total outstanding borrowings from lenders of $31.9 million and total available capacity of $1.1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June 30, 2019, we have raised over $102.3 million in equity financing to fund our operations, since inception, including the net proceeds from the IPO.</w:t>
      </w:r>
    </w:p>
    <w:p>
      <w:pPr>
        <w:spacing w:after="0" w:line="2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June 14, 2019, we completed our IPO, selling 3,600,000 shares of our common stock at a price of $10.00 per share. Net proceeds to us from the offering were approximately $29.6 million after deducting legal, underwriting and other offering expenses. We believe that, based on our current sales and expense level projections, the credit facility with MidCap, and the proceeds from the IPO, we will satisfy its estimated liquidity needs for the twelve months from the condensed consolidated financial statements issuance date. As such, the substantial doubt raised by our historical operating results has been mitigated.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Acquisitions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first quarter of 2019, we entered into non-binding term sheets to acquire a home décor company and a personal health care company. As of June 30, 2019, we have terminated both potential acquisitions as our due diligence determined that both these acquisitions no longer met our financial and other performance criteria.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July 21, 2019, we entered into a non-binding term sheet to acquire the assets of a personal health company that had an estimated net revenue of</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$1.8 million and operating income of $0.4 million in 2018. The business operates primarily on the Amazon US marketplace. We have proposed a purchase price for the acquisition of $1.3 million in cash and a promissory note issued by us in the principal amount of $0.2 million, which would accrue interest at a rate of 8.0% per year and mature nine months from the date of closing of the acquisition. Completion of the acquisition is subject to the execution of a definitive purchase agreement, satisfactory completion of various due diligence matters and certain required approvals. We provide no assurance that we will complete the acquisition, that the unaudited net revenue and operating income of the acquired business in future periods will be consistent with the historical results of the acquired business or that we will be able to realize any synergies from the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disclosed in the Final Prospectus. For additional information, please refer to Note 2 of our condensed consolidated financial statements in this Quarterly Report on Form 10-Q.</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we have outstanding debt under the Amended and Restated Credit Agreement, dated as of November 23, 2018, with MidCap as Agent and the lenders party thereto, as amended (the “MidCap Credit Agreement”) that bears interest. As of June 30, 2019, our outstanding indebtedness under the Credit Facility was $20.4 million, which bears interest at a rate of LIBOR plus 5.75%. We also have outstanding debt under the Term Loan. As of June 30, 2019, our outstanding indebtedness under the Term Loan was $15.0 million, which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We do not believe that an immediate 10% increase in interest rates would have a material effect on interest expense for the Credit Facility or the Term Loan, and therefore we do not expect our operating results or cash flows to be materially affected to any degree by a sudden change in market interest.</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each of the six months ended June 30, 2018 and 2019.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each of the six months ended June 30, 2018 and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on the evaluation of our disclosure controls and procedures as of June 30, 2019, our Chief Executive Officer and Chief Financial Officer concluded that, as a result of a material weakness in our internal control over financial reporting as previously disclosed in the Final Prospectus, our disclosure controls and procedures were not effective as of June 30, 2019.</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audits of our 2017 and 2018 consolidated financial statements, we and our independent registered public accounting firm identified control deficiencies in the design and operation of our internal control over financial reporting that constituted in material weaknesses.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material weakness identified in our internal control over financial reporting in 2017 primarily related to our accounting and proprietary systems used in our financial reporting process not having the proper level of controls. As a result, journal entries were prepared and posted to our accounting system without evidence of an independent review. In addition, our accounting and proprietary systems lacked controls over access and program change management that are needed to ensure access to financial data is adequately restricted to appropriate personnel.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ind w:right="40"/>
        <w:spacing w:after="0" w:line="255" w:lineRule="auto"/>
        <w:rPr>
          <w:sz w:val="20"/>
          <w:szCs w:val="20"/>
          <w:color w:val="auto"/>
        </w:rPr>
      </w:pPr>
      <w:r>
        <w:rPr>
          <w:rFonts w:ascii="Arial" w:cs="Arial" w:eastAsia="Arial" w:hAnsi="Arial"/>
          <w:sz w:val="18"/>
          <w:szCs w:val="18"/>
          <w:color w:val="auto"/>
        </w:rPr>
        <w:t>During 2018, we took certain actions towards remediating the material weakness, which included implementing an accounting system that has the ability to better manage segregation of duties and controls over the preparation and review of journal entries and adding finance personnel and information technology personnel. As we are still in the process of establishing the appropriate controls and finalizing the implementation of our accounting systems, in connection with the audit of our 2018 consolidated financial statements, we and our independent registered public accounting firm concluded that there remains a material weakness related to the limited size of the finance department, a lack of proper segregation around preparation and review of certain account reconciliations and certain journal entries. Finally, there is also a material weakness related to our controls which are not designed effectively over the review of complex accounting matters.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 to Remediate the Material Weakness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these material weaknesses, we have initiated and will continue to implement remediation measures including but not limited to, finalization of our accounting systems implementations and review processes around our journal entries and account reconciliations. We are still in the process of completing the remediation of the previously identified material weakness.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initiatives we are implementing to remediate the material weakness are subject to continued management review supported by confirmation and testing, as well as audit committee oversight. We will continue to implement measures to remedy our internal control deficiencies in order to meet the deadline imposed by Section 404 of the Sarbanes-Oxley Act of 2002, as amended. However, we cannot be certain that the measures we have taken or may take in the future will ensure that we will establish and maintain adequate controls over our financial processes and reporting in the future.</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Notwithstanding the material weaknesses,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fail to fully remediate these material weaknesses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 Our independent registered public accounting firm has not assessed the effectiveness of our internal control over financial reporting and, under the Jumpstart Our Business Startups Act of 2012,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the changes intended to remediate these material weaknesses noted above, there were no changes in our internal control over financial reporting during the quarter ended June 30, 2019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and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231F20"/>
        </w:rPr>
        <w:t xml:space="preserve">Investing in our common stock involves a high degree of risk. You should consider and read carefully all of the risks and uncertainties described below, as well as other information included in this </w:t>
      </w:r>
      <w:r>
        <w:rPr>
          <w:rFonts w:ascii="Arial" w:cs="Arial" w:eastAsia="Arial" w:hAnsi="Arial"/>
          <w:sz w:val="17"/>
          <w:szCs w:val="17"/>
          <w:i w:val="1"/>
          <w:iCs w:val="1"/>
          <w:color w:val="000000"/>
        </w:rPr>
        <w:t>Quarterly Report on Form 10-Q, and in our other public filings</w:t>
      </w:r>
      <w:r>
        <w:rPr>
          <w:rFonts w:ascii="Arial" w:cs="Arial" w:eastAsia="Arial" w:hAnsi="Arial"/>
          <w:sz w:val="17"/>
          <w:szCs w:val="17"/>
          <w:i w:val="1"/>
          <w:iCs w:val="1"/>
          <w:color w:val="231F20"/>
        </w:rPr>
        <w:t xml:space="preserv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w:t>
      </w:r>
      <w:r>
        <w:rPr>
          <w:rFonts w:ascii="Arial" w:cs="Arial" w:eastAsia="Arial" w:hAnsi="Arial"/>
          <w:sz w:val="17"/>
          <w:szCs w:val="17"/>
          <w:i w:val="1"/>
          <w:iCs w:val="1"/>
          <w:color w:val="000000"/>
        </w:rPr>
        <w:t>Quarterly Report on Form 10-Q</w:t>
      </w:r>
      <w:r>
        <w:rPr>
          <w:rFonts w:ascii="Arial" w:cs="Arial" w:eastAsia="Arial" w:hAnsi="Arial"/>
          <w:sz w:val="17"/>
          <w:szCs w:val="17"/>
          <w:i w:val="1"/>
          <w:iCs w:val="1"/>
          <w:color w:val="231F20"/>
        </w:rPr>
        <w:t xml:space="preserve"> also contains forward-looking statements and estimates that involve risks and uncertainties. Our actual results could differ materially from those anticipated in the forward-looking statements as a result of specific factors, including the risks and uncertainties described below. </w:t>
      </w:r>
      <w:r>
        <w:rPr>
          <w:rFonts w:ascii="Arial" w:cs="Arial" w:eastAsia="Arial" w:hAnsi="Arial"/>
          <w:sz w:val="17"/>
          <w:szCs w:val="17"/>
          <w:i w:val="1"/>
          <w:iCs w:val="1"/>
          <w:color w:val="000000"/>
        </w:rPr>
        <w:t>The risks relating to our business set forth in the Final</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Prospectus, are set forth below and are unchanged substantively as of June 30, 2019, except for those risks designated by an asterisk (*) .</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Businesses, Strategies, Technology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and our independent registered public accounting firm have previously expressed substantial doubt about our ability to continue as a going concern.</w:t>
      </w:r>
    </w:p>
    <w:p>
      <w:pPr>
        <w:spacing w:after="0" w:line="1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growth strategy has resulted in operating losses and negative cash flows from operations, and our independent registered public accounting firm has included an explanatory paragraph in its report on our financial statements as of and for the years ended December 31, 2017 and 2018, that raises substantial doubt about our ability to continue as a going concern. We required significant additional funding to fund our growth strategy. If we were unable to raise additional funds we may have delayed, limited, reduced or terminated our product development or future commercialization efforts, our international expansion, our expansion into different e-commerce marketplaces and further our development of AIMEE, and/or scale back or eliminated some or all of our other operations. Any equity or debt financing that we obtain may have been dilutive to our current stockholders and debt financing, if available, may have involved restrictive covenants or unfavorable terms. If we were unable to continue as a going concern, we may have been forced to liquidate our assets and the values we may have received for our assets in liquidation or dissolution could be significantly lower than the values reflected in our financial statements.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14, 2019, we completed our IPO, selling 3,600,000 shares of our common stock at a price of $10.00 per share. Net proceeds to us from the offering were approximately $29.6 million after deducting legal, underwriting and other offering expenses. We believe that, based on our current sales and expense level projections, the credit facility with MidCap (see Note 6), and the proceeds from the IPO, we will satisfy its estimated liquidity needs for the twelve months from the condensed consolidated financial statements issuance date. As such, the substantial doubt raised by our historical operating results has been mitigated.</w:t>
      </w:r>
    </w:p>
    <w:p>
      <w:pPr>
        <w:spacing w:after="0" w:line="29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support this growth and respond to business challenges, including the need to develop our services, expand our inventory, enhance our operating infrastructure, expand the markets in which we operate and potentially acquire complementary businesses and technologies.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right="400"/>
        <w:spacing w:after="0" w:line="308" w:lineRule="auto"/>
        <w:rPr>
          <w:sz w:val="20"/>
          <w:szCs w:val="20"/>
          <w:color w:val="auto"/>
        </w:rPr>
      </w:pPr>
      <w:r>
        <w:rPr>
          <w:rFonts w:ascii="Arial" w:cs="Arial" w:eastAsia="Arial" w:hAnsi="Arial"/>
          <w:sz w:val="17"/>
          <w:szCs w:val="17"/>
          <w:b w:val="1"/>
          <w:bCs w:val="1"/>
          <w:i w:val="1"/>
          <w:iCs w:val="1"/>
          <w:color w:val="auto"/>
        </w:rPr>
        <w:t>We have previously identified material weaknesses in our internal control over financial reporting. Such material weaknesses may cause us to fail to timely and accurately report our financial results or result in a material misstatement of our financial statements.</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audits of our 2017 and 2018 consolidated financial statements, we and our independent registered public accounting firm identified control deficiencies in the design and operation of our internal control over financial reporting that constituted in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material weakness identified in our internal control over financial reporting in 2017 primarily related to our accounting and proprietary systems used in our financial reporting process not having the proper level of controls. As a result, journal entries were prepared and posted to our accounting system without evidence of an independent review. In addition, our accounting and proprietary systems lacked controls over access, and program change management that are needed to ensure access to financial data is adequately restricted to appropriate personnel. In addition, there is a material weakness related to our controls that are not designed effectively to manage the review of complex accounting matters.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2018, we took certain actions towards remediating these material weaknesses, which included implementing an accounting system that has the ability to better manage segregation of duties and controls over the preparation and review of journal entries and adding finance personnel and information technology personnel. As we are still in the process of establishing the appropriate controls and finalizing the implementation of our accounting systems, in connection with the audit of our 2018 consolidated financial statements, we and our independent registered public accounting firm concluded that there remains material weaknesses related to the limited size of the finance department, a lack of proper segregation around preparation and review of certain account reconciliations and certain journal entries. In addition, there is also a material weakness related to our controls which are not designed effectively over the review of complex accounting matters.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cannot assure you that the steps we are taking will be sufficient to remediate our material weaknesses or prevent future material weaknesses or significant deficiencies from occurring.</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identify future material weaknesses in our internal controls over financial reporting or fail to meet the demands that will be placed upon us as a public company, including the requirements of the Sarbanes-Oxley Act of 2002, as amended (the “Sarbanes 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revenue to be profitable or to generate positive cash flow on a sustained basis, and our revenue growth rate may decline.</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experienced losses after tax of $23.1 million and $31.8 million in the years ended December 31, 2017 and 2018, respectively, and losses after tax of $18.1 million and $16.0 million in the six months ended June 30, 2018 and 2019, respectively. We may continue to experience losses before and after tax in the future, and we cannot assure you that we will achieve profitability and may continue to incur significant losses in future periods. We cannot assure you that we will generate sufficient revenue to offset the cost of maintaining and further developing our platform and maintaining and growing our business.</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Although our net revenue grew from $36.5 million for the year-ended December 31, 2017 to $73.3 million the year-ended December 31, 2018, representing a 101.0% growth rate, and from $28.9 million for the six months ended June 30, 2018 to $48.2 million the six months ended June 30, 2019, representing a</w:t>
      </w:r>
    </w:p>
    <w:p>
      <w:pPr>
        <w:ind w:right="220"/>
        <w:spacing w:after="0" w:line="254" w:lineRule="auto"/>
        <w:rPr>
          <w:sz w:val="20"/>
          <w:szCs w:val="20"/>
          <w:color w:val="auto"/>
        </w:rPr>
      </w:pPr>
      <w:r>
        <w:rPr>
          <w:rFonts w:ascii="Arial" w:cs="Arial" w:eastAsia="Arial" w:hAnsi="Arial"/>
          <w:sz w:val="18"/>
          <w:szCs w:val="18"/>
          <w:color w:val="auto"/>
        </w:rPr>
        <w:t>66.8% growth rate, our revenue growth rate may decline in the future due to a variety of factors, including increased competition and the maturation of our business. We cannot assure you that our net revenue will continue to grow or will not decline. You should not consider our historical net revenue growth or operating expenses as indicative of our future performance. If our revenue growth rate declines or our operating expenses are higher than forecasted, our business, financial performance and financial condition will be adversely affected.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8"/>
          <w:szCs w:val="18"/>
          <w:color w:val="auto"/>
        </w:rPr>
        <w:t>Additionally, we expect our costs to increase in future periods, which could negatively affect our future operating results and ability to achieve and sustain profitability. We expect to continue to expend substantial financial and other resources on the ideation, sourcing and manufacturing of products, our technology infrastructure, research and development, including investments in our research and development team and the development of new features, sales and marketing, international expansion and general administration, including expenses related to being a public company. These investments may not result in increased net revenue or growth in our business. If we cannot successfully earn revenue at a rate that exceeds the costs associated with our business, we will not be able to achieve or sustain profitability or generate positive cash flow on a sustained basis and our revenue growth rate may decline. If we fail to continue to grow our net revenue and overall business, our business, results of operations, financial condition and prospects could be materially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short operating history in an evolving industry and, as a result, our past results may not be indicative of future operating performance.</w:t>
      </w:r>
    </w:p>
    <w:p>
      <w:pPr>
        <w:spacing w:after="0" w:line="14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a short operating history in a rapidly evolving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develop and expand our managed SaaS and consumer product offering and geographic reach;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our operating results will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 and such rapid growth may adversely affect our corporate culture.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 especially as we employ personnel in several geographic locations. We are currently in the process of transitioning certain of our business and financial systems to systems on a scale reflecting the increased size, scope and complexity of our operations, and the process of migrating our legacy systems could disrupt our ability to timely and accurately process information, which could adversely affect our results of operations and cause harm to our reputation. As a result, we may not be able to manage our expansion effectively.</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entrepreneurial and collaborative culture is important to us, and we believe it has been a major contributor to our success. We may have difficulties maintaining our culture or adapting it sufficiently to meet the needs of our future and evolving operations as we continue to grow, in particular as we grow internationally. In addition, our ability to maintain our culture as a public company, with the attendant changes in policies, practices, corporate governance and management requirements may be challenging. Failure to maintain our culture could have a material adverse effect on our business, results of operations, financial condition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280"/>
        <w:spacing w:after="0" w:line="308" w:lineRule="auto"/>
        <w:rPr>
          <w:sz w:val="20"/>
          <w:szCs w:val="20"/>
          <w:color w:val="auto"/>
        </w:rPr>
      </w:pPr>
      <w:r>
        <w:rPr>
          <w:rFonts w:ascii="Arial" w:cs="Arial" w:eastAsia="Arial" w:hAnsi="Arial"/>
          <w:sz w:val="17"/>
          <w:szCs w:val="17"/>
          <w:b w:val="1"/>
          <w:bCs w:val="1"/>
          <w:i w:val="1"/>
          <w:iCs w:val="1"/>
          <w:color w:val="auto"/>
        </w:rPr>
        <w:t>Substantially all of our revenues are from sales of products on Amazon and any limitation or restriction, temporarily or otherwise, to sell on Amazon’s platform could have a material adverse impact to our business, results of operations, financial condition and prospects.</w:t>
      </w:r>
    </w:p>
    <w:p>
      <w:pPr>
        <w:spacing w:after="0" w:line="3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sell substantially all of our products on Amazon and are subject to Amazon’s terms of service and various other Amazon seller policies that apply to third parties selling products on Amazon’s marketplace. Amazon’s terms of service provide, among other things, that it may terminate or suspend its agreement with any seller or any of its services being provided to a seller at any time and for any reason. In addition, if Amazon determines that any seller’s actions or performance, including ours, may result in violations of its terms or policies, or create other risks to Amazon or to third parties, then Amazon may in its sole discretion withhold any payments owed for as long as Amazon determines any related risk to Amazon or to third parties persist. Further, if Amazon determines that any seller’s, including our, accounts have been used to engage in deceptive, fraudulent or illegal activity, or that such accounts have repeatedly violated its policies, then Amazon may in its sole discretion permanently withhold any payments owed. In addition, Amazon in its sole discretion may suspend a seller account and product listings if Amazon determines that a seller has engaged in conduct that violates any of its policies. From time to time, we have experienced suspensions and while we have in general been successful in having such suspensions removed, we can provide no assurance that suspensions will not occur in the future or that we will be able to successfully remove suspensions. While we endeavor to materially comply with the terms of services of the marketplaces on which we operate, we can provide no assurances that these marketplaces will have the same determination with respect to our compliance. In the event of any dispute between Amazon and us, the resolution of such dispute would be subject to binding arbitration and we cannot provide any assurance that we would prevail in such arbitration. Any limitation or restriction on our ability to sell on Amazon’s platform could have a material impact on our business, results of operations, financial condition and prospects.</w:t>
      </w:r>
    </w:p>
    <w:p>
      <w:pPr>
        <w:spacing w:after="0" w:line="1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w:t>
      </w:r>
    </w:p>
    <w:p>
      <w:pPr>
        <w:spacing w:after="0" w:line="29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rely on AIMEE and other information technologies and systems to operate our business and to maintain our competitiveness, and any failure to invest in and adapt to technological developments and industry trends could harm our business.</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depend on the use of our proprietary technology platform named AIMEE and other sophisticated information technologies and systems, including technology and systems used for websites and apps, customer service, logistics and fulfillment, supplier connectivity, communications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and integrity of our systems and infrastructure.</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future success also depends on our ability to adapt AIMEE, our services and infrastructure, including our logistics and fulfillment platform which leverages AIMEE, to meet rapidly evolving e-commerce trends and demands while continuing to improve our software’s performance, features and reliability. The emergence of alternative platforms may require us to continue to invest in new and costly technology. We may not be successful, or we may be less successful than our competitors, in developing technologies that operate effectively across multiple e-commerce platforms, which would negatively impact our business and financial performance. New developments in other areas, such as cloud computing providers, could also make it easier for competitors to enter our markets due to lower up-front technology costs. In addition, we may not be able to maintain our existing systems or replace our current systems or introduce new technologies and systems as quickly or cost effectively as we would like. Failure to invest in and adapt to technological developments and industry trends may have a material adverse effect on our business, results of operations, financial condition and prospects.</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platforms, cause us to invest in the wrong product or disrupt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AIMEE, our proprietary software, to determine market trends and what markets to enter into. Our ability to successfully use AIMEE depends on our ability to analyze and utilize data, including search engine results, provided by unaffiliated third parties, such as Facebook, Google, Amazon, Walmart and eBay. Some of this data is provided to us pursuant to third-party data sharing policies and terms of use, under data sharing agreements by third-party providers or by customer consent. The majority of this data is sourced for free or for de minimis amounts. AIMEE sources the majority of the data through application program interfaces (“APIs”) or through other standard data upload/downloads methods. This source of data allows us, leveraging AIMEE, to determine trends, performance and consumer sentiment on products and searches within e-commerce platforms. This functionality allows us to help determine which products to market, manufacture through contract manufacturers, import and sell on e-commerce marketplaces. The connection to multiple e-commerce platforms through APIs allows us to develop the automation of the purchase of marketing and automate the change of pricing of product listings on those e-commerce platforms.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line="253" w:lineRule="auto"/>
        <w:rPr>
          <w:sz w:val="20"/>
          <w:szCs w:val="20"/>
          <w:color w:val="auto"/>
        </w:rPr>
      </w:pPr>
      <w:r>
        <w:rPr>
          <w:rFonts w:ascii="Arial" w:cs="Arial" w:eastAsia="Arial" w:hAnsi="Arial"/>
          <w:sz w:val="18"/>
          <w:szCs w:val="18"/>
          <w:color w:val="auto"/>
        </w:rPr>
        <w:t>In the future, any of these third parties could change its data sharing policies, including making them more restrictive, charging fees or altering its algorithms that determine the placement, display and accessibility of search results and social media updates, any of which could result in the loss of, or significant impairment to, our ability to collect useful data. These third parties could also interpret our, or our service providers’, data collection policies or practices as being inconsistent with their policies, which could result in the loss of our ability to collect this data. Privacy concerns may cause end users to resist providing the personal data necessary to allow our proprietary software to determine market trends as well as our ability to effectively retain existing customers. Privacy advocacy groups and the technology and other industries are considering various new, additional or different self-regulatory standards that may place additional burdens on us. Any such changes could impair our ability to use data and could adversely impact select functionality of our proprietary software, impairing the ability to use this data to anticipate customer demand and market trends, as well as adversely affecting our business and our ability to generate revenue.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keep up with rapid technological changes, or to further develop AIMEE, our future success may be adversely affected.</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A.I. and machine learning technologies are subject to rapid changes and our technology is yet to be fully automated. Our future success will depend on our ability to respond to rapidly changing technologies, to adapt and further develop AIMEE’s functionality or our services to our evolving industry and to improve the performance and reliability of our systems. Our failure to adapt to such changes could harm our business. In addition, the widespread adoption of new internet, networking or telecommunications technologies or other technological changes could require substantial expenditures to modify or adapt our products, services or infrastructure. If we fail to keep up with rapid technological changes to remain competitive in our rapidly evolving industry, our future success may be adversely affected. We expect to incur significant costs in the development of AIMEE’s functionality, and any failure to achieve our expected performance goals could have an adverse effect on our financial condition and results of operations.</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7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Maintaining and enhancing our product listings is critical in expanding and growing our business. However, a significant portion of our perceived performance to the customer depends on third parties outside of our control, including suppliers and logistics providers such as FedEx, UPS, the U.S. Postal Service and other third-party delivery agents as well as online retailers such as Amazon, eBay and Walmart. Because our agreements with our online retail partners are generally terminable at will, we may be unable to maintain these relationships, and our results of operations could fluctuate significantly from period to period. Because we rely on third parties, like FedEx to deliver our products, we are subject to shipping delays or disruptions caused by inclement weather, natural disasters, labor activism, health epidemics or bioterrorism. In addition, because we rely on national, regional and local transportation companies for the delivery of some of our other products, we are also subject to risks of breakage or other damage during delivery by any of these third parties. If these third parties do not meet our or our customers’ expectations, our brands may suffer irreparable damage. In addition, maintaining and enhancing these brands may require us to make substantial investments, and these investments may not be successful. If we fail to promote and maintain our brands, or if we incur excessive expenses in this effort, our business, operating results and financial condition may be materially adversely affected. We anticipate that, as our market becomes increasingly competitive, maintaining and enhancing our brands may become increasingly difficult and expensive. Maintaining and enhancing our brands will depend largely on our ability to anticipate market trends and customer demand and to provide high quality products to our customers and a reliable, trustworthy and profitable sales channel to our suppliers, which we may not be able to do successfully.</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Customer complaints or negative publicity about our sites, products, delivery times, customer data handling and security practices or customer support, especially on blogs, social media websites and our sites, could rapidly and severely diminish consumer view of our product listings and result in harm to our brands. Customers may also make safety-related claims regarding products sold through our online retail partners, such as Amazon, which may result in an online retail partner removing the product from its marketplace. Such removal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180"/>
        <w:spacing w:after="0" w:line="277" w:lineRule="auto"/>
        <w:rPr>
          <w:sz w:val="20"/>
          <w:szCs w:val="20"/>
          <w:color w:val="auto"/>
        </w:rPr>
      </w:pPr>
      <w:r>
        <w:rPr>
          <w:rFonts w:ascii="Arial" w:cs="Arial" w:eastAsia="Arial" w:hAnsi="Arial"/>
          <w:sz w:val="18"/>
          <w:szCs w:val="18"/>
          <w:b w:val="1"/>
          <w:bCs w:val="1"/>
          <w:i w:val="1"/>
          <w:iCs w:val="1"/>
          <w:color w:val="auto"/>
        </w:rPr>
        <w:t>Our efforts to acquire or retain consumers, and our efforts to sell new products or increase sales of our existing products, may not be successful, which could prevent us from maintaining or increasing our sales.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we do not successfully promote and sustain our new and/or existing product listings and brands through marketing and other tools, we may fail to maintain or increase our sales. Promoting and positioning our brands and product listings will depend largely on the success of our marketing efforts, our ability to attract consumers cost effectively and our ability to consistently provide a high-quality product and maintain consumer satisfaction. In order to grow our business and to acquire and retain consumers, we have incurred and will continue to incur substantial expenses related to advertising and other marketing efforts. We also use promotions to drive sales, which may not be effective and may adversely affect our gross margins. Our investments in marketing may not effectively reach potential consumers, potential consumers may decide not to buy our products or the spending of consumers that purchase from us may not yield the intended return on investment, any of which could negatively affect our financial results. The failure of our marketing activities could also adversely affect our ability to promote our product listings and sell our products and to develop and maintain relationships with our consumers, retailers and brands, which may have a material adverse effect on our business, results of operations, financial condition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acquire new customers or retain existing customers, or fail to do so in a cost-effective manner, we may not be able to achieve profitability.</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success depends on our ability to acquire and retain customers in a cost-effective manner. In order to expand our customer base, we must appeal to and acquire customers who have historically used other channels to purchase the wide variety of products we offer and may prefer alternatives to our offerings, such as those offered by other vendors on Amazon, eBay, Walmart and Jet, traditional brick-and-mortar retailers, and the websites of our competitors or our suppliers’ own websites. We expect competition in e-commerce generally to continue to increase. Competitors have introduced lower cost or differentiated products that are perceived to compete with our products. If we are unable to correctly anticipate market trends and customer demand, our ability to sell our products could be impaired. We have made investments related to customer acquisition and expect to continue to spend significant amounts to acquire additional customers. Our paid advertising efforts consist primarily of online channels, including search engine marketing, display advertising and paid social media. These efforts are expensive and may not result in the cost-effective acquisition of customers. We cannot assure you that the net profit from new customers we acquire will ultimately exceed the cost of acquiring those customers. If we fail to deliver quality products, or if consumers do not perceive the products we offer to be of high value and quality, we may not be able to acquire new customers. If we are unable to acquire new customers who purchase products in numbers sufficient to grow our business, we may not be able to generate the scale necessary to drive beneficial network effects with our suppliers, our net revenue may decrease and our business, financial condition and operating results may be materially adversely affected.</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new customers can originate from word-of-mouth and other non-paid referrals from existing customers. Therefore, we must ensure that our existing customers remain loyal to us in order to continue receiving those referrals. If our efforts to satisfy our existing customers are not successful, we may not be able to acquire new customers in sufficient numbers to continue to grow our business, or we may be required to incur significantly higher marketing expenses in order to acquire new customers. For example, since 2016, Amazon has maintained a policy whereby they will purge all reviews they believe are paid for. While we do not ask customers to leave a positive review or change a review, some of our reviews have been purged by Amazon in accordance with this policy because Amazon believed they were questionable or not authentic. If Amazon continues to purge reviews or if we are unable to maintain our positive reviews, it may adversely affect our ability to acquire new customers. In addition, we believe that Amazon has placed limitations on the daily volume of reviews that may be provided for any specific product listing. This limitation or others relating to customer engagement with our product listings could impact the success of our product listings, which could adversely impact our financial performance.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High-quality education, training and customer support are important for the successful retention of existing customers. Providing this education, training and support requires that our support personnel have specific knowledge and expertise of our products and markets, making it more difficult for us to hire qualified personnel and to scale up our support operations. The importance of high-quality customer support will increase as we expand our business and pursue new customers. If we do not provide effective and timely ongoing support, our ability to retain existing customers may suffer, and our reputation with existing or potential customers may be harmed, which would have a material adverse effect on our business, results of operations, financial condition and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*Significant merchandise returns could harm our business.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allow our customers to return products, subject to our return policy. If merchandise returns are significant,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which can increase return rates and harm our brand. Our refund liability for sales returns was $0.2 million, $0.3 million, and $0.5 million as of December 31, 2017, December 31, 2018, and June 30, 2019, respectively, which is included in accrued liabilities and represents the expected value of refunds that may be due to our customers. If we experience significant product returns, we would incur significant expenses and our results of operation and financial condition would be adversely affected.</w:t>
      </w:r>
    </w:p>
    <w:p>
      <w:pPr>
        <w:spacing w:after="0" w:line="27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on third party online marketplaces to sell and market our products, particularly Amazon, and these providers may change their Terms of Services, search engine algorithms or pricing in ways that could negatively affect our business, results of operations, financial condition and prospects.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market and sell our products on various online retail channels, including Amazon, eBay and Walmart. These online retail channels provide us with direct access to potential customers on their websites and applications. This direct access enables us to push real-time or nearly real-time updates to product listings, gauge customer interest and rapidly move products to prevent obsolescence caused by excess inventory. In order to maintain relationships with the online retail channels, we may need to modify our products or marketing strategies in a way that may be adverse to our business and financial results. Furthermore, if we were to lose access to these online retail channels, either in whole or in part, our ability to distribute and market our products would be adversely impacted.</w:t>
      </w:r>
    </w:p>
    <w:p>
      <w:pPr>
        <w:spacing w:after="0" w:line="19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order to grow our business, we anticipate that we will need to continue to maintain and potentially expand these relationships. In general, our financial results are immaterial to the online retail channels on which we sell. Accordingly, we have no negotiating power with these online retail channels and must accept changes to their platforms. For example, terms from online retail channels that could impact our business relate to platform fee charges (i.e., selling commissions), exclusivity, inventory warehouse availability, excluded products and limitations on sales and marketing, each of which could have a material impact on our results of operations, financial conditions and prospects. We believe we will also need to establish new relationships with new online retail channels, including online retail channels in new geographic markets that we enter, and online retail channels that may emerge in the future as the leading marketplaces for end consumers. Identifying potential online retail channels, and negotiating and documenting relationships with them, requires significant time and resources. Our competitors may be more effective than we are in providing incentives to online retail channels to favor their products or services or to prevent or reduce views of our products. In addition, the acquisition of a competitor by one of our online retail channels could result in increased visibility of the competitor’s product, which, in turn, could lead to decreased customer interest. If we are unsuccessful in establishing or maintaining our relationships with online retail channels, our ability to compete in the marketplace or to grow our net revenue could be impaired and our operating results could suffer.</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efforts to expand our business into new brands, products, services, technologies, and geographic regions will subject us to additional business, legal, financial and competitive risks and may not be successful.</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business success depends to some extent on our ability to expand our customer offerings by launching new brands, products and services and by expanding our existing offerings into new geographies. Our strategy is to use our proprietary software to determine which markets to enter and optimize the mix of products that we offer. Examples of new markets we are considering expansion in are Japan and Eastern Europe. Further, we are considering launching products which are outside the current core of home and kitchen appliances and kitchenware, beauty-related products and consumer electronics. Launching new brands, products and services requires significant upfront investments, including investments in marketing, information technology and additional personnel. We operate in highly competitive industries with relatively low barriers to entry and must compete successfully in order to grow our business. We may not be able to generate satisfactory revenue from these efforts to offset these costs. Any lack of market acceptance of our efforts to launch new brands, products and services or to expand our existing offerings could have a material adverse effect on our business, prospects, financial condition and results of operations. Further, as we continue to expand our fulfillment capability or add new businesses with different requirements, our logistics networks will become increasingly complex and operating them will become more challenging. There can be no assurance that we will be able to operate our networks effectively. We have also entered and may continue to enter new markets and provide product offerings in which we have limited or no experience, which may not be successful or appealing to our customers. In addition, we may face difficulties in integrating AIMEE into a SaaS client’s supply chain, which would reduce the ability of our managed SaaS business to generate revenue to the extent we are compensated for our services based on the level of sales of our clients’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right="120"/>
        <w:spacing w:after="0" w:line="293" w:lineRule="auto"/>
        <w:rPr>
          <w:sz w:val="20"/>
          <w:szCs w:val="20"/>
          <w:color w:val="auto"/>
        </w:rPr>
      </w:pPr>
      <w:r>
        <w:rPr>
          <w:rFonts w:ascii="Arial" w:cs="Arial" w:eastAsia="Arial" w:hAnsi="Arial"/>
          <w:sz w:val="16"/>
          <w:szCs w:val="16"/>
          <w:color w:val="auto"/>
        </w:rPr>
        <w:t>The consumer product goods (“CPG”) industry is subject to evolving standards and practices, as well as changing customer needs, requirements and preferences. Our ability to attract new customers and increase revenue from existing customers depends, in part, on our ability to enhance and improve our existing features, pinpoint new markets and introduce new products. We expend significant resources on research and development to develop new products in order to meet our customers’ rapidly evolving demands. The success of any enhancements or new features depends on several factors, including timely completion, adequate quality testing, actual performance quality, market-accepted pricing levels and overall market acceptance. We may not be successful in these efforts, which could result in significant expenditures that could impact our revenue or distract management’s attention from current offerings.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Increased emphasis on the sale of new products could distract us from sales of our existing products in existing markets, negatively affecting our overall sales. We have invested and expect to continue to invest in new businesses, products, features, services and technologies. Such endeavors may involve significant risks and uncertainties, including insufficient revenue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strategies and offerings are inherently risky, no assurance can be given that they will be successful. Our new features or enhancements could fail to attain sufficient market acceptance for many reasons, including:</w:t>
      </w:r>
    </w:p>
    <w:p>
      <w:pPr>
        <w:spacing w:after="0" w:line="7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introducing products in new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market demand or end consumer preferences;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defects, errors or failures in our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of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financial conditions for our customers or poor general macroeconomic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legal or regulatory requirements, or increased legal or regulatory scrutiny, adversely affecting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brand promotion activities or negative publicity about the performance or effectiveness of our existing features;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or delays in the online retailers and, or in addition to, logistics providers distributing our products.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is no assurance that we will successfully identify new opportunities or develop and bring new products to market on a timely basis, which could materially and adversely affect our business and operating results and compromise our ability to generate revenue.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operations internationally will require management attention and resources, involves additional risks and may be unsuccessful.</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limited experience with operating internationally or selling our merchandise outside of the United States, and if we choose to expand internationally, we would need to adapt to different local cultures, standards and policies. The business model and technology we employ and the merchandise we currently offer may not be successful with consumers outside of the United States. Furthermore, to succeed with clients in international locations, it likely will be necessary to locate fulfillment centers in foreign markets and hire local employees in those international centers, and we may have to invest in these facilities before proving we can successfully run foreign operations. We may not be successful in expanding into international markets or in generating revenue from foreign operations for a variety of reasons, including:</w:t>
      </w:r>
    </w:p>
    <w:p>
      <w:pPr>
        <w:spacing w:after="0" w:line="85"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localization of our merchandise offerings and technology, including translation into foreign languages and adaptation for local practices;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consumer demand dynamics, which may make our business model, technology and the merchandise we offer less successful compared to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regulations regarding anti-bribery and anti-corruption compliance;</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labor regulations where labor laws may be more advantageous to employees as compared to the United States and increased labor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1040" w:right="2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access to, or use of, commercial and personal information, particularly in Europe;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and emails may adversely impact our reputation or subject us to fines or other penalties.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social media and emails as part of our omnichannel approach to marketing.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and emails could also cause reputational damage.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Consumers value readily available information concerning retailers and their goods and services and often act on such information without further investigation and without regard to its accuracy. Our consumers may engage with us online through our social media platforms, including Facebook, and Instagram, by providing feedback and public commentary about all aspects of our business. Information concerning us or our retailers and brands,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30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our emails are not delivered and accepted or are routed by email providers less favorably than other emails, or our sites or mobile applications are not accessible or are treated disadvantageously by Internet service providers, our business may be substantially harmed.</w:t>
      </w:r>
    </w:p>
    <w:p>
      <w:pPr>
        <w:spacing w:after="0" w:line="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email providers or Internet service providers (“ISPs”) implement new or more restrictive email or content delivery or accessibility policies, including with respect to net neutrality, it may become more difficult to deliver emails to our customers or for customers to access our site, products and services. For example, certain email providers, including Google, categorize our emails as “promotional”, and these emails are directed to an alternate, and less readily accessible, section of a customer’s inbox. If email providers materially limit or halt the delivery of our emails, or if we fail to deliver emails to customers in a manner compatible with email providers’ email handling or authentication technologies, our ability to contact customers through email could be significantly restricted. In addition, if we are placed on “spam” lists or lists of entities that have been involved in sending unwanted, unsolicited emails, our operating results and financial condition could be substantially harmed. Further, if ISPs prioritize or provide superior access to our competitors’ content, our business and results of operations may be negatively impacted.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accept payments using a variety of methods, including credit card, debit card, PayPal, credit accounts (including promotional financing) and gift cards. For certain payment methods, including credit and debit cards, we pay interchange and other fees, which may increase over time and raise our operating costs and lower profitability. In addition, our credit card and other payment processors could impose receivable holdback or reserve requirements in the future.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consumers or to facilitate other types of online payments. If any of these events were to occur, our business, financial condition and operating results could be materially adversely affected.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could be adversely affected.</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ensure timely delivery of products, we generally enter into purchase orders in advance with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inventory write offs and lower gross margins. We rely on our procurement team to order products and we rely on our data analytics to inform the levels of inventory we purchase, including when to reorder items that are selling well and when to write off items that are not selling well. Our contract manufacturers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predict demand well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importing and warehousing.</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source all of the products we offer from third-party vendors and, as a result, we may be subject to price fluctuations or demand disruptions. Our operating results would be negatively impacted by increases in the prices of our products, and we have no guarantees that prices will not rise. In addition, as we expand into new categories and product types, we expect that we may not have strong purchasing power in these news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have in the past increased raw material costs, impacting pricing with certain of our vendors, and caused shipping delays for certain of our products. Further capacity fluctuations driven by various factors such as seasonality, tariffs, hedging or other factors can cause importing delays, which can lead to volatility in ocean freight rates and availability, causing us to incur additional expense and adversely affecting our operating results. In addition, our third 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materially adversely affect our financial performance as well as our reputation and brand.</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depend on our ability to provide our customers with a wide range of products from qualified suppliers in a timely and efficient manner. Our agreements with most of our suppliers do not provide for the long-term availability of merchandise or the continuation of particular pricing practices, nor do they usually restrict such suppliers from selling products to other buyers or directly themselves.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Our ability to develop and maintain relationships with reputable suppliers and offer high quality products to our customers is critical to our success. If we are unable to develop and maintain relationships with suppliers that would allow us to offer a sufficient amount and variety of quality products on acceptable commercial terms, our ability to satisfy our customers’ needs, and therefore our long-term growth prospects, would be materially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100"/>
        <w:spacing w:after="0" w:line="288" w:lineRule="auto"/>
        <w:rPr>
          <w:sz w:val="20"/>
          <w:szCs w:val="20"/>
          <w:color w:val="auto"/>
        </w:rPr>
      </w:pPr>
      <w:r>
        <w:rPr>
          <w:rFonts w:ascii="Arial" w:cs="Arial" w:eastAsia="Arial" w:hAnsi="Arial"/>
          <w:sz w:val="16"/>
          <w:szCs w:val="16"/>
          <w:color w:val="auto"/>
        </w:rPr>
        <w:t>We also are unable to predict whether any of the countries in which our suppliers’ products are currently manufactured or may be manufactured in the future will be subject to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For example, a significant number of our products are subject to import tariffs from China of 25%, and the remainder of our products, including our dehumidifier line of products, may be subject to a 25% tariff if, the previously announced and subsequently postponed, increases are enacted in the future. Our competitors may have greater existing inventory positions and other advantages that may allow them to price more competitively relative to our products. In addition, we may not be able to shift production for our products to other countries not subject to tariffs.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2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adversely affect our operating results.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currently rely on three major vendors for our shipping. If we are not able to negotiate acceptable pricing and other terms with these entities or they experience performance problems or other difficulties, it could negatively impact our operating results and our clients’ experience. We are also subject to volatility in ocean freight rates that are driven, in part, by seasonality, capacity availability and other factors, including fuel-related regulations affecting the shipping industry. In addition, our ability to receive inbound inventory efficiently and ship merchandise to clients may be negatively affected by inclement weather, fire, flood, power loss, earthquakes, labor disputes, acts of war or terrorism and similar factors. We are also subject to risks of damage or loss during delivery by our shipping vendors. If our products are not delivered in a timely fashion or are damaged or lost during the delivery process, our clients could become dissatisfied and cease using our products or services, which would adversely affect our business and operating results.</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dependent on third-party manufacturers, which are located in China, and any inability to obtain products from any such manufacturers could have a material adverse effect on our business, operating results and financial condition.</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Substantially all of our products are manufactured by unaffiliated companies that are located in China. This concentration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is rapidly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manufacturing of several of our products, including our dehumidifiers. If we were no longer able to maintain that relationship for any reason, we may not be able to timely find another manufacturer, or another manufacturer that provides the same quality, which would negatively affect our business, sales and results of operations.</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including senior management and our technology professionals, and if we are unable to retain or motivate key personnel or hire, retain and motivate qualified personnel, our business could be harmed.</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our success has depended, and our future success depends, on the efforts and talents of our senior management and our highly skilled team members, including our software engineers, data scientists and technology professionals. Our future success depends on our continuing ability to attract, develop, motivate and retain highly qualified and skilled employees. The loss of one or more of our key personnel or the inability to promptly identify a suitable successor to a key role could have an adverse effect on our business. In particular, our Founder and Chief Executive Officer has unique and valuable experience leading our Company from our inception through today. If he were to depart or otherwise reduce his focus on our Company, our business may be disrupted. We do not currently maintain key-person life insurance policies on any member of our senior management team and other key employees, except for our Founder and Chief Executive Officer.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120"/>
        <w:spacing w:after="0" w:line="270" w:lineRule="auto"/>
        <w:rPr>
          <w:sz w:val="20"/>
          <w:szCs w:val="20"/>
          <w:color w:val="auto"/>
        </w:rPr>
      </w:pPr>
      <w:r>
        <w:rPr>
          <w:rFonts w:ascii="Arial" w:cs="Arial" w:eastAsia="Arial" w:hAnsi="Arial"/>
          <w:sz w:val="17"/>
          <w:szCs w:val="17"/>
          <w:color w:val="auto"/>
        </w:rPr>
        <w:t>Competition for key personnel is strong, especially in the New York, New York area where our headquarters are located, and we cannot be sure that we will be able to attract and retain a sufficient number of qualified personnel in the future, or that the compensation costs of doing so will not adversely affect our operating results. Similarly, competition for well-qualified employees in all aspects of our business, including software engineers and other technology professionals, is intense globally. We do not have long-term employment or non-competition agreements with any of our personnel. Our continued ability to compete effectively depends on our ability to attract new employees and to retain and motivate existing employees. In particular, our software engineers and technology professionals are key to designing, maintaining and improving code and algorithms necessary to our business. If we do not succeed in attracting well-qualified employees or retaining and motivating existing employees and key senior management with the appropriate skills at cost-effective compensation levels, or if changes to our business adversely affect morale or retention, our business, results of operations, financial condition and prospects may be adversely affected.</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Also, as employee options vest and lock-ups expire, we may have difficulty retaining key employees. If we fail to attract new personnel or fail to retain and motivate our current personnel, our growth prospects could be severely harmed.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accurately forecast revenues, profitability and appropriately plan our expenses.</w:t>
      </w:r>
    </w:p>
    <w:p>
      <w:pPr>
        <w:spacing w:after="0" w:line="11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base our current and future expense levels on our operating forecasts and estimates of future income and operating results. Income and operating results are difficult to forecast because they generally depend on the volume and timing of the orders we receive, which are uncertain. Additionally, our business is affected by general economic and business conditions around the world. A softening in income, whether caused by changes in consumer preferences or a weakening in global economies, may result in decreased net revenue levels, and we may be unable to adjust our spending in a timely manner to compensate for any unexpected shortfall in income. This inability could cause our (loss)/income after tax in a given quarter to be (higher)/lower than expected. We also make certain assumptions when forecasting the amount of expense we expect related to our stock-based payments, which includes the expected volatility of our stock price, and the expected life of stock options granted. These assumptions are partly based on historical results. If actual results differ from our estimates, our operating results in a given quarter may be lower than expected.</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and quarterly variations in our net revenue and operating income and, as a result, our quarterly results may fluctuate and could be below expectations.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business can be seasonal based on our product mix and may become more seasonal depending on our product mix; specifically, we have realized a disproportionate amount of our net revenue and earnings for prior fiscal years in the third and fourth quarter as a result of the holiday season, and we expect this to continue in the future. If we experience lower than expected net revenue during any third or fourth quarter, it may have a disproportionately large impact on our operating results and financial condition for that year. Any factors that harm our third or fourth quarter operating results, including disruptions in our brands or our supply chains or unfavorable economic conditions, could have a disproportionate effect on our results of operations and our financial condition for our entire fiscal year.</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anticipation of increased sales activity during the third and fourth quarter, we may incur significant additional expenses, including additional marketing and additional staffing in our customer support operations. In addition, we may experience an increase in our net shipping costs due to complimentary upgrades, split-shipments and additional long-zone shipments necessary to ensure timely delivery for the holiday season. At peak periods, there could also be further delays in processing orders, which could leave us unable to fulfill consumer orders due to “no stock,” which could lead to lower consumer satisfaction. In the future, our seasonal sales patterns may become more pronounced, may strain our personnel and production activities and may cause a shortfall in net sales as compared with expenses in a given period, which could substantially harm our business, results of operations, financial condition and prospects.</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quarterly results of operations may also fluctuate significantly as a result of a variety of other factors, including those described above. As a result, historical period-to-period comparisons of our sales and operating results are not necessarily indicative of future period-to-period results. You should not rely on the results of a single fiscal quarter as an indication of our annual results or our future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The terms of our revolving credit facility and term loan contain restrictive covenants that may limit our operating flexibility.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23, 2018, we entered into an Amended and Restated Credit and Security Agreement with MidCap Funding X Trust, as amended (the “MidCap Credit Agreement”), pursuant to which we received access to a $25.0 million revolving credit facility, which can be increased, subject to certain conditions, to $50.0 million. The MidCap Credit Agreement contains restrictive covenants that limit our ability to, among other things, transfer or dispose of assets, merge with other companies or consummate certain changes of control, acquire other companies, modify organizational documents, pay dividends, incur additional indebtedness and liens and enter into new businesses. We therefore may not be able to engage in any of the foregoing transactions unless we obtain the consent of the lender or terminate the credit facility under the MidCap Credit Agreement, which may limit our operating flexibility. In addition, the revolving credit facility is secured by all of our assets, other than our intellectual property, and requires us to satisfy certain financial covenants. There is no guarantee that we will be able to generate sufficient cash flow or sales to meet these financial covenants or pay the principal and interest on any such debt. Furthermore, there is no guarantee that future working capital, borrowings or equity financing will be available to repay or refinance any such debt. Any inability to make scheduled payments or meet the financial covenants on our revolving credit facility would adversely affect our business.</w:t>
      </w:r>
    </w:p>
    <w:p>
      <w:pPr>
        <w:spacing w:after="0" w:line="16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December 31, 2018, we entered into a Venture Loan and Security Agreement with Horizon Technology Finance Corporation (“Horizon Loan Agreement”) pursuant to which we received term loans in an aggregate amount of $15.0 million. The Horizon Loan Agreement contains restrictive covenants that limit our ability to, among other things, transfer or dispose of assets, merge with other companies or consummate certain changes of control, acquire other companies, pay dividends, incur additional indebtedness and liens and enter into new businesses. We therefore may not be able to engage in any of the foregoing transactions unless we obtain the consent of the lender or terminate the credit facility under the Horizon Loan Agreement, which may limit our operating flexibility. In addition, the term loans are secured by all of our assets, including certain intellectual property, and require us to satisfy certain financial covenants. There is no guarantee that we will be able to generate sufficient cash flow or sales to meet these financial covenants or pay the principal and interest on any such debt. Furthermore, there is no guarantee that future working capital, borrowings or equity financing will be available to repay or refinance any such debt. Any inability to make scheduled payments or meet the financial covenants on our credit facility would adversely affect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If we raise any additional debt financing, the terms of such additional debt could further restrict our operating and financial flexibility.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 may adversely affect our business, financial performance and results of operations.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financial performance and results of operations depend significantly on worldwide macroeconomic 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consumer spending or buying habits could materially and adversely affect demand for our products. In addition, volatility in the financial markets has had and may continue to have a negative impact on consumer spending patterns. A reduction in consumer spending or disposable income may affect us more significantly than companies in other industries and companies with a more diversified product offering. In addition, negative national or global economic conditions may materially and adversely affect our suppliers’ financial performance, liquidity and access to capital. This may affect their ability to maintain their inventories, production levels and/or product quality and could cause them to raise prices, lower production levels or cease their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Economic factors such as increased commodity prices, shipping costs, inflation, higher costs of labor, insurance and healthcare, and changes in or interpretations of other laws, regulations and taxes may also increase our cost of goods sold and our selling, general and administrative expenses, and otherwise adversely affect our financial condition and results of operations. Any significant increases in costs may affect our business disproportionately than our competitors. Changes in trade policies or increases in tariffs, including those recently enacted by the United States and proposed by China, may have a material adverse effect on global economic conditions and the stability of global financial markets and may reduce international trade.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disasters or other unexpected events may adversely affect our operations, particularly our merchandise supply chain and shipping efforts.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merchandise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may in the future seek to acquire or invest in businesses, features or technologies that we believe could complement or expand our market,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businesses, features or technologies, any such acquisition would generally be subject to completion of due diligence and required approvals, and there can be no assurance that any such acquisition will occur or be completed in a timely manner, or at all.</w:t>
      </w:r>
    </w:p>
    <w:p>
      <w:pPr>
        <w:spacing w:after="0" w:line="1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existing contracts and technologies successfully or effectively manage the combined business following the acquisition. We also may not achieve the anticipated benefits from the acquired business due to a number of factors, including:</w:t>
      </w:r>
    </w:p>
    <w:p>
      <w:pPr>
        <w:spacing w:after="0" w:line="73" w:lineRule="exact"/>
        <w:rPr>
          <w:sz w:val="20"/>
          <w:szCs w:val="20"/>
          <w:color w:val="auto"/>
        </w:rPr>
      </w:pPr>
    </w:p>
    <w:p>
      <w:pPr>
        <w:ind w:left="104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identify all of the problems, liabilities or other shortcomings or challenges of an acquired company or technology, including issues related to intellectual property, regulatory compliance practices, revenue recognition or other accounting practices, or employee or client issues;</w:t>
      </w:r>
    </w:p>
    <w:p>
      <w:pPr>
        <w:spacing w:after="0" w:line="15" w:lineRule="exact"/>
        <w:rPr>
          <w:rFonts w:ascii="Arial" w:cs="Arial" w:eastAsia="Arial" w:hAnsi="Arial"/>
          <w:sz w:val="16"/>
          <w:szCs w:val="16"/>
          <w:color w:val="auto"/>
        </w:rPr>
      </w:pPr>
    </w:p>
    <w:p>
      <w:pPr>
        <w:ind w:left="1040" w:right="6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incorporating acquired technology and rights into our proprietary software and of maintaining quality and security standards consistent with our brands;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 or equity dilution associated with funding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entering new markets or new product categories in which we have limited or no experience;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into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our management’s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loss of key employees, clients, vendors and suppliers from either our current business or an acquired company’s business;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write offs or impairment charges relating to acquired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If an acquired business fails to meet our expectations, our business, operating results and financial condition may suffer.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Our Intellectual Property and Information Security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use open source software in our proprietary software, AIMEE, and other of our sophisticated information technologies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the implicated open source software.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 Any of these risks could be difficult to eliminate or manage, and, if not addressed, could have a material adverse effect on our business, financial condition and operating results.</w:t>
      </w:r>
    </w:p>
    <w:p>
      <w:pPr>
        <w:spacing w:after="0" w:line="2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misappropriation by us of their intellectual property rights or confidential know how could result in significant costs and substantially harm our business and results of operations.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Third parties have asserted, and may in the future assert, that we have infringed or misappropriated their trademarks, copyrights, confidential know how, trade secrets, patents or other intellectual property rights. We cannot predict whether any such assertions or claims arising from such assertions will substantially harm our business and results of operations, whether or not they are successful. If we are forced to defend against any infringement or other claims relating to the trademarks, copyright, confidential know how, trade secrets, patents or other intellectual property rights of third parties, whether they are with or without merit or are determined in our favor, we may face costly litigation or diversion of technical and management personnel. Furthermore, the outcome of a dispute may be that we would need to cease use of some portion of our technology, develop non-infringing technology, pay damages, costs or monetary settlements or enter into royalty or licensing agreements. Royalty or licensing agreements, if required, may be unavailable on terms acceptable to us, or at all, and we may be unable to successfully develop non-infringing technology. Any such assertions or litigation could materially adversely affect our business, results of operations, financial condition and prospects.</w:t>
      </w:r>
    </w:p>
    <w:p>
      <w:pPr>
        <w:spacing w:after="0" w:line="182"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e-commerce industry is characterized by vigorous protection and pursuit of intellectual property rights, which has resulted in protracted and expensive litigation for many companies. Some companies, including some of our competitors, own large numbers of patents, copyrights and trademarks, which they may use to assert claims against us. In addition, because patent applications can take years to issue and are often afforded confidentiality for some period of time, there may currently be pending applications, unknown to us, that later result in issued patents that could cover one or more of our technologies.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third parties have substantially greater resources than we have and may be able to sustain the costs of intellectual property litigation for longer periods of time than we can. Even if we were to prevail in such a dispute, any litigation regarding our intellectual property could be costly and time-consuming and divert the attention of our management and key personnel from our business operations.</w:t>
      </w: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success depends, in part, on our ability to protect our proprietary methods, trademarks, domain names, copyrights, patent, trade dress, trade secrets, proprietary technology and similar intellectual property, and we rely on trademark, copyright and patent law, trade secret protection, agreements and other methods with our employees and others to protect our proprietary rights. There can be no assurance that the particular forms of intellectual property protection that we seek, including business decisions about when to file trademark applications and patent applications, will be adequate to protect our business. We intend to continue to file and prosecute patent applications when appropriate to attempt to protect our rights in our proprietary technologies. However, there can be no assurance that our patent applications will be approved, that any patents issued will adequately protect our intellectual property, that the scope of the claims in our issued patents will be sufficient or have the coverage originally sought, that our issued patents will provide us with any competitive advantages, or that such patents will not be challenged by third parties or found by a judicial authority to be invalid or unenforceable.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2" w:name="page53"/>
    <w:bookmarkEnd w:id="52"/>
    <w:p>
      <w:pPr>
        <w:spacing w:after="0" w:line="288" w:lineRule="auto"/>
        <w:rPr>
          <w:sz w:val="20"/>
          <w:szCs w:val="20"/>
          <w:color w:val="auto"/>
        </w:rPr>
      </w:pPr>
      <w:r>
        <w:rPr>
          <w:rFonts w:ascii="Arial" w:cs="Arial" w:eastAsia="Arial" w:hAnsi="Arial"/>
          <w:sz w:val="16"/>
          <w:szCs w:val="16"/>
          <w:color w:val="auto"/>
        </w:rPr>
        <w:t>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may fail, and even if successful, could be costly, time-consuming and distracting to management and could result in a diversion of significant resources. Our efforts to enforce our intellectual property rights may be met with defenses, counterclaims and countersuits attacking the validity and enforceability of our intellectual property rights or alleging that we infringe the counterclaimant’s own intellectual property. An adverse determination of any litigation or defense proceedings could put our intellectual property at risk of being invalidated or interpreted narrowly and could put our related pending patent applications at risk of not being issued. Furthermore, because of the substantial amount of discovery required in connection with intellectual property litigation, there is a risk that some of our confidential or sensitive information could be compromised by disclosure in the event of litigation.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of our intellectual property rights could be challenged by others or invalidated through administrative processes or litigation. Furthermore, there can be no guarantee that others will not independently develop similar products, duplicate any of our products or design around our patents. Despite our efforts, we may be unable to prevent third parties from infringing upon, misappropriating or otherwise violating our intellectual property rights and other proprietary rights.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in part, on confidentiality agreements with our employees, consultants, advisors, customers and others in our efforts to protect our proprietary technology, processes and methods.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laws of some countries do not protect intellectual property and other proprietary rights to the same extent as the laws of the United States.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extent that we expand our international activities, our exposure to unauthorized copying, transfer and use of our proprietary technology or information may increase.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operating results and financial condition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acquire, use or maintain our marks and domain names for our sites could substantially harm our business and operating results.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currently are the registrant of marks for our brands in numerous jurisdictions and are the registrant of the Internet domain name for the websites of Mohawkgp.com, homelabs.com, vremi.com, xtava.com, rif6.com and our other sites, as well as various related domain names. However, we have not registered our marks or domain names in all major international jurisdictions. 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materially adversely affect our business, financial condition and operating results.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3" w:name="page54"/>
    <w:bookmarkEnd w:id="53"/>
    <w:p>
      <w:pPr>
        <w:ind w:right="40"/>
        <w:spacing w:after="0" w:line="273" w:lineRule="auto"/>
        <w:rPr>
          <w:sz w:val="20"/>
          <w:szCs w:val="20"/>
          <w:color w:val="auto"/>
        </w:rPr>
      </w:pPr>
      <w:r>
        <w:rPr>
          <w:rFonts w:ascii="Arial" w:cs="Arial" w:eastAsia="Arial" w:hAnsi="Arial"/>
          <w:sz w:val="17"/>
          <w:szCs w:val="17"/>
          <w:color w:val="auto"/>
        </w:rPr>
        <w:t>Furthermore, the regulations governing domain names and laws protecting marks and similar proprietary rights could change in ways that block or interfere with our ability to use relevant domains or our current brands Also, we might not be able to prevent third parties from registering, using or retaining domain names that interfere with our consumer communications or infringe or otherwise decrease the value of our marks, domain names and other proprietary rights.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Mohawk or our other brands in all of the countries in which we currently or intend to conduct business.</w:t>
      </w:r>
    </w:p>
    <w:p>
      <w:pPr>
        <w:spacing w:after="0" w:line="2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sell and market our products relies on the performance and continued development of AIMEE. AIMEE’s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or physical or electronic break-ins, and denial-of-service attacks on us, third-party vendors or communications infrastructure, could affect the availability of our services on our platform and prevent or inhibit the ability of selling our products. Volume of traffic and activity on e-commerce marketplaces spikes on certain days, such as during a Black Friday promotion, and any such interruption would be particularly problematic if it were to occur at such a high-volume time. Problems with the reliability of our systems or third-party marketplaces could prevent us from earning revenue and could harm our reputation. Damage to our reputation, any resulting loss of customers, e-commerce confidence and the cost of remedying these problems could negatively affect our business, results of operations, financial condition and prospects.</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ability to maintain communications, network and computer hardware in the countries in which they are used may in the future be subject to regulatory review and licensing,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29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inadvertent breaches by our employees or by third parties. These risks may increase over time as the complexity and number of technical systems and applications we use also increases.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4" w:name="page55"/>
    <w:bookmarkEnd w:id="54"/>
    <w:p>
      <w:pPr>
        <w:ind w:right="40"/>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6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general litigation, regulatory disputes and government inquiries.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cannot predict the outcome of such disputes and inquiries with certainty. Regardless of the outcome, these can have an adverse impact on us because of legal costs, diversion of management resources and other factors.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May 2019, we received notice from the California Energy Commission (the “CEC”) that certain of our products have not been listed in the CEC’s Modernized Appliance Efficiency Database System (the “MAEDbS”) and therefore we are not in compliance with a CEC regulation. In order for an appliance to be listed in the MAEDbS, it must be tested at a lab approved by the CEC and the test data must be submitted to the CEC’s Appliance Efficiency Program. Although we believe that a number of the products identified in the CEC’s notice are, and have been, listed in the MAEDbS and comply with applicable CEC regulations, we may be subject to a financial penalty imposed by the CEC with respect to certain of our products that are not currently listed and may not otherwise currently meet applicable CEC energy regulations. We cannot be certain that our insurance coverage will fully cover any financial liability actually incurred. In addition, if we are required to list these additional products in the MAEDbS, we may not be permitted to sell them in the State of California until they are listed.</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products experience any recalls, product liability claims, or government, customer or consumer concerns about product safety, our reputation and operating results could be harmed.</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products are subject to regulation by the U.S. Consumer Product Safety Commission (the “CPSC”) and similar state and international regulatory authorities, and their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 For example, in May 2018, the board of directors of Mohawk Group, Inc., our wholly-owned subsidiary (“Mohawk Opco”), approved a voluntary recall of the Xtava Allure Hair Dryer. In June 2018, Mohawk Opco filed an application for a voluntary recall with the CPSC pursuant to Section 15(b) of the Consumer Product Safety Act (“CPSA”). Mohawk Opco received approval from the CPSC to provide consumers with replacement units and publicly announced the recall on August 15, 2018. Mohawk Opco estimates it will incur approximately $1.6 million in costs related to the recall for procurement, manufacturing, fulfillment and delivery to consumers who apply and qualify for the recall costs. Mohawk Opco recorded the expense in 2018. Mohawk Opco also estimates it will incur legal and other expenses of approximately $0.4 million related to the recall, which will be expensed as incurred.</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subject to product liability claims if people or property are harmed by the products we sell. Some of the products we sell may expose us to product liability claims and litigation (including class actions) or regulatory action relating to safety, personal injury, death or environmental or property damage. For example, in August 2018, we announced a voluntary recall of certain hair dryers that were alleged to have overheated or caused fires. Although no claims have been brought, pursuant to the CPSC and the guidelines set forth by the CPSA, we may be subject to a late reporting penalty if the CSPC decides to perform a late reporting investigation and determines we failed to meet all reporting requirements. If we are determined to have violated the reporting guidelines, a penalty may be material to the consolidated financial statements.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we maintain liability insurance, we cannot be certain that our coverage will be adequate for liabilities actually incurred or that insurance will continue to be available to us on economically reasonable terms, or at all. Some of our agreements with members of our supply chain may not indemnify us from product liability for a particular product, and some members of our supply chain may not have sufficient resources or insurance to satisfy their indemnity and defense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right="500"/>
        <w:spacing w:after="0" w:line="308" w:lineRule="auto"/>
        <w:rPr>
          <w:sz w:val="20"/>
          <w:szCs w:val="20"/>
          <w:color w:val="auto"/>
        </w:rPr>
      </w:pPr>
      <w:r>
        <w:rPr>
          <w:rFonts w:ascii="Arial" w:cs="Arial" w:eastAsia="Arial" w:hAnsi="Arial"/>
          <w:sz w:val="17"/>
          <w:szCs w:val="17"/>
          <w:b w:val="1"/>
          <w:bCs w:val="1"/>
          <w:i w:val="1"/>
          <w:iCs w:val="1"/>
          <w:color w:val="auto"/>
        </w:rPr>
        <w:t>Any failure by us or our vendors to comply with product safety, labor or other laws, or our standard vendor terms and conditions, or to provide safe factory conditions for our or their workers may damage our reputation and brand and harm our business.</w:t>
      </w:r>
    </w:p>
    <w:p>
      <w:pPr>
        <w:spacing w:after="0" w:line="38"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products we sell to our clients are subject to regulation by the CPSC, the Federal Trade Commission (“FTC”) and similar state and international regulatory authorities. As a result, such products could be in the future subject to recalls and other remedial actions. Product safety, labeling and licensing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some of our agreements with our vendors may not indemnify us from product liability for a particular vendor’s products or our vendors may not have sufficient resources or insurance to satisfy their indemnity and defense obligations.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Misclassification or reclassification of our independent contractors or employees could increase our costs and adversely impact our business.</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workers are classified as either employees or independent contractors, and if employees, as either exempt from overtime or non-exempt (and therefore overtime eligible). Regulatory authorities and private parties have recently asserted within several industries that some independent contractors should be classified as employees and that some exempt employees, including those in sales-related positions, should be classified as non-exempt based upon the applicable facts and circumstances and their interpretations of existing rules and regulations. If we are found to have misclassified employees as independent contractors or non-exempt employees as exempt, we could face penalties and have additional exposure under federal and state tax, workers’ compensation, unemployment benefits, labor, employment and tort laws, including for prior periods, as well as potential liability for employee overtime and benefits and tax withholdings. Legislative, judicial or regulatory (including tax) authorities could also introduce proposals or assert interpretations of existing rules and regulations that would change the classification of a significant number of independent contractors doing business with us from independent contractor to employee and a significant number of exempt employees to non-exempt. A reclassification in either case could result in a significant increase in employment-related costs such as wages, benefits and taxes. The costs associated with employee classification, including any related regulatory action or litigation, could have a material adverse effect on our results of operations and our financial position.</w:t>
      </w:r>
    </w:p>
    <w:p>
      <w:pPr>
        <w:spacing w:after="0" w:line="28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b w:val="1"/>
          <w:bCs w:val="1"/>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collect personally identifiable information and other data from our consumers and prospective consumers. We collect this info automatically through the automated sales processes with e-commerce marketplaces. We, at times, may use this information to provide, support, expand and improve our business and tailor our marketing and advertising efforts.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such as the FTC, and various state, local and foreign agencies. Our data handling also is subject to contractual obligations and industry standards.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The laws and regulations relating to privacy and data security are evolving, can be subject to significant change and may result in ever-increasing regulatory and public scrutiny and escalating levels of enforcement and sanctions.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United States, federal and various state governments have adopted or are considering laws, guidelines or rules for the collection, distribution, use and storage of information collected from or about consumers or their devices. For example, California recently passed the California Consumer Privacy Act, which has an effective date of January 1, 2020 and introduces substantial changes to privacy law for businesses that collect personal information from California residents. Additionally, the FTC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ind w:right="40"/>
        <w:spacing w:after="0" w:line="291" w:lineRule="auto"/>
        <w:rPr>
          <w:sz w:val="20"/>
          <w:szCs w:val="20"/>
          <w:color w:val="auto"/>
        </w:rPr>
      </w:pPr>
      <w:r>
        <w:rPr>
          <w:rFonts w:ascii="Arial" w:cs="Arial" w:eastAsia="Arial" w:hAnsi="Arial"/>
          <w:sz w:val="16"/>
          <w:szCs w:val="16"/>
          <w:color w:val="auto"/>
        </w:rPr>
        <w:t>Many data protection regimes apply based on where a consumer is located, and as we expand and new laws are enacted or existing laws change, we may be subject to new laws, regulations or standards or new interpretations of existing laws, regulations or standards, which could require us to incur additional costs and restrict our business operations. Any failure or perceived failure by us to comply with rapidly evolving privacy or security laws, such as the Personal Information Security Specification (the “China Specification”), policies (including our own stated privacy policies), legal obligations or industry standards or any security incident that results in the unauthorized release or transfer of personally identifiable information or other consumer data may result in governmental enforcement actions, litigation (including consumer class actions), fines and penalties or adverse publicity and could cause our consumers to lose trust in us, which could have a material adverse effect on our business, results of operations, financial condition and prospects.</w:t>
      </w:r>
    </w:p>
    <w:p>
      <w:pPr>
        <w:spacing w:after="0" w:line="27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b w:val="1"/>
          <w:bCs w:val="1"/>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Due to the sensitive nature of such information, we have implemented policies and procedures to preserve and protect our data and our customers’ data against loss, misuse, corruption, misappropriation caused by systems failures, unauthorized access or misuse. Notwithstanding these policies,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spacing w:after="0" w:line="29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In Europe, where we expect to expand our business operations in the future as part of our growth, the data privacy and information security regime recently underwent a significant change and continues to evolve and is subject to increasing regulatory scrutiny.</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General Data Protection Regulation (“GDPR”), which came into force on May 25, 2018, implemented more stringent operational requirements for our use of personal data. These more stringent requirements include expanded disclosures to tell our consumers about how we may use their personal data, increased controls on profiling customers and increased rights for customers to access, control and delete their personal data. In addition, there are mandatory data breach notification requirements and significantly increased penalties of the greater of €20 million or 4% of global turnover for the preceding financial year. The U.K.’s Network and Information Systems Regulations 2018 (“NID Regulations”), which came into force on May 10, 2018, apply to us as an online marketplace and place additional network and information systems security obligations on us, as well as mandatory security incident notification in certain circumstances with penalties of up to £17 million.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Such regulations may have a negative effect on businesses, including ours, that collect and use online usage information for consumer acquisition and marketing, it may increase the cost of operating a business that collects or uses such information and undertakes online marketing, it may also increase regulatory scrutiny and increase potential civil liability under data protection or consumer protection laws.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new, stringent privacy regulations in China that are broader than those of our other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China, the China Specification came into force on May 1, 2018. Although the China Specification is not a mandatory regulation, it nonetheless has a key implementing role in relation to China’s Cyber Security Law in respect of protecting personal information in China. Furthermore, it is likely that the China Specification will be relied on by Chinese government agencies as a standard to determine whether businesses have abided by China’s data protection rules. This China Specification has introduced many concepts and protection rules for personal information, such as “Data Controller” from GDPR. From the consent perspective the China Specification and GDPR are similar, but the China Specification has broadened the scope of personal sensitive information (“PSI”) as compared to GDPR (including but not limited to phone number, transaction record and purchase history, bank account, browser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ind w:right="140"/>
        <w:spacing w:after="0" w:line="375" w:lineRule="auto"/>
        <w:rPr>
          <w:sz w:val="20"/>
          <w:szCs w:val="20"/>
          <w:color w:val="auto"/>
        </w:rPr>
      </w:pPr>
      <w:r>
        <w:rPr>
          <w:rFonts w:ascii="Arial" w:cs="Arial" w:eastAsia="Arial" w:hAnsi="Arial"/>
          <w:sz w:val="15"/>
          <w:szCs w:val="15"/>
          <w:b w:val="1"/>
          <w:bCs w:val="1"/>
          <w:i w:val="1"/>
          <w:iCs w:val="1"/>
          <w:color w:val="auto"/>
        </w:rPr>
        <w:t>We are subject to customs and international trade laws that could require us to modify our current business practices and incur increased costs or could result in a delay in getting products through customs and port operations, which may limit our growth and cause us to suffer reputational damage.</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predominately import our products from China. We are subject to numerous regulations, including customs and international trade laws that govern the importation and sale of our goods. 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in particular, in China, where trade relations between the United States and China are uncertain. Our failure to comply with import or export rules and restrictions or to properly classify items under tariff regulations and pay the appropriate duties could expose us to fines and penalties. If these laws or regulations were to change or were violated by our management, employees, retailers or brands, we could experience delays in shipments of our goods, be subject to fines or penalties or suffer reputational harm, which could reduce demand for our products or services and negatively impact our results of operations.</w:t>
      </w:r>
    </w:p>
    <w:p>
      <w:pPr>
        <w:spacing w:after="0" w:line="1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business depends on our ability to source and distribute products in a timely manner. As a result, 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imports from China or any retaliatory trade measures are taken by China, our business and results of operations could be materially and adversely affected.</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purchase our products from unaffiliated manufacturers that are located in China. This concentration exposes us to risks associated with doing business globally, including changes in tariffs. The Office of the United States Trade Representative identified certain Chinese imported goods for additional tariffs to address China’s trade policies and practices. These tariffs could have a material adverse effect on our business and results of operations. Additionally, the Trump administration continues to signal that it may alter trade agreements and terms between China and the United States, including limiting trade with China, imposing additional tariffs on imports from China and potentially imposing other restrictions on exports from China to the United States. Consequently, it is possible further and or higher tariffs will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financial performance.</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Many of the laws, rules or regulations imposing taxes and other similar obligations were established before the growth of the internet and e-commerce. Tax authorities in non-U.S. jurisdictions and at the U.S. federal, state and local levels are currently reviewing the appropriate treatment of companies engaged in internet commerce and considering changes to existing tax or other laws that could regulate our transmissions and/or levy sales, income, consumption, use or other taxes relating to our activities, and/or impose obligations on us to collect such taxes. For example, in March 2018, the European Commission proposed new rules for taxing digital business activities in the EU. In addition,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such legislation. Furthermore, the U.S. Supreme Court recently has held in </w:t>
      </w:r>
      <w:r>
        <w:rPr>
          <w:rFonts w:ascii="Arial" w:cs="Arial" w:eastAsia="Arial" w:hAnsi="Arial"/>
          <w:sz w:val="16"/>
          <w:szCs w:val="16"/>
          <w:i w:val="1"/>
          <w:iCs w:val="1"/>
          <w:color w:val="auto"/>
        </w:rPr>
        <w:t>South Dakota v. Wayfair</w:t>
      </w:r>
      <w:r>
        <w:rPr>
          <w:rFonts w:ascii="Arial" w:cs="Arial" w:eastAsia="Arial" w:hAnsi="Arial"/>
          <w:sz w:val="16"/>
          <w:szCs w:val="16"/>
          <w:color w:val="auto"/>
        </w:rPr>
        <w:t xml:space="preserve"> that a U.S. state may require an online retailer to collect sales taxes imposed by that state, even if the retailer has no physical presence in that state, thus permitting a wider enforcement of such sales tax collection requirements. Such legislation could require us or our retailers and brands to incur substantial costs in order to comply, including costs associated with legal advice, tax calculation, collection, remittance and audit requirements, which could make selling in such markets less attractive and could adversely affect our business. We cannot predict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products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results of operations, financial condition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$14.2 million net operating loss carryforwards as of December 31, 2018,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2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(“Crimea”) as well as specifically targeted individuals and entities that are identified on U.S. and other blacklists, and those owned by them or those acting on their behalf. Anti-corruption laws, including the U.S. Foreign Corrupt Practices Act (the “FCPA”) and the U.K. Bribery Act (the “Bribery Act”), generally prohibit direct or indirect corrupt payments to government officials and, under certain laws, private persons to obtain or retain business or an improper business advantage. Some of our international operations are conducted in parts of the world, including Ukraine, Philippines and China, where it is common to engage in business practices that are prohibited by these laws.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have policies and procedures in place designed to promote compliance with laws and regulations, which we review and update as we expand our operations in existing and new jurisdictions in order to proportionately address risks of non-compliance with applicable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we expand our operations in existing and new jurisdictions internationally, we will need to increase the scope of our compliance programs to address the risks relating to the potential for violations of the FCPA and the Bribery Act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products or services, reduce net revenue, increase costs or subject us to additional liabilities. Anti-corruption and anti-bribery laws have been enforced aggressively in recent years, are interpreted broadly and prohibit companies and their employees and agents from promising, authorizing, making, offering, soliciting or accepting improper payments or other benefits to or from government officials and others in the private sector. As we increase our international sales and business, particularly in countries with a low score on the Corruptions Perceptions Index by Transparency International and increase our use of third-party business partners such as sales agents, distributors, resellers or consultants, our risks under these laws may increase. Under these laws, we could be held liable for the corrupt or other illegal activities of our employees, representatives, contractors, business partners and agents, even if we do not explicitly authorize or have actual knowledge of such activities.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require us to appoint an independent compliance monitor, which can result in added costs and administrative burdens. Any investigations, actions, sanctions or other previously mentioned harm could have a material negative effect on our business, operating results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or smaller reporting companies could make our common stock less attractive to investors.</w:t>
      </w:r>
    </w:p>
    <w:p>
      <w:pPr>
        <w:spacing w:after="0" w:line="7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38" w:lineRule="exact"/>
        <w:rPr>
          <w:sz w:val="20"/>
          <w:szCs w:val="20"/>
          <w:color w:val="auto"/>
        </w:rPr>
      </w:pPr>
    </w:p>
    <w:p>
      <w:pPr>
        <w:ind w:left="1040" w:right="8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permission to delay adopting new or revised accounting standards until such time as those standards apply to private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take advantage of these and other exemptions until we are no longer an “emerging growth company”. We could be an emerging growth company until as long as December 31, 2024 (up to the end of the fiscal year in which the fifth anniversary of the completion our initial public offering occurs), although we expect to not be an emerging growth company sooner. Our status as an emerging growth company will end as soon as any of the following takes place:</w:t>
      </w:r>
    </w:p>
    <w:p>
      <w:pPr>
        <w:spacing w:after="0" w:line="7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after we become a public company.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under the Jumpstart Our Business Startups Act of 2012 (the “JOBS Act”), “emerging growth companies” can delay adopting new or revised accounting standards until such time as those standards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(excluding the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Market volatility may affect the value of an investment in our common stock and could subject us to litigation.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$6.22 to $10.00 per share from June 12, 2019 to July 31, 2019. The market price of our common stock could be subject to wide fluctuations in response to many risk factors listed in this section, and others beyond our control, including:</w:t>
      </w:r>
    </w:p>
    <w:p>
      <w:pPr>
        <w:spacing w:after="0" w:line="7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and any changes in projected operational and financial results;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offerings by us or our competitors;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capital-raising activities or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reaction to our press releases and filings with the SEC;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operating performance and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any contractual lock-up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you may not be able to resell your common stock at a desired market price.</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shares of common stock began trading on the Nasdaq Capital Market on June 12, 2019. Prior to our initial public offering, there was no public market for our common stock. Although our common stock is listed on the Nasdaq Capital Market, an active trading market for our shares may not be sustained. If an active market for our common stock is not sustained, you may not be able to sell your shares quickly or at a desired market price. If no active trading market for our common stock is sustained, you may be unable to sell your shares when you wish to sell them or at a price that you consider attractive or satisfactory. The lack of an active market may also adversely affect our ability to raise capital by selling securities in the future or impair our ability to acquire businesses or technologies using our shares as consideration.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Financial Industry Regulatory Authority, Inc.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2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opportunity, size estimates and growth forecasts included in our publicly-filed documents are subject to significant uncertainty and are based on assumptions and estimates that may not prove to be accurate. For example, several of the reports and data on which our estimates and forecasts are based, rely on projections of consumer adoption and incorporate data from secondary sources such as company websites as well as industry, trade and government publications.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revenue and operating results are difficult to forecast because they generally depend on the volume, timing and type of orders we receive, all of which are uncertain. We base our expense levels and investment plans on our estimates of total net revenue and gross margins using human judgment combined with our machine learning, natural language processing and data analytics. We cannot be sure the same growth rates, trends and other key performance metrics are meaningful predictors of future growth. If our assumptions and calculations prove to be wrong, we may spend more than we anticipate acquiring and retaining customers or may generate less net revenue per active customer than anticipated, any of which could have a negative impact on our business and results of operations. In addition, as we enter a new consumer product market, we may initially provide discounts to customers to gain market traction, and the amount and effect of these discounts may vary greatly. Finally, we are evaluating our total addressable market with respect to new product offerings and new markets. These estimates of total addressable market and growth forecasts are subject to significant uncertainty, are based on assumptions and estimates that may not prove to be accurate and are based on data published by third parties that we have not independently verified. Even if the market in which we compete meets the size estimates and growth forecasted in our publicly-filed documents, our business could fail to grow at similar rates, if at all.</w:t>
      </w:r>
    </w:p>
    <w:p>
      <w:pPr>
        <w:spacing w:after="0" w:line="16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is also affected by general economic and business conditions in the U.S., and we anticipate that it will be increasingly affected by conditions in international markets. In addition, we experience seasonal trends in our business, and our mix of product offerings is highly variable from day-to-day and quarter-to-quarter. This variability makes it difficult to predict sales and could result in significant fluctuations in our net revenue from period-to-period. A significant portion of our expenses is fixed, and as a result, we may be unable to adjust our spending in a timely manner to compensate for any unexpected shortfall in net revenue. Any failure to accurately predict net revenue or gross margins could cause our operating results to be lower than expected, which could materially adversely affect our financial condition and stock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*Future sales and issuances of our capital stock, or the perception that such sales may occur, could cause our stock price to decline.</w:t>
      </w:r>
    </w:p>
    <w:p>
      <w:pPr>
        <w:spacing w:after="0" w:line="117"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We have agreed, subject to specified exceptions, not to (i) offer, pledge, issue, sell, contract to sell, purchase, contract to purchase, lend or otherwise transfer or dispose of, directly or indirectly, any shares of our common stock or any securities convertible into or exercisable or exchangeable for our common stock,</w:t>
      </w:r>
    </w:p>
    <w:p>
      <w:pPr>
        <w:ind w:right="120" w:firstLine="8"/>
        <w:spacing w:after="0" w:line="270"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our common stock, or (iii) file any registration statement with the SEC relating to the offering of any shares of our common stock or any securities convertible into or exercisable or exchangeable for our common stock, except for a registration statement on Form S-4 in connection with a business combination transaction or a registration statement on Form S-8 with respect to the registration of shares of our common stock to be issued under equity incentive plans for our employees until December 9, 2019 (the date that is 180 days following the date of the Final Prospectus). However, Roth Capital Partners, LLC, may release us from any or all of the restrictions in the preceding sentence prior to the expiration of the restricted period.</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officers and directors have agreed, subject to specified exceptions, not to dispose of or hedge any of our common stock until June 12, 2020 (the date that is twelve months after the date of the Final Prospectus). Holders of all or substantially all our outstanding securities have agreed, subject to specified exceptions, not to dispose of or hedge our common stock until (i) December 9, 2019 (a period of 180 days after the date of the Final Prospectus, (ii) March 12, 2020 (a period of 9 months after the date of the Final Prospectus), (iii) June 12, 2020 (a period of 12 months after the date of the Final Prospectus) (iv) September 12, 2020 (a period of 15 months after the date of the Final Prospectus), (v) December 12, 2020 (a period of 18 months after the date of uthe Final Prospectus), or (vi) March 12, 2021 (a period of 21 months after the date of the Final Prospectus). However, Roth Capital Partners, LLC, may release all or any portion of the shares subject to the lock-up restrictions prior to the expiration of the restricted periods.</w:t>
      </w:r>
    </w:p>
    <w:p>
      <w:pPr>
        <w:spacing w:after="0" w:line="17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may issue additional securities following the date of this Quarterly Report on Form 10-Q.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An aggregate of 2,406,618 shares of restricted common stock granted to certain of our employees, including certain of our executive officers, pursuant to the Mohawk Group Holdings, Inc. 2019 Equity Plan (the “2019 Equity Plan”) will vest in four equal installments on the 6, 12, 18 and 24 month anniversaries of June 14, 2019 (the date of the closing of our initial public offering), and we expect our stock-based compensation expense to increase materially in the future from the issuance and vesting of restricted common stock granted pursuant to the 2019 Equity Plan.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Moreover, we are required to file a registration statement for the public resale by stockholders owning 66.8% of our outstanding common stock by December 10, 2019 (the date that is 181 days following the date of the Final Prospectus). Registration of these shares under the Securities Act of 1933, as amended (the “Securities Act”), would result in the shares becoming freely tradable without restriction under the Securities Act, except for shares held by our affiliates and subject to certain other conditions, such as the lock-up restrictions described above. Any sales of securities by these stockholders could have a material adverse effect on the trading price of our common stock.</w:t>
      </w:r>
    </w:p>
    <w:p>
      <w:pPr>
        <w:spacing w:after="0" w:line="29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Substantial blocks of our total outstanding shares may be sold into the market when the lock-up period ends. If there are substantial sales of shares of our common stock, or the market perception that such sales may occur, the price of our common stock could decline.</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Certain shares held by our directors, officers and stockholders and holders of options and warrants are currently restricted from resale as a result of a contractual “lock-up” restriction. These shares will become available to be sold at varying times following effectiveness of a future registration statement and expiration of the applicable lock-up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ind w:right="280"/>
        <w:spacing w:after="0" w:line="257" w:lineRule="auto"/>
        <w:rPr>
          <w:sz w:val="20"/>
          <w:szCs w:val="20"/>
          <w:color w:val="auto"/>
        </w:rPr>
      </w:pPr>
      <w:r>
        <w:rPr>
          <w:rFonts w:ascii="Arial" w:cs="Arial" w:eastAsia="Arial" w:hAnsi="Arial"/>
          <w:sz w:val="18"/>
          <w:szCs w:val="18"/>
          <w:color w:val="auto"/>
        </w:rPr>
        <w:t>In addition, we intend to file one or more registration statements to register the shares of common stock subject to outstanding options under our equity incentive plans and the shares reserved for awards available for future issuance under our equity incentive plans. Shares registered on these registration statements would be eligible for sale to the public, subject to certain legal and contractual limitations. 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may not declare or pay cash dividends on our capital stock in the near future, and our revolving credit facility and term loan contain restrictive covenants that limit our ability to pay dividends. We currently intend to retain any future earnings to finance the operation and expansion of our business, and we do not expect to declare or pay any dividends in the foreseeable future. Consequently, stockholders must rely on sales of their common stock after price appreciation as the only way to realize any future gains on their investment.</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June 30, 2019, our executive officers, directors and the holders of more than 5% of our outstanding common stock in the aggregate beneficially own approximately 55.8%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MV II, LLC, Dr. Larisa Storozhenko and Mr. Maximus Yaney (collectively, the “Designating Parties”) have entered into a voting agreement with Asher Delug and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SaaS business as part of a reorganization of us approved by our board of directors. In addition, the rights and obligations under the Restated Voting Agreement will terminate with respect shares of capital stock sold by a Designating Party in connection with any arm’s length transaction to a third party that is not a Designating Party, an affiliate of a Designating Party or any other individual or party that has a direct or indirect familial relationship with any Designating Party.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right="20"/>
        <w:spacing w:after="0" w:line="254" w:lineRule="auto"/>
        <w:rPr>
          <w:sz w:val="20"/>
          <w:szCs w:val="20"/>
          <w:color w:val="auto"/>
        </w:rPr>
      </w:pPr>
      <w:r>
        <w:rPr>
          <w:rFonts w:ascii="Arial" w:cs="Arial" w:eastAsia="Arial" w:hAnsi="Arial"/>
          <w:sz w:val="18"/>
          <w:szCs w:val="18"/>
          <w:color w:val="auto"/>
        </w:rPr>
        <w:t>On April 12, 2019, Asher Delug entered into a voting agreement with us on substantially the same terms as the Restated Voting Agreement (the “Delug Voting Agreement”), pursuant to which Mr. Delug agreed to relinquish the right to vote his shares of capital stock of, and any other equity interest in, us (collectively, the “Delug Voting Interests”) by granting our board of directors the sole right to vote all of the Delug Voting Interests as Mr. Delug’s proxyholder. The Delug Voting Interests include all shares of our common stock currently held by Mr. Delug, as well as any of our securities or other equity interests acquired by Mr. Delug in the future. Pursuant to the proxy granted by Mr. Delug, our board of directors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we receive the prior approval of The Nasdaq Stock Market LLC.</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Delug Voting Agreement became effective on June 12, 2019, and it will continue until the earlier to occur of (a) a Deemed Liquidation Event unless, immediately upon such Deemed Liquidation Event, our common stock is and remains listed on The Nasdaq Stock Market LLC, or (b) Mr. Delug’s death. The definition of “Deemed Liquidation Event” in the Delug Voting Agreement is the same as the definition in the Restated Voting Agreement. In addition, the rights and obligations under the Delug Voting Agreement will terminate with respect shares of capital stock sold by Mr. Delug in connection with any arm’s length transaction to a third party that is not an affiliate of Mr. Delug or any other individual or party that has a direct or indirect familial relationship with Mr. Delug.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We will need to hire additional accounting and financial staff with appropriate public company experience and technical accounting knowledge and maintain an internal audit function. We cannot predict or estimate the amount of additional costs we may incur as a result of operating as a public company or the timing of such costs.</w:t>
      </w:r>
    </w:p>
    <w:p>
      <w:pPr>
        <w:spacing w:after="0" w:line="18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disclosure of information in our publicly-filed documents,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29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the General Corporation Law of the State of Delaware (the “DGCL”) could make an acquisition of us more difficult and may prevent attempts by our stockholders to replace or remove our management.</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because we are incorporated in Delaware, we are governed by the provisions of Section 203 of the DGCL, which prohibits stockholders owning in excess of 15% of the outstanding combined organization voting stock from merging or combining with the combined organization.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our board of directors, which is responsible for appointing the members of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us and may affect the trading price of our common stock.</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shares of our capital stock to a potential acquiror or delay or prevent changes in control or changes in our management without the consent of our board of directors. Our charter documents include the following provisions:</w:t>
      </w:r>
    </w:p>
    <w:p>
      <w:pPr>
        <w:spacing w:after="0" w:line="73" w:lineRule="exact"/>
        <w:rPr>
          <w:sz w:val="20"/>
          <w:szCs w:val="20"/>
          <w:color w:val="auto"/>
        </w:rPr>
      </w:pPr>
    </w:p>
    <w:p>
      <w:pPr>
        <w:ind w:left="1040" w:right="3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3"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stockholders or a hostile acquiror;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040" w:right="18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to adopt, amend or repeal our amended and restated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the chairperson of the board of directors, the chief executive officer or the president (in the absence of a chief executive officer)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These provisions could discourage, delay or prevent a transaction involving a change in control of us. These provisions could also discourage proxy contests and make it more difficult for stockholders to elect directors of their choosing and cause us to take other corporate actions our stockholders desire.</w:t>
      </w:r>
    </w:p>
    <w:p>
      <w:pPr>
        <w:spacing w:after="0" w:line="2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the Exchange Act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chief executive officer has limited experience managing a public company, interacting with public company investors and complying with the increasingly complex laws pertaining to public companies. Accordingly, our management team, as a whole,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particularly from our chief executive officer, and could divert their attention away from the day-to-day management of our business, which could adversely affect our business, operating results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issued the following securities that were not initially registered under the Securities Act:</w:t>
      </w:r>
    </w:p>
    <w:p>
      <w:pPr>
        <w:spacing w:after="0" w:line="225" w:lineRule="exact"/>
        <w:rPr>
          <w:sz w:val="20"/>
          <w:szCs w:val="20"/>
          <w:color w:val="auto"/>
        </w:rPr>
      </w:pPr>
    </w:p>
    <w:p>
      <w:pPr>
        <w:ind w:right="4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17, 2019, we issued an aggregate of 88,548 restricted shares of our common stock to certain of our directors, officers, employees, consultants and other service providers pursuant to the Mohawk Group Holdings, Inc. 2019 Equity Plan.</w:t>
      </w:r>
    </w:p>
    <w:p>
      <w:pPr>
        <w:spacing w:after="0" w:line="170"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June 12, 2019, we issued an aggregate of 64,982 restricted shares of our common stock to an executive officer pursuant to our 2018 Equity Incentive Plan.</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issuance of the restricted shares of our common stock pursuant to the above was not registered under the Securities Act in reliance upon Rule 701 promulgated under the Securities Act pursuant to benefit plans and contracts relating to compensation as provided under Rule 701.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12, 2019, our registration statement on Form S-1 (File No. 333-231381), as amended, relating to our IPO of common stock was declared effective by the SEC. The IPO closed on June 14, 2019 at which time we issued 3,600,000 shares of our common stock at an initial offering price to the public of $10.00 per share for gross proceeds of $36.0 million. We received net proceeds from the IPO of approximately $29.6 million, after deducting the underwriting discount of $2.5 million and other estimated offering-related expenses paid or payable by us of $3.9 million. None of the expenses associated with the IPO were paid to directors, officers, persons owning 10% or more of any class of equity securities, or to their associates, or to our affiliates. Roth Capital Partners, LLC and A.G.P./Alliance Global Partners acted as joint book-running managers, with National Securities Corporation as co-manager for the offering.</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Shares of our common stock began trading on the Nasdaq Capital Market on June 12, 2019. The shares were registered under the Securities Act on a registration statement on Form S-1 (File No. 333-231381),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have used $0.0 million of the net offering proceeds.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in the planned use of proceeds from the IPO from that described in the Final Prospectus, other than that we are no longer considering the acquisition of a home décor company and a personal health care company described in the Final Prospectus and therefore no proceeds from our IPO will be used for such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620" w:type="dxa"/>
            <w:vAlign w:val="bottom"/>
            <w:gridSpan w:val="26"/>
          </w:tcPr>
          <w:p>
            <w:pPr>
              <w:spacing w:after="0"/>
              <w:rPr>
                <w:sz w:val="20"/>
                <w:szCs w:val="20"/>
                <w:color w:val="auto"/>
              </w:rPr>
            </w:pPr>
            <w:r>
              <w:rPr>
                <w:rFonts w:ascii="Arial" w:cs="Arial" w:eastAsia="Arial" w:hAnsi="Arial"/>
                <w:sz w:val="18"/>
                <w:szCs w:val="18"/>
                <w:b w:val="1"/>
                <w:bCs w:val="1"/>
                <w:color w:val="auto"/>
              </w:rPr>
              <w:t>Item 6. Exhibits.</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2"/>
              </w:rPr>
              <w:t>Incorporated by Reference</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File</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8"/>
          </w:tcPr>
          <w:p>
            <w:pPr>
              <w:ind w:left="220"/>
              <w:spacing w:after="0"/>
              <w:rPr>
                <w:sz w:val="20"/>
                <w:szCs w:val="20"/>
                <w:color w:val="auto"/>
              </w:rPr>
            </w:pPr>
            <w:r>
              <w:rPr>
                <w:rFonts w:ascii="Arial" w:cs="Arial" w:eastAsia="Arial" w:hAnsi="Arial"/>
                <w:sz w:val="18"/>
                <w:szCs w:val="18"/>
                <w:b w:val="1"/>
                <w:bCs w:val="1"/>
                <w:color w:val="auto"/>
              </w:rPr>
              <w:t>Description</w:t>
            </w:r>
          </w:p>
        </w:tc>
        <w:tc>
          <w:tcPr>
            <w:tcW w:w="400" w:type="dxa"/>
            <w:vAlign w:val="bottom"/>
          </w:tcPr>
          <w:p>
            <w:pPr>
              <w:spacing w:after="0"/>
              <w:rPr>
                <w:sz w:val="20"/>
                <w:szCs w:val="20"/>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Filing Date</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91"/>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Amended and Restated Certificate of Incorporation of Mohawk Group Holdings,</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Inc.</w:t>
              </w:r>
            </w:hyperlink>
          </w:p>
        </w:tc>
        <w:tc>
          <w:tcPr>
            <w:tcW w:w="5540" w:type="dxa"/>
            <w:vAlign w:val="bottom"/>
            <w:tcBorders>
              <w:top w:val="single" w:sz="8" w:color="0000EE"/>
            </w:tcBorders>
            <w:gridSpan w:val="16"/>
          </w:tcPr>
          <w:p>
            <w:pPr>
              <w:spacing w:after="0"/>
              <w:rPr>
                <w:sz w:val="17"/>
                <w:szCs w:val="17"/>
                <w:color w:val="auto"/>
              </w:rPr>
            </w:pPr>
          </w:p>
        </w:tc>
        <w:tc>
          <w:tcPr>
            <w:tcW w:w="620" w:type="dxa"/>
            <w:vAlign w:val="bottom"/>
            <w:gridSpan w:val="7"/>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7/14/2019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r:id="rId103">
              <w:r>
                <w:rPr>
                  <w:rFonts w:ascii="Arial" w:cs="Arial" w:eastAsia="Arial" w:hAnsi="Arial"/>
                  <w:sz w:val="18"/>
                  <w:szCs w:val="18"/>
                  <w:color w:val="0000EE"/>
                </w:rPr>
                <w:t>Amended and Restated Bylaws of Mohawk Group Holdings, Inc.</w:t>
              </w:r>
            </w:hyperlink>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7/14/2019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4700" w:type="dxa"/>
            <w:vAlign w:val="bottom"/>
            <w:tcBorders>
              <w:top w:val="single" w:sz="8" w:color="0000EE"/>
            </w:tcBorders>
            <w:gridSpan w:val="10"/>
          </w:tcPr>
          <w:p>
            <w:pPr>
              <w:spacing w:after="0"/>
              <w:rPr>
                <w:rFonts w:ascii="Arial" w:cs="Arial" w:eastAsia="Arial" w:hAnsi="Arial"/>
                <w:sz w:val="18"/>
                <w:szCs w:val="18"/>
                <w:color w:val="0000EE"/>
              </w:rPr>
            </w:pPr>
            <w:hyperlink r:id="rId104">
              <w:r>
                <w:rPr>
                  <w:rFonts w:ascii="Arial" w:cs="Arial" w:eastAsia="Arial" w:hAnsi="Arial"/>
                  <w:sz w:val="18"/>
                  <w:szCs w:val="18"/>
                  <w:color w:val="0000EE"/>
                </w:rPr>
                <w:t>Form of Common Stock Certificate.</w:t>
              </w:r>
            </w:hyperlink>
          </w:p>
        </w:tc>
        <w:tc>
          <w:tcPr>
            <w:tcW w:w="1740" w:type="dxa"/>
            <w:vAlign w:val="bottom"/>
            <w:gridSpan w:val="14"/>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5/24/2019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6020" w:type="dxa"/>
            <w:vAlign w:val="bottom"/>
            <w:tcBorders>
              <w:bottom w:val="single" w:sz="8" w:color="0000EE"/>
            </w:tcBorders>
            <w:gridSpan w:val="22"/>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Registration Rights Agreement, dated as of April 6, 2018, among Mohawk</w:t>
              </w:r>
            </w:hyperlink>
          </w:p>
        </w:tc>
        <w:tc>
          <w:tcPr>
            <w:tcW w:w="4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Group Holdings, Inc. and the purchasers party thereto.</w:t>
              </w:r>
            </w:hyperlink>
          </w:p>
        </w:tc>
        <w:tc>
          <w:tcPr>
            <w:tcW w:w="2520" w:type="dxa"/>
            <w:vAlign w:val="bottom"/>
            <w:gridSpan w:val="15"/>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Warrant to Purchase Stock, issued to MidCap Financial Trust on September 4,</w:t>
              </w:r>
            </w:hyperlink>
          </w:p>
        </w:tc>
        <w:tc>
          <w:tcPr>
            <w:tcW w:w="80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60" w:type="dxa"/>
            <w:vAlign w:val="bottom"/>
            <w:gridSpan w:val="4"/>
          </w:tcPr>
          <w:p>
            <w:pPr>
              <w:ind w:left="180"/>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2018.</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24"/>
                <w:szCs w:val="24"/>
                <w:color w:val="auto"/>
              </w:rPr>
            </w:pPr>
          </w:p>
        </w:tc>
        <w:tc>
          <w:tcPr>
            <w:tcW w:w="6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Form of Warrant, issued to Katalyst Securities LLC and its assigns on September 4,</w:t>
              </w:r>
            </w:hyperlink>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60" w:type="dxa"/>
            <w:vAlign w:val="bottom"/>
            <w:gridSpan w:val="4"/>
          </w:tcPr>
          <w:p>
            <w:pPr>
              <w:ind w:left="180"/>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2018.</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4.5</w:t>
            </w:r>
          </w:p>
        </w:tc>
        <w:tc>
          <w:tcPr>
            <w:tcW w:w="180" w:type="dxa"/>
            <w:vAlign w:val="bottom"/>
          </w:tcPr>
          <w:p>
            <w:pPr>
              <w:spacing w:after="0"/>
              <w:rPr>
                <w:sz w:val="24"/>
                <w:szCs w:val="24"/>
                <w:color w:val="auto"/>
              </w:rPr>
            </w:pPr>
          </w:p>
        </w:tc>
        <w:tc>
          <w:tcPr>
            <w:tcW w:w="6000" w:type="dxa"/>
            <w:vAlign w:val="bottom"/>
            <w:tcBorders>
              <w:bottom w:val="single" w:sz="8" w:color="0000EE"/>
            </w:tcBorders>
            <w:gridSpan w:val="2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Form of Warrant, issued to Horizon Technology Finance Corporation on December</w:t>
              </w:r>
            </w:hyperlink>
          </w:p>
        </w:tc>
        <w:tc>
          <w:tcPr>
            <w:tcW w:w="4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60" w:type="dxa"/>
            <w:vAlign w:val="bottom"/>
            <w:gridSpan w:val="4"/>
          </w:tcPr>
          <w:p>
            <w:pPr>
              <w:ind w:left="180"/>
              <w:spacing w:after="0" w:line="196" w:lineRule="exact"/>
              <w:rPr>
                <w:rFonts w:ascii="Arial" w:cs="Arial" w:eastAsia="Arial" w:hAnsi="Arial"/>
                <w:sz w:val="18"/>
                <w:szCs w:val="18"/>
                <w:color w:val="0000EE"/>
                <w:w w:val="87"/>
              </w:rPr>
            </w:pPr>
            <w:hyperlink r:id="rId108">
              <w:r>
                <w:rPr>
                  <w:rFonts w:ascii="Arial" w:cs="Arial" w:eastAsia="Arial" w:hAnsi="Arial"/>
                  <w:sz w:val="18"/>
                  <w:szCs w:val="18"/>
                  <w:color w:val="0000EE"/>
                  <w:w w:val="87"/>
                </w:rPr>
                <w:t>31, 2018.</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410"/>
              <w:spacing w:after="0"/>
              <w:rPr>
                <w:sz w:val="20"/>
                <w:szCs w:val="20"/>
                <w:color w:val="auto"/>
              </w:rPr>
            </w:pPr>
            <w:r>
              <w:rPr>
                <w:rFonts w:ascii="Arial" w:cs="Arial" w:eastAsia="Arial" w:hAnsi="Arial"/>
                <w:sz w:val="18"/>
                <w:szCs w:val="18"/>
                <w:color w:val="auto"/>
                <w:w w:val="87"/>
              </w:rPr>
              <w:t>4.6</w:t>
            </w:r>
          </w:p>
        </w:tc>
        <w:tc>
          <w:tcPr>
            <w:tcW w:w="180" w:type="dxa"/>
            <w:vAlign w:val="bottom"/>
          </w:tcPr>
          <w:p>
            <w:pPr>
              <w:spacing w:after="0"/>
              <w:rPr>
                <w:sz w:val="24"/>
                <w:szCs w:val="24"/>
                <w:color w:val="auto"/>
              </w:rPr>
            </w:pPr>
          </w:p>
        </w:tc>
        <w:tc>
          <w:tcPr>
            <w:tcW w:w="5880" w:type="dxa"/>
            <w:vAlign w:val="bottom"/>
            <w:tcBorders>
              <w:bottom w:val="single" w:sz="8" w:color="0000EE"/>
            </w:tcBorders>
            <w:gridSpan w:val="19"/>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Amendment No. 1 to Registration Rights Agreement, dated as of March 2, 2019,</w:t>
              </w:r>
            </w:hyperlink>
          </w:p>
        </w:tc>
        <w:tc>
          <w:tcPr>
            <w:tcW w:w="5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among Mohawk Group Holdings, Inc. and the investors party thereto.</w:t>
              </w:r>
            </w:hyperlink>
          </w:p>
        </w:tc>
        <w:tc>
          <w:tcPr>
            <w:tcW w:w="1420" w:type="dxa"/>
            <w:vAlign w:val="bottom"/>
            <w:gridSpan w:val="13"/>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4.6</w:t>
            </w: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Indemnification Agreement.</w:t>
              </w:r>
            </w:hyperlink>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5/24/2019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390"/>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Voting Agreement, dated April 12, 2019, by and between Mohawk Group</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Holdings, Inc. and Asher Delug.</w:t>
              </w:r>
            </w:hyperlink>
          </w:p>
        </w:tc>
        <w:tc>
          <w:tcPr>
            <w:tcW w:w="2960" w:type="dxa"/>
            <w:vAlign w:val="bottom"/>
            <w:tcBorders>
              <w:top w:val="single" w:sz="8" w:color="0000EE"/>
            </w:tcBorders>
            <w:gridSpan w:val="7"/>
          </w:tcPr>
          <w:p>
            <w:pPr>
              <w:spacing w:after="0"/>
              <w:rPr>
                <w:sz w:val="17"/>
                <w:szCs w:val="17"/>
                <w:color w:val="auto"/>
              </w:rPr>
            </w:pPr>
          </w:p>
        </w:tc>
        <w:tc>
          <w:tcPr>
            <w:tcW w:w="1140" w:type="dxa"/>
            <w:vAlign w:val="bottom"/>
            <w:gridSpan w:val="12"/>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10.20</w:t>
            </w:r>
          </w:p>
        </w:tc>
        <w:tc>
          <w:tcPr>
            <w:tcW w:w="0" w:type="dxa"/>
            <w:vAlign w:val="bottom"/>
          </w:tcPr>
          <w:p>
            <w:pPr>
              <w:spacing w:after="0"/>
              <w:rPr>
                <w:sz w:val="1"/>
                <w:szCs w:val="1"/>
                <w:color w:val="auto"/>
              </w:rPr>
            </w:pPr>
          </w:p>
        </w:tc>
      </w:tr>
      <w:tr>
        <w:trPr>
          <w:trHeight w:val="318"/>
        </w:trPr>
        <w:tc>
          <w:tcPr>
            <w:tcW w:w="1000" w:type="dxa"/>
            <w:vAlign w:val="bottom"/>
          </w:tcPr>
          <w:p>
            <w:pPr>
              <w:jc w:val="center"/>
              <w:ind w:right="390"/>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w w:val="96"/>
              </w:rPr>
            </w:pPr>
            <w:hyperlink r:id="rId112">
              <w:r>
                <w:rPr>
                  <w:rFonts w:ascii="Arial" w:cs="Arial" w:eastAsia="Arial" w:hAnsi="Arial"/>
                  <w:sz w:val="18"/>
                  <w:szCs w:val="18"/>
                  <w:color w:val="0000EE"/>
                  <w:w w:val="96"/>
                </w:rPr>
                <w:t>Amendment No. 3 to Amended and Restated Credit and Security Agreement, dated</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as of May 13, 2019, by and among Mohawk Group Holdings, Inc., Mohawk</w:t>
              </w:r>
            </w:hyperlink>
          </w:p>
        </w:tc>
        <w:tc>
          <w:tcPr>
            <w:tcW w:w="500" w:type="dxa"/>
            <w:vAlign w:val="bottom"/>
            <w:tcBorders>
              <w:top w:val="single" w:sz="8" w:color="0000EE"/>
            </w:tcBorders>
            <w:gridSpan w:val="8"/>
          </w:tcPr>
          <w:p>
            <w:pPr>
              <w:spacing w:after="0"/>
              <w:rPr>
                <w:sz w:val="17"/>
                <w:szCs w:val="17"/>
                <w:color w:val="auto"/>
              </w:rPr>
            </w:pPr>
          </w:p>
        </w:tc>
        <w:tc>
          <w:tcPr>
            <w:tcW w:w="4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40" w:type="dxa"/>
            <w:vAlign w:val="bottom"/>
            <w:gridSpan w:val="24"/>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Group, Inc., certain subsidiaries of Mohawk Group, Inc. set forth on the signature</w:t>
              </w:r>
            </w:hyperlink>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pages thereto, MidCap Funding IV Trust, as agent, and the Lenders party thereto.</w:t>
              </w:r>
            </w:hyperlink>
          </w:p>
        </w:tc>
        <w:tc>
          <w:tcPr>
            <w:tcW w:w="20" w:type="dxa"/>
            <w:vAlign w:val="bottom"/>
            <w:tcBorders>
              <w:top w:val="single" w:sz="8" w:color="0000EE"/>
            </w:tcBorders>
          </w:tcPr>
          <w:p>
            <w:pPr>
              <w:spacing w:after="0"/>
              <w:rPr>
                <w:sz w:val="17"/>
                <w:szCs w:val="17"/>
                <w:color w:val="auto"/>
              </w:rPr>
            </w:pPr>
          </w:p>
        </w:tc>
        <w:tc>
          <w:tcPr>
            <w:tcW w:w="560" w:type="dxa"/>
            <w:vAlign w:val="bottom"/>
            <w:gridSpan w:val="5"/>
          </w:tcPr>
          <w:p>
            <w:pPr>
              <w:spacing w:after="0"/>
              <w:rPr>
                <w:sz w:val="17"/>
                <w:szCs w:val="17"/>
                <w:color w:val="auto"/>
              </w:rPr>
            </w:pPr>
          </w:p>
        </w:tc>
        <w:tc>
          <w:tcPr>
            <w:tcW w:w="6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333-231381</w:t>
            </w:r>
          </w:p>
        </w:tc>
        <w:tc>
          <w:tcPr>
            <w:tcW w:w="60" w:type="dxa"/>
            <w:vAlign w:val="bottom"/>
          </w:tcPr>
          <w:p>
            <w:pPr>
              <w:spacing w:after="0"/>
              <w:rPr>
                <w:sz w:val="17"/>
                <w:szCs w:val="17"/>
                <w:color w:val="auto"/>
              </w:rPr>
            </w:pP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5/24/2019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594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the Principal Executive Officer pursuant to Rule 13a-14(a) or 15d-</w:t>
              </w:r>
            </w:hyperlink>
          </w:p>
        </w:tc>
        <w:tc>
          <w:tcPr>
            <w:tcW w:w="5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14(a) of the Securities Exchange Act of 1934.</w:t>
              </w:r>
            </w:hyperlink>
          </w:p>
        </w:tc>
        <w:tc>
          <w:tcPr>
            <w:tcW w:w="314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Certification of the Principal Financial Officer pursuant to Rule 13a-14(a) or 15d-</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14(a) of the Securities Exchange Act of 1934.</w:t>
              </w:r>
            </w:hyperlink>
          </w:p>
        </w:tc>
        <w:tc>
          <w:tcPr>
            <w:tcW w:w="2580" w:type="dxa"/>
            <w:vAlign w:val="bottom"/>
            <w:tcBorders>
              <w:top w:val="single" w:sz="8" w:color="0000EE"/>
            </w:tcBorders>
            <w:gridSpan w:val="11"/>
          </w:tcPr>
          <w:p>
            <w:pPr>
              <w:spacing w:after="0"/>
              <w:rPr>
                <w:sz w:val="17"/>
                <w:szCs w:val="17"/>
                <w:color w:val="auto"/>
              </w:rPr>
            </w:pPr>
          </w:p>
        </w:tc>
        <w:tc>
          <w:tcPr>
            <w:tcW w:w="5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644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Certification of the Principal Executive Officer and Principal Financial Officer</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pursuant to 18 U.S.C. Section 1350, as adopted pursuant to Section 906 of the</w:t>
              </w:r>
            </w:hyperlink>
          </w:p>
        </w:tc>
        <w:tc>
          <w:tcPr>
            <w:tcW w:w="40" w:type="dxa"/>
            <w:vAlign w:val="bottom"/>
            <w:tcBorders>
              <w:top w:val="single" w:sz="8" w:color="0000EE"/>
            </w:tcBorders>
            <w:gridSpan w:val="2"/>
          </w:tcPr>
          <w:p>
            <w:pPr>
              <w:spacing w:after="0"/>
              <w:rPr>
                <w:sz w:val="17"/>
                <w:szCs w:val="17"/>
                <w:color w:val="auto"/>
              </w:rPr>
            </w:pPr>
          </w:p>
        </w:tc>
        <w:tc>
          <w:tcPr>
            <w:tcW w:w="7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Sarbanes-Oxley Act of 2002.</w:t>
              </w:r>
            </w:hyperlink>
          </w:p>
        </w:tc>
        <w:tc>
          <w:tcPr>
            <w:tcW w:w="434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644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Filed herewith.</w:t>
      </w:r>
    </w:p>
    <w:p>
      <w:pPr>
        <w:spacing w:after="0" w:line="2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7" w:lineRule="exact"/>
        <w:rPr>
          <w:sz w:val="20"/>
          <w:szCs w:val="20"/>
          <w:color w:val="auto"/>
        </w:rPr>
      </w:pPr>
    </w:p>
    <w:p>
      <w:pPr>
        <w:ind w:left="520" w:right="380" w:hanging="512"/>
        <w:spacing w:after="0" w:line="290"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2"/>
          </w:tcPr>
          <w:p>
            <w:pPr>
              <w:ind w:left="2640"/>
              <w:spacing w:after="0"/>
              <w:rPr>
                <w:sz w:val="20"/>
                <w:szCs w:val="20"/>
                <w:color w:val="auto"/>
              </w:rPr>
            </w:pPr>
            <w:r>
              <w:rPr>
                <w:rFonts w:ascii="Arial" w:cs="Arial" w:eastAsia="Arial" w:hAnsi="Arial"/>
                <w:sz w:val="18"/>
                <w:szCs w:val="18"/>
                <w:b w:val="1"/>
                <w:bCs w:val="1"/>
                <w:color w:val="auto"/>
              </w:rPr>
              <w:t>MOHAWK GROUP HOLDINGS, INC.</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August 1, 2019</w:t>
            </w: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August 1, 2019</w:t>
            </w: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Fabrice Hamaide</w:t>
            </w:r>
          </w:p>
        </w:tc>
      </w:tr>
      <w:tr>
        <w:trPr>
          <w:trHeight w:val="211"/>
        </w:trPr>
        <w:tc>
          <w:tcPr>
            <w:tcW w:w="41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Fabrice Hamaide</w:t>
            </w:r>
          </w:p>
        </w:tc>
      </w:tr>
    </w:tbl>
    <w:p>
      <w:pPr>
        <w:ind w:left="7280"/>
        <w:spacing w:after="0"/>
        <w:rPr>
          <w:sz w:val="20"/>
          <w:szCs w:val="20"/>
          <w:color w:val="auto"/>
        </w:rPr>
      </w:pPr>
      <w:r>
        <w:rPr>
          <w:rFonts w:ascii="Arial" w:cs="Arial" w:eastAsia="Arial" w:hAnsi="Arial"/>
          <w:sz w:val="18"/>
          <w:szCs w:val="18"/>
          <w:i w:val="1"/>
          <w:iCs w:val="1"/>
          <w:color w:val="auto"/>
        </w:rPr>
        <w:t>Chief Financial Officer and Director</w:t>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72"/>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200" w:firstLine="8"/>
        <w:spacing w:after="0" w:line="26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60" w:right="160" w:firstLine="8"/>
        <w:spacing w:after="0" w:line="306"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400" w:firstLine="8"/>
        <w:spacing w:after="0" w:line="277" w:lineRule="auto"/>
        <w:tabs>
          <w:tab w:leader="none" w:pos="7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40" w:right="100" w:hanging="9"/>
        <w:spacing w:after="0" w:line="264"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140" w:right="400" w:hanging="9"/>
        <w:spacing w:after="0" w:line="325"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80" w:hanging="9"/>
        <w:spacing w:after="0" w:line="264"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60" w:right="100" w:firstLine="8"/>
        <w:spacing w:after="0" w:line="306" w:lineRule="auto"/>
        <w:tabs>
          <w:tab w:leader="none" w:pos="73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40" w:hanging="9"/>
        <w:spacing w:after="0" w:line="325"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320" w:hanging="9"/>
        <w:spacing w:after="0" w:line="277" w:lineRule="auto"/>
        <w:tabs>
          <w:tab w:leader="none" w:pos="13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Fabrice Hamaide, certify that:</w:t>
      </w:r>
    </w:p>
    <w:p>
      <w:pPr>
        <w:spacing w:after="0" w:line="77" w:lineRule="exact"/>
        <w:rPr>
          <w:sz w:val="20"/>
          <w:szCs w:val="20"/>
          <w:color w:val="auto"/>
        </w:rPr>
      </w:pPr>
    </w:p>
    <w:p>
      <w:pPr>
        <w:ind w:left="740" w:hanging="172"/>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200" w:firstLine="8"/>
        <w:spacing w:after="0" w:line="264"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60" w:right="160" w:firstLine="8"/>
        <w:spacing w:after="0" w:line="306"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400" w:firstLine="8"/>
        <w:spacing w:after="0" w:line="277" w:lineRule="auto"/>
        <w:tabs>
          <w:tab w:leader="none" w:pos="7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40" w:right="100" w:hanging="9"/>
        <w:spacing w:after="0" w:line="264"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140" w:right="400" w:hanging="9"/>
        <w:spacing w:after="0" w:line="325" w:lineRule="auto"/>
        <w:tabs>
          <w:tab w:leader="none" w:pos="13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80" w:hanging="9"/>
        <w:spacing w:after="0" w:line="264"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60" w:right="100" w:firstLine="8"/>
        <w:spacing w:after="0" w:line="306" w:lineRule="auto"/>
        <w:tabs>
          <w:tab w:leader="none" w:pos="73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40" w:hanging="9"/>
        <w:spacing w:after="0" w:line="325"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320" w:hanging="9"/>
        <w:spacing w:after="0" w:line="277"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Fabrice Hamaide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560"/>
        <w:spacing w:after="0" w:line="264" w:lineRule="auto"/>
        <w:rPr>
          <w:sz w:val="20"/>
          <w:szCs w:val="20"/>
          <w:color w:val="auto"/>
        </w:rPr>
      </w:pPr>
      <w:r>
        <w:rPr>
          <w:rFonts w:ascii="Arial" w:cs="Arial" w:eastAsia="Arial" w:hAnsi="Arial"/>
          <w:sz w:val="18"/>
          <w:szCs w:val="18"/>
          <w:color w:val="auto"/>
        </w:rPr>
        <w:t>In connection with the Quarterly Report on Form 10-Q of Mohawk Group Holdings, Inc. (the “Company”) for the period ended June 30, 2019 as filed with the Securities and Exchange Commission on the date hereof (the “Report”), the undersigned hereby certify, pursuant to 18 U.S.C. Section 1350, as adopted pursuant to Section 906 of the Sarbanes-Oxley Act of 2002, to their knowledge that:</w:t>
      </w:r>
    </w:p>
    <w:p>
      <w:pPr>
        <w:spacing w:after="0" w:line="33" w:lineRule="exact"/>
        <w:rPr>
          <w:sz w:val="20"/>
          <w:szCs w:val="20"/>
          <w:color w:val="auto"/>
        </w:rPr>
      </w:pPr>
    </w:p>
    <w:p>
      <w:pPr>
        <w:ind w:left="820" w:hanging="252"/>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20" w:hanging="252"/>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300" w:type="dxa"/>
            <w:vAlign w:val="bottom"/>
          </w:tcPr>
          <w:p>
            <w:pPr>
              <w:spacing w:after="0"/>
              <w:rPr>
                <w:sz w:val="21"/>
                <w:szCs w:val="21"/>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Fabrice Hamaide</w:t>
            </w: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5440" w:type="dxa"/>
            <w:vAlign w:val="bottom"/>
          </w:tcPr>
          <w:p>
            <w:pPr>
              <w:spacing w:after="0"/>
              <w:rPr>
                <w:sz w:val="20"/>
                <w:szCs w:val="20"/>
                <w:color w:val="auto"/>
              </w:rPr>
            </w:pPr>
            <w:r>
              <w:rPr>
                <w:rFonts w:ascii="Arial" w:cs="Arial" w:eastAsia="Arial" w:hAnsi="Arial"/>
                <w:sz w:val="18"/>
                <w:szCs w:val="18"/>
                <w:color w:val="auto"/>
              </w:rPr>
              <w:t>Fabrice Hamaide</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August 1, 2019</w:t>
            </w:r>
          </w:p>
        </w:tc>
        <w:tc>
          <w:tcPr>
            <w:tcW w:w="5440" w:type="dxa"/>
            <w:vAlign w:val="bottom"/>
          </w:tcPr>
          <w:p>
            <w:pPr>
              <w:spacing w:after="0"/>
              <w:rPr>
                <w:sz w:val="20"/>
                <w:szCs w:val="20"/>
                <w:color w:val="auto"/>
              </w:rPr>
            </w:pPr>
            <w:r>
              <w:rPr>
                <w:rFonts w:ascii="Arial" w:cs="Arial" w:eastAsia="Arial" w:hAnsi="Arial"/>
                <w:sz w:val="18"/>
                <w:szCs w:val="18"/>
                <w:color w:val="auto"/>
              </w:rPr>
              <w:t>August 1, 2019</w:t>
            </w:r>
          </w:p>
        </w:tc>
      </w:tr>
    </w:tbl>
    <w:p>
      <w:pPr>
        <w:spacing w:after="0" w:line="175" w:lineRule="exact"/>
        <w:rPr>
          <w:sz w:val="20"/>
          <w:szCs w:val="20"/>
          <w:color w:val="auto"/>
        </w:rPr>
      </w:pPr>
    </w:p>
    <w:p>
      <w:pPr>
        <w:ind w:right="480" w:firstLine="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60" w:firstLine="560"/>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lowerRoman"/>
      <w:start w:val="3"/>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lowerLetter"/>
      <w:start w:val="2"/>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Roman"/>
      <w:start w:val="2"/>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02" Type="http://schemas.openxmlformats.org/officeDocument/2006/relationships/hyperlink" Target="http://www.sec.gov/Archives/edgar/data/1757715/000119312519173667/d826688dex31.htm" TargetMode="External"/><Relationship Id="rId103" Type="http://schemas.openxmlformats.org/officeDocument/2006/relationships/hyperlink" Target="http://www.sec.gov/Archives/edgar/data/1757715/000119312519173667/d826688dex32.htm" TargetMode="External"/><Relationship Id="rId104" Type="http://schemas.openxmlformats.org/officeDocument/2006/relationships/hyperlink" Target="http://www.sec.gov/Archives/edgar/data/1757715/000119312519157090/d639806dex41.htm" TargetMode="External"/><Relationship Id="rId105" Type="http://schemas.openxmlformats.org/officeDocument/2006/relationships/hyperlink" Target="http://www.sec.gov/Archives/edgar/data/1757715/000119312519144273/d639806dex42.htm" TargetMode="External"/><Relationship Id="rId106" Type="http://schemas.openxmlformats.org/officeDocument/2006/relationships/hyperlink" Target="http://www.sec.gov/Archives/edgar/data/1757715/000119312519144273/d639806dex43.htm" TargetMode="External"/><Relationship Id="rId107" Type="http://schemas.openxmlformats.org/officeDocument/2006/relationships/hyperlink" Target="http://www.sec.gov/Archives/edgar/data/1757715/000119312519144273/d639806dex44.htm" TargetMode="External"/><Relationship Id="rId108" Type="http://schemas.openxmlformats.org/officeDocument/2006/relationships/hyperlink" Target="http://www.sec.gov/Archives/edgar/data/1757715/000119312519144273/d639806dex45.htm" TargetMode="External"/><Relationship Id="rId109" Type="http://schemas.openxmlformats.org/officeDocument/2006/relationships/hyperlink" Target="http://www.sec.gov/Archives/edgar/data/1757715/000119312519144273/d639806dex46.htm" TargetMode="External"/><Relationship Id="rId110" Type="http://schemas.openxmlformats.org/officeDocument/2006/relationships/hyperlink" Target="http://www.sec.gov/Archives/edgar/data/1757715/000119312519157090/d639806dex101.htm" TargetMode="External"/><Relationship Id="rId111" Type="http://schemas.openxmlformats.org/officeDocument/2006/relationships/hyperlink" Target="http://www.sec.gov/Archives/edgar/data/1757715/000119312519144273/d639806dex1020.htm" TargetMode="External"/><Relationship Id="rId112" Type="http://schemas.openxmlformats.org/officeDocument/2006/relationships/hyperlink" Target="http://www.sec.gov/Archives/edgar/data/1757715/000119312519157090/d639806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2019-12-28T09:02:11Z</dcterms:created>
  <dcterms:modified xsi:type="dcterms:W3CDTF">2019-12-28T09:02:11Z</dcterms:modified>
</cp:coreProperties>
</file>