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Rodriguez Arturo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SPRINGFIELD AVENUE SUITE #200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SUMMIT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Aterian,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ATER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2"/>
        <w:gridCol w:w="918"/>
        <w:gridCol w:w="786"/>
        <w:gridCol w:w="661"/>
        <w:gridCol w:w="299"/>
        <w:gridCol w:w="937"/>
        <w:gridCol w:w="452"/>
        <w:gridCol w:w="617"/>
        <w:gridCol w:w="1288"/>
        <w:gridCol w:w="1002"/>
        <w:gridCol w:w="93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1,081,148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Comprised of shares of restricted common stock granted pursuant to the Issuer's 2018 Equity Incentive Plan that are subject to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award was granted outside of the Company's regular annual equity grant cycle and was approved by the Compensation Committee for retention purposes.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Arturo Rodriguez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4895" TargetMode="External"/><Relationship Id="rId5" Type="http://schemas.openxmlformats.org/officeDocument/2006/relationships/hyperlink" Target="http://www.sec.gov/cgi-bin/browse-edgar?action=getcompany&amp;CIK=00017577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3302</Characters>
  <CharactersWithSpaces>3847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