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640" w:hanging="3652"/>
        <w:spacing w:after="0" w:line="493" w:lineRule="auto"/>
        <w:tabs>
          <w:tab w:leader="none" w:pos="4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Aterian,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338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Delaware</w:t>
            </w:r>
          </w:p>
        </w:tc>
        <w:tc>
          <w:tcPr>
            <w:tcW w:w="4720" w:type="dxa"/>
            <w:vAlign w:val="bottom"/>
          </w:tcPr>
          <w:p>
            <w:pPr>
              <w:jc w:val="right"/>
              <w:ind w:right="370"/>
              <w:spacing w:after="0"/>
              <w:rPr>
                <w:sz w:val="20"/>
                <w:szCs w:val="20"/>
                <w:color w:val="auto"/>
              </w:rPr>
            </w:pPr>
            <w:r>
              <w:rPr>
                <w:rFonts w:ascii="Arial" w:cs="Arial" w:eastAsia="Arial" w:hAnsi="Arial"/>
                <w:sz w:val="18"/>
                <w:szCs w:val="18"/>
                <w:b w:val="1"/>
                <w:bCs w:val="1"/>
                <w:color w:val="auto"/>
              </w:rPr>
              <w:t>83-1739858</w:t>
            </w:r>
          </w:p>
        </w:tc>
      </w:tr>
      <w:tr>
        <w:trPr>
          <w:trHeight w:val="216"/>
        </w:trPr>
        <w:tc>
          <w:tcPr>
            <w:tcW w:w="33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(State or other jurisdiction of</w:t>
            </w:r>
          </w:p>
        </w:tc>
        <w:tc>
          <w:tcPr>
            <w:tcW w:w="4720" w:type="dxa"/>
            <w:vAlign w:val="bottom"/>
          </w:tcPr>
          <w:p>
            <w:pPr>
              <w:jc w:val="center"/>
              <w:ind w:left="28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3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incorporation or organization)</w:t>
            </w:r>
          </w:p>
        </w:tc>
        <w:tc>
          <w:tcPr>
            <w:tcW w:w="4720" w:type="dxa"/>
            <w:vAlign w:val="bottom"/>
          </w:tcPr>
          <w:p>
            <w:pPr>
              <w:jc w:val="center"/>
              <w:ind w:left="28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33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350 Springfield Avenue, Suite 200</w:t>
            </w:r>
          </w:p>
        </w:tc>
        <w:tc>
          <w:tcPr>
            <w:tcW w:w="4720" w:type="dxa"/>
            <w:vAlign w:val="bottom"/>
          </w:tcPr>
          <w:p>
            <w:pPr>
              <w:spacing w:after="0"/>
              <w:rPr>
                <w:sz w:val="24"/>
                <w:szCs w:val="24"/>
                <w:color w:val="auto"/>
              </w:rPr>
            </w:pPr>
          </w:p>
        </w:tc>
      </w:tr>
      <w:tr>
        <w:trPr>
          <w:trHeight w:val="216"/>
        </w:trPr>
        <w:tc>
          <w:tcPr>
            <w:tcW w:w="338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Summit, NJ</w:t>
            </w:r>
          </w:p>
        </w:tc>
        <w:tc>
          <w:tcPr>
            <w:tcW w:w="4720" w:type="dxa"/>
            <w:vAlign w:val="bottom"/>
          </w:tcPr>
          <w:p>
            <w:pPr>
              <w:jc w:val="right"/>
              <w:ind w:right="570"/>
              <w:spacing w:after="0"/>
              <w:rPr>
                <w:sz w:val="20"/>
                <w:szCs w:val="20"/>
                <w:color w:val="auto"/>
              </w:rPr>
            </w:pPr>
            <w:r>
              <w:rPr>
                <w:rFonts w:ascii="Arial" w:cs="Arial" w:eastAsia="Arial" w:hAnsi="Arial"/>
                <w:sz w:val="18"/>
                <w:szCs w:val="18"/>
                <w:b w:val="1"/>
                <w:bCs w:val="1"/>
                <w:color w:val="auto"/>
              </w:rPr>
              <w:t>07901</w:t>
            </w:r>
          </w:p>
        </w:tc>
      </w:tr>
      <w:tr>
        <w:trPr>
          <w:trHeight w:val="234"/>
        </w:trPr>
        <w:tc>
          <w:tcPr>
            <w:tcW w:w="338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720" w:type="dxa"/>
            <w:vAlign w:val="bottom"/>
          </w:tcPr>
          <w:p>
            <w:pPr>
              <w:jc w:val="center"/>
              <w:ind w:left="2830"/>
              <w:spacing w:after="0"/>
              <w:rPr>
                <w:sz w:val="20"/>
                <w:szCs w:val="20"/>
                <w:color w:val="auto"/>
              </w:rPr>
            </w:pPr>
            <w:r>
              <w:rPr>
                <w:rFonts w:ascii="Arial" w:cs="Arial" w:eastAsia="Arial" w:hAnsi="Arial"/>
                <w:sz w:val="18"/>
                <w:szCs w:val="18"/>
                <w:b w:val="1"/>
                <w:bCs w:val="1"/>
                <w:color w:val="auto"/>
                <w:w w:val="94"/>
              </w:rPr>
              <w:t>(Zip Code)</w:t>
            </w:r>
          </w:p>
        </w:tc>
      </w:tr>
      <w:tr>
        <w:trPr>
          <w:trHeight w:val="432"/>
        </w:trPr>
        <w:tc>
          <w:tcPr>
            <w:tcW w:w="3380" w:type="dxa"/>
            <w:vAlign w:val="bottom"/>
          </w:tcPr>
          <w:p>
            <w:pPr>
              <w:spacing w:after="0"/>
              <w:rPr>
                <w:sz w:val="24"/>
                <w:szCs w:val="24"/>
                <w:color w:val="auto"/>
              </w:rPr>
            </w:pPr>
          </w:p>
        </w:tc>
        <w:tc>
          <w:tcPr>
            <w:tcW w:w="4720" w:type="dxa"/>
            <w:vAlign w:val="bottom"/>
          </w:tcPr>
          <w:p>
            <w:pPr>
              <w:jc w:val="right"/>
              <w:ind w:right="3110"/>
              <w:spacing w:after="0"/>
              <w:rPr>
                <w:sz w:val="20"/>
                <w:szCs w:val="20"/>
                <w:color w:val="auto"/>
              </w:rPr>
            </w:pPr>
            <w:r>
              <w:rPr>
                <w:rFonts w:ascii="Arial" w:cs="Arial" w:eastAsia="Arial" w:hAnsi="Arial"/>
                <w:sz w:val="18"/>
                <w:szCs w:val="18"/>
                <w:b w:val="1"/>
                <w:bCs w:val="1"/>
                <w:color w:val="auto"/>
              </w:rPr>
              <w:t>(347) 676-1681</w:t>
            </w:r>
          </w:p>
        </w:tc>
      </w:tr>
    </w:tbl>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ind w:left="52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7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6"/>
              </w:rPr>
              <w:t>Title of each class</w:t>
            </w:r>
          </w:p>
        </w:tc>
        <w:tc>
          <w:tcPr>
            <w:tcW w:w="19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ATER</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18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6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0"/>
                <w:szCs w:val="20"/>
                <w:color w:val="auto"/>
              </w:rPr>
            </w:pPr>
            <w:r>
              <w:rPr>
                <w:rFonts w:ascii="Arial" w:cs="Arial" w:eastAsia="Arial" w:hAnsi="Arial"/>
                <w:sz w:val="18"/>
                <w:szCs w:val="18"/>
                <w:color w:val="auto"/>
                <w:w w:val="96"/>
              </w:rPr>
              <w:t>Emerging growth company</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9" w:lineRule="exact"/>
        <w:rPr>
          <w:sz w:val="24"/>
          <w:szCs w:val="24"/>
          <w:color w:val="auto"/>
        </w:rPr>
      </w:pPr>
    </w:p>
    <w:p>
      <w:pPr>
        <w:ind w:right="1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 2023, the registrant had 90,213,264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7"/>
          </w:tcPr>
          <w:p>
            <w:pPr>
              <w:ind w:left="5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9020" w:type="dxa"/>
            <w:vAlign w:val="bottom"/>
            <w:gridSpan w:val="18"/>
            <w:vMerge w:val="restart"/>
          </w:tcPr>
          <w:p>
            <w:pPr>
              <w:spacing w:after="0"/>
              <w:rPr>
                <w:sz w:val="20"/>
                <w:szCs w:val="20"/>
                <w:color w:val="auto"/>
              </w:rPr>
            </w:pPr>
            <w:r>
              <w:rPr>
                <w:rFonts w:ascii="Arial" w:cs="Arial" w:eastAsia="Arial" w:hAnsi="Arial"/>
                <w:sz w:val="18"/>
                <w:szCs w:val="18"/>
                <w:color w:val="0000EE"/>
              </w:rPr>
              <w:t>FINANCIAL INFORMATION</w:t>
            </w:r>
          </w:p>
        </w:tc>
        <w:tc>
          <w:tcPr>
            <w:tcW w:w="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500" w:type="dxa"/>
            <w:vAlign w:val="bottom"/>
            <w:gridSpan w:val="3"/>
            <w:vMerge w:val="continue"/>
          </w:tcPr>
          <w:p>
            <w:pPr>
              <w:spacing w:after="0"/>
              <w:rPr>
                <w:sz w:val="14"/>
                <w:szCs w:val="14"/>
                <w:color w:val="auto"/>
              </w:rPr>
            </w:pPr>
          </w:p>
        </w:tc>
        <w:tc>
          <w:tcPr>
            <w:tcW w:w="9020" w:type="dxa"/>
            <w:vAlign w:val="bottom"/>
            <w:gridSpan w:val="18"/>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2420" w:type="dxa"/>
            <w:vAlign w:val="bottom"/>
            <w:gridSpan w:val="10"/>
          </w:tcPr>
          <w:p>
            <w:pPr>
              <w:spacing w:after="0" w:line="196" w:lineRule="exact"/>
              <w:rPr>
                <w:sz w:val="20"/>
                <w:szCs w:val="20"/>
                <w:color w:val="auto"/>
              </w:rPr>
            </w:pPr>
            <w:r>
              <w:rPr>
                <w:rFonts w:ascii="Arial" w:cs="Arial" w:eastAsia="Arial" w:hAnsi="Arial"/>
                <w:sz w:val="18"/>
                <w:szCs w:val="18"/>
                <w:color w:val="0000EE"/>
                <w:w w:val="89"/>
              </w:rPr>
              <w:t>Financial Statements (Unaudited)</w:t>
            </w:r>
          </w:p>
        </w:tc>
        <w:tc>
          <w:tcPr>
            <w:tcW w:w="6600" w:type="dxa"/>
            <w:vAlign w:val="bottom"/>
            <w:gridSpan w:val="8"/>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gridSpan w:val="12"/>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w:t>
            </w:r>
          </w:p>
        </w:tc>
        <w:tc>
          <w:tcPr>
            <w:tcW w:w="5360" w:type="dxa"/>
            <w:vAlign w:val="bottom"/>
            <w:gridSpan w:val="6"/>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Arial" w:cs="Arial" w:eastAsia="Arial" w:hAnsi="Arial"/>
                <w:sz w:val="18"/>
                <w:szCs w:val="18"/>
                <w:color w:val="0000EE"/>
                <w:w w:val="88"/>
              </w:rPr>
              <w:t>Condensed Consolidated Statements of Comprehensive Loss</w:t>
            </w:r>
          </w:p>
        </w:tc>
        <w:tc>
          <w:tcPr>
            <w:tcW w:w="4640" w:type="dxa"/>
            <w:vAlign w:val="bottom"/>
            <w:gridSpan w:val="3"/>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Arial" w:cs="Arial" w:eastAsia="Arial" w:hAnsi="Arial"/>
                <w:sz w:val="18"/>
                <w:szCs w:val="18"/>
                <w:color w:val="0000EE"/>
              </w:rPr>
              <w:t>Condensed Consolidated Statements of Stockholder’s Equity</w:t>
            </w: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4640" w:type="dxa"/>
            <w:vAlign w:val="bottom"/>
            <w:gridSpan w:val="3"/>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Arial" w:cs="Arial" w:eastAsia="Arial" w:hAnsi="Arial"/>
                <w:sz w:val="18"/>
                <w:szCs w:val="18"/>
                <w:color w:val="0000EE"/>
              </w:rPr>
              <w:t>Notes to Unaudited Condensed Consolidated Financial Statements</w:t>
            </w: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9020" w:type="dxa"/>
            <w:vAlign w:val="bottom"/>
            <w:gridSpan w:val="18"/>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2060" w:type="dxa"/>
            <w:vAlign w:val="bottom"/>
            <w:tcBorders>
              <w:top w:val="single" w:sz="8" w:color="0000EE"/>
            </w:tcBorders>
            <w:gridSpan w:val="2"/>
          </w:tcPr>
          <w:p>
            <w:pPr>
              <w:spacing w:after="0"/>
              <w:rPr>
                <w:sz w:val="17"/>
                <w:szCs w:val="17"/>
                <w:color w:val="auto"/>
              </w:rPr>
            </w:pPr>
          </w:p>
        </w:tc>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44</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724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44</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8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OTHER INFORMATION</w:t>
            </w:r>
          </w:p>
        </w:tc>
        <w:tc>
          <w:tcPr>
            <w:tcW w:w="714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9020" w:type="dxa"/>
            <w:vAlign w:val="bottom"/>
            <w:gridSpan w:val="18"/>
          </w:tcPr>
          <w:p>
            <w:pPr>
              <w:spacing w:after="0" w:line="196" w:lineRule="exact"/>
              <w:rPr>
                <w:sz w:val="20"/>
                <w:szCs w:val="20"/>
                <w:color w:val="auto"/>
              </w:rPr>
            </w:pPr>
            <w:r>
              <w:rPr>
                <w:rFonts w:ascii="Arial" w:cs="Arial" w:eastAsia="Arial" w:hAnsi="Arial"/>
                <w:sz w:val="18"/>
                <w:szCs w:val="18"/>
                <w:color w:val="0000EE"/>
              </w:rPr>
              <w:t>Legal Proceedings</w:t>
            </w: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45</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2"/>
          </w:tcPr>
          <w:p>
            <w:pPr>
              <w:spacing w:after="0"/>
              <w:rPr>
                <w:sz w:val="17"/>
                <w:szCs w:val="17"/>
                <w:color w:val="auto"/>
              </w:rPr>
            </w:pPr>
          </w:p>
        </w:tc>
        <w:tc>
          <w:tcPr>
            <w:tcW w:w="770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45</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9020" w:type="dxa"/>
            <w:vAlign w:val="bottom"/>
            <w:gridSpan w:val="18"/>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48</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5"/>
          </w:tcPr>
          <w:p>
            <w:pPr>
              <w:spacing w:after="0"/>
              <w:rPr>
                <w:sz w:val="17"/>
                <w:szCs w:val="17"/>
                <w:color w:val="auto"/>
              </w:rPr>
            </w:pPr>
          </w:p>
        </w:tc>
        <w:tc>
          <w:tcPr>
            <w:tcW w:w="46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48</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020" w:type="dxa"/>
            <w:vAlign w:val="bottom"/>
            <w:gridSpan w:val="18"/>
          </w:tcPr>
          <w:p>
            <w:pPr>
              <w:spacing w:after="0" w:line="196" w:lineRule="exact"/>
              <w:rPr>
                <w:sz w:val="20"/>
                <w:szCs w:val="20"/>
                <w:color w:val="auto"/>
              </w:rPr>
            </w:pPr>
            <w:r>
              <w:rPr>
                <w:rFonts w:ascii="Arial" w:cs="Arial" w:eastAsia="Arial" w:hAnsi="Arial"/>
                <w:sz w:val="18"/>
                <w:szCs w:val="18"/>
                <w:color w:val="0000EE"/>
              </w:rPr>
              <w:t>Mine Safety Disclosures</w:t>
            </w: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48</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Other Information</w:t>
            </w:r>
          </w:p>
        </w:tc>
        <w:tc>
          <w:tcPr>
            <w:tcW w:w="726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48</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2"/>
          </w:tcPr>
          <w:p>
            <w:pPr>
              <w:spacing w:after="0"/>
              <w:rPr>
                <w:sz w:val="17"/>
                <w:szCs w:val="17"/>
                <w:color w:val="auto"/>
              </w:rPr>
            </w:pPr>
          </w:p>
        </w:tc>
        <w:tc>
          <w:tcPr>
            <w:tcW w:w="772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49</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Arial" w:cs="Arial" w:eastAsia="Arial" w:hAnsi="Arial"/>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50</w:t>
            </w:r>
          </w:p>
        </w:tc>
        <w:tc>
          <w:tcPr>
            <w:tcW w:w="0" w:type="dxa"/>
            <w:vAlign w:val="bottom"/>
          </w:tcPr>
          <w:p>
            <w:pPr>
              <w:spacing w:after="0"/>
              <w:rPr>
                <w:sz w:val="1"/>
                <w:szCs w:val="1"/>
                <w:color w:val="auto"/>
              </w:rPr>
            </w:pPr>
          </w:p>
        </w:tc>
      </w:tr>
      <w:tr>
        <w:trPr>
          <w:trHeight w:val="696"/>
        </w:trPr>
        <w:tc>
          <w:tcPr>
            <w:tcW w:w="7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4"/>
          </w:tcPr>
          <w:p>
            <w:pPr>
              <w:ind w:left="40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This Quarterly Report on Form 10-Q contains </w:t>
      </w:r>
      <w:r>
        <w:rPr>
          <w:rFonts w:ascii="Arial" w:cs="Arial" w:eastAsia="Arial" w:hAnsi="Arial"/>
          <w:sz w:val="18"/>
          <w:szCs w:val="18"/>
          <w:color w:val="auto"/>
        </w:rPr>
        <w:t>“</w:t>
      </w:r>
      <w:r>
        <w:rPr>
          <w:rFonts w:ascii="Arial" w:cs="Arial" w:eastAsia="Arial" w:hAnsi="Arial"/>
          <w:sz w:val="18"/>
          <w:szCs w:val="18"/>
          <w:i w:val="1"/>
          <w:iCs w:val="1"/>
          <w:color w:val="auto"/>
        </w:rPr>
        <w:t>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within the meaning of Section 27A of the Securities Act and Section 21E of the Securities Exchange Act of 1934 (the "Exchange Act"). Many of these statements can be identified by the use of terminology such as </w:t>
      </w:r>
      <w:r>
        <w:rPr>
          <w:rFonts w:ascii="Arial" w:cs="Arial" w:eastAsia="Arial" w:hAnsi="Arial"/>
          <w:sz w:val="18"/>
          <w:szCs w:val="18"/>
          <w:color w:val="auto"/>
        </w:rPr>
        <w:t>“</w:t>
      </w:r>
      <w:r>
        <w:rPr>
          <w:rFonts w:ascii="Arial" w:cs="Arial" w:eastAsia="Arial" w:hAnsi="Arial"/>
          <w:sz w:val="18"/>
          <w:szCs w:val="18"/>
          <w:i w:val="1"/>
          <w:iCs w:val="1"/>
          <w:color w:val="auto"/>
        </w:rPr>
        <w:t>believes,</w:t>
      </w:r>
      <w:r>
        <w:rPr>
          <w:rFonts w:ascii="Arial" w:cs="Arial" w:eastAsia="Arial" w:hAnsi="Arial"/>
          <w:sz w:val="18"/>
          <w:szCs w:val="18"/>
          <w:color w:val="auto"/>
        </w:rPr>
        <w:t>” “</w:t>
      </w:r>
      <w:r>
        <w:rPr>
          <w:rFonts w:ascii="Arial" w:cs="Arial" w:eastAsia="Arial" w:hAnsi="Arial"/>
          <w:sz w:val="18"/>
          <w:szCs w:val="18"/>
          <w:i w:val="1"/>
          <w:iCs w:val="1"/>
          <w:color w:val="auto"/>
        </w:rPr>
        <w:t>expects,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intends,</w:t>
      </w:r>
      <w:r>
        <w:rPr>
          <w:rFonts w:ascii="Arial" w:cs="Arial" w:eastAsia="Arial" w:hAnsi="Arial"/>
          <w:sz w:val="18"/>
          <w:szCs w:val="18"/>
          <w:color w:val="auto"/>
        </w:rPr>
        <w:t>” “</w:t>
      </w:r>
      <w:r>
        <w:rPr>
          <w:rFonts w:ascii="Arial" w:cs="Arial" w:eastAsia="Arial" w:hAnsi="Arial"/>
          <w:sz w:val="18"/>
          <w:szCs w:val="18"/>
          <w:i w:val="1"/>
          <w:iCs w:val="1"/>
          <w:color w:val="auto"/>
        </w:rPr>
        <w:t>anticipates,</w:t>
      </w:r>
      <w:r>
        <w:rPr>
          <w:rFonts w:ascii="Arial" w:cs="Arial" w:eastAsia="Arial" w:hAnsi="Arial"/>
          <w:sz w:val="18"/>
          <w:szCs w:val="18"/>
          <w:color w:val="auto"/>
        </w:rPr>
        <w:t>” “</w:t>
      </w:r>
      <w:r>
        <w:rPr>
          <w:rFonts w:ascii="Arial" w:cs="Arial" w:eastAsia="Arial" w:hAnsi="Arial"/>
          <w:sz w:val="18"/>
          <w:szCs w:val="18"/>
          <w:i w:val="1"/>
          <w:iCs w:val="1"/>
          <w:color w:val="auto"/>
        </w:rPr>
        <w:t>plans,</w:t>
      </w:r>
      <w:r>
        <w:rPr>
          <w:rFonts w:ascii="Arial" w:cs="Arial" w:eastAsia="Arial" w:hAnsi="Arial"/>
          <w:sz w:val="18"/>
          <w:szCs w:val="18"/>
          <w:color w:val="auto"/>
        </w:rPr>
        <w:t>” “</w:t>
      </w:r>
      <w:r>
        <w:rPr>
          <w:rFonts w:ascii="Arial" w:cs="Arial" w:eastAsia="Arial" w:hAnsi="Arial"/>
          <w:sz w:val="18"/>
          <w:szCs w:val="18"/>
          <w:i w:val="1"/>
          <w:iCs w:val="1"/>
          <w:color w:val="auto"/>
        </w:rPr>
        <w:t>may,</w:t>
      </w:r>
      <w:r>
        <w:rPr>
          <w:rFonts w:ascii="Arial" w:cs="Arial" w:eastAsia="Arial" w:hAnsi="Arial"/>
          <w:sz w:val="18"/>
          <w:szCs w:val="18"/>
          <w:color w:val="auto"/>
        </w:rPr>
        <w:t>” “</w:t>
      </w:r>
      <w:r>
        <w:rPr>
          <w:rFonts w:ascii="Arial" w:cs="Arial" w:eastAsia="Arial" w:hAnsi="Arial"/>
          <w:sz w:val="18"/>
          <w:szCs w:val="18"/>
          <w:i w:val="1"/>
          <w:iCs w:val="1"/>
          <w:color w:val="auto"/>
        </w:rPr>
        <w:t>will,</w:t>
      </w:r>
      <w:r>
        <w:rPr>
          <w:rFonts w:ascii="Arial" w:cs="Arial" w:eastAsia="Arial" w:hAnsi="Arial"/>
          <w:sz w:val="18"/>
          <w:szCs w:val="18"/>
          <w:color w:val="auto"/>
        </w:rPr>
        <w:t>” “</w:t>
      </w:r>
      <w:r>
        <w:rPr>
          <w:rFonts w:ascii="Arial" w:cs="Arial" w:eastAsia="Arial" w:hAnsi="Arial"/>
          <w:sz w:val="18"/>
          <w:szCs w:val="18"/>
          <w:i w:val="1"/>
          <w:iCs w:val="1"/>
          <w:color w:val="auto"/>
        </w:rPr>
        <w:t>could,</w:t>
      </w:r>
      <w:r>
        <w:rPr>
          <w:rFonts w:ascii="Arial" w:cs="Arial" w:eastAsia="Arial" w:hAnsi="Arial"/>
          <w:sz w:val="18"/>
          <w:szCs w:val="18"/>
          <w:color w:val="auto"/>
        </w:rPr>
        <w:t xml:space="preserve">” </w:t>
      </w:r>
      <w:r>
        <w:rPr>
          <w:rFonts w:ascii="Arial" w:cs="Arial" w:eastAsia="Arial" w:hAnsi="Arial"/>
          <w:sz w:val="18"/>
          <w:szCs w:val="18"/>
          <w:i w:val="1"/>
          <w:iCs w:val="1"/>
          <w:color w:val="auto"/>
        </w:rPr>
        <w:t>"would,</w:t>
      </w:r>
      <w:r>
        <w:rPr>
          <w:rFonts w:ascii="Arial" w:cs="Arial" w:eastAsia="Arial" w:hAnsi="Arial"/>
          <w:sz w:val="18"/>
          <w:szCs w:val="18"/>
          <w:color w:val="auto"/>
        </w:rPr>
        <w:t>” “</w:t>
      </w:r>
      <w:r>
        <w:rPr>
          <w:rFonts w:ascii="Arial" w:cs="Arial" w:eastAsia="Arial" w:hAnsi="Arial"/>
          <w:sz w:val="18"/>
          <w:szCs w:val="18"/>
          <w:i w:val="1"/>
          <w:iCs w:val="1"/>
          <w:color w:val="auto"/>
        </w:rPr>
        <w:t>projects,</w:t>
      </w:r>
      <w:r>
        <w:rPr>
          <w:rFonts w:ascii="Arial" w:cs="Arial" w:eastAsia="Arial" w:hAnsi="Arial"/>
          <w:sz w:val="18"/>
          <w:szCs w:val="18"/>
          <w:color w:val="auto"/>
        </w:rPr>
        <w:t>” “</w:t>
      </w:r>
      <w:r>
        <w:rPr>
          <w:rFonts w:ascii="Arial" w:cs="Arial" w:eastAsia="Arial" w:hAnsi="Arial"/>
          <w:sz w:val="18"/>
          <w:szCs w:val="18"/>
          <w:i w:val="1"/>
          <w:iCs w:val="1"/>
          <w:color w:val="auto"/>
        </w:rPr>
        <w:t>continues,</w:t>
      </w:r>
      <w:r>
        <w:rPr>
          <w:rFonts w:ascii="Arial" w:cs="Arial" w:eastAsia="Arial" w:hAnsi="Arial"/>
          <w:sz w:val="18"/>
          <w:szCs w:val="18"/>
          <w:color w:val="auto"/>
        </w:rPr>
        <w:t>” “</w:t>
      </w:r>
      <w:r>
        <w:rPr>
          <w:rFonts w:ascii="Arial" w:cs="Arial" w:eastAsia="Arial" w:hAnsi="Arial"/>
          <w:sz w:val="18"/>
          <w:szCs w:val="18"/>
          <w:i w:val="1"/>
          <w:iCs w:val="1"/>
          <w:color w:val="auto"/>
        </w:rPr>
        <w:t>estimates,</w:t>
      </w:r>
      <w:r>
        <w:rPr>
          <w:rFonts w:ascii="Arial" w:cs="Arial" w:eastAsia="Arial" w:hAnsi="Arial"/>
          <w:sz w:val="18"/>
          <w:szCs w:val="18"/>
          <w:color w:val="auto"/>
        </w:rPr>
        <w:t>” “</w:t>
      </w:r>
      <w:r>
        <w:rPr>
          <w:rFonts w:ascii="Arial" w:cs="Arial" w:eastAsia="Arial" w:hAnsi="Arial"/>
          <w:sz w:val="18"/>
          <w:szCs w:val="18"/>
          <w:i w:val="1"/>
          <w:iCs w:val="1"/>
          <w:color w:val="auto"/>
        </w:rPr>
        <w:t>potential,</w:t>
      </w:r>
      <w:r>
        <w:rPr>
          <w:rFonts w:ascii="Arial" w:cs="Arial" w:eastAsia="Arial" w:hAnsi="Arial"/>
          <w:sz w:val="18"/>
          <w:szCs w:val="18"/>
          <w:color w:val="auto"/>
        </w:rPr>
        <w:t>” “</w:t>
      </w:r>
      <w:r>
        <w:rPr>
          <w:rFonts w:ascii="Arial" w:cs="Arial" w:eastAsia="Arial" w:hAnsi="Arial"/>
          <w:sz w:val="18"/>
          <w:szCs w:val="18"/>
          <w:i w:val="1"/>
          <w:iCs w:val="1"/>
          <w:color w:val="auto"/>
        </w:rPr>
        <w:t>opportunity</w:t>
      </w:r>
      <w:r>
        <w:rPr>
          <w:rFonts w:ascii="Arial" w:cs="Arial" w:eastAsia="Arial" w:hAnsi="Arial"/>
          <w:sz w:val="18"/>
          <w:szCs w:val="18"/>
          <w:color w:val="auto"/>
        </w:rPr>
        <w:t xml:space="preserve">” </w:t>
      </w:r>
      <w:r>
        <w:rPr>
          <w:rFonts w:ascii="Arial" w:cs="Arial" w:eastAsia="Arial" w:hAnsi="Arial"/>
          <w:sz w:val="18"/>
          <w:szCs w:val="18"/>
          <w:i w:val="1"/>
          <w:iCs w:val="1"/>
          <w:color w:val="auto"/>
        </w:rPr>
        <w:t>or the negative versions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these terms and other similar expressions. Our actual results or experience could differ significantly from the forward-looking statements. Factors that could cause or contribute to these differences include those discussed in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Part II, Item 1A of this Quarterly Report on Form 10-Q as well as information provided elsewhere in this Quarterly Report on Form 10-Q and our Annual Report on Form 10-K for the year ended December 31, 2022, which was filed with the Securities and Exchange Commission (the SEC) on March 16, 2023. You should carefully consider that information before you make an investment decision.</w:t>
      </w:r>
    </w:p>
    <w:p>
      <w:pPr>
        <w:spacing w:after="0" w:line="19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You should not place undue reliance on these types of forward-looking statements, which speak only as of the date that they were made. These forward-looking statements are based on the beliefs and assumptions of the Company</w:t>
      </w:r>
      <w:r>
        <w:rPr>
          <w:rFonts w:ascii="Arial" w:cs="Arial" w:eastAsia="Arial" w:hAnsi="Arial"/>
          <w:sz w:val="18"/>
          <w:szCs w:val="18"/>
          <w:color w:val="auto"/>
        </w:rPr>
        <w:t>’</w:t>
      </w:r>
      <w:r>
        <w:rPr>
          <w:rFonts w:ascii="Arial" w:cs="Arial" w:eastAsia="Arial" w:hAnsi="Arial"/>
          <w:sz w:val="18"/>
          <w:szCs w:val="18"/>
          <w:i w:val="1"/>
          <w:iCs w:val="1"/>
          <w:color w:val="auto"/>
        </w:rPr>
        <w:t>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discussion of the Company</w:t>
      </w:r>
      <w:r>
        <w:rPr>
          <w:rFonts w:ascii="Arial" w:cs="Arial" w:eastAsia="Arial" w:hAnsi="Arial"/>
          <w:sz w:val="18"/>
          <w:szCs w:val="18"/>
          <w:color w:val="auto"/>
        </w:rPr>
        <w:t>’</w:t>
      </w:r>
      <w:r>
        <w:rPr>
          <w:rFonts w:ascii="Arial" w:cs="Arial" w:eastAsia="Arial" w:hAnsi="Arial"/>
          <w:sz w:val="18"/>
          <w:szCs w:val="18"/>
          <w:i w:val="1"/>
          <w:iCs w:val="1"/>
          <w:color w:val="auto"/>
        </w:rPr>
        <w:t>s financial condition and results of operations should be read in conjunction with the Company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the related Notes thereto included in this Quarterly Report on Form 10-Q.</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Arial" w:cs="Arial" w:eastAsia="Arial" w:hAnsi="Arial"/>
                <w:sz w:val="18"/>
                <w:szCs w:val="18"/>
                <w:color w:val="0000EE"/>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ATERIAN, INC.</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1"/>
              </w:rPr>
              <w:t>(Unaudited)</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0" w:type="dxa"/>
            <w:vAlign w:val="bottom"/>
            <w:gridSpan w:val="3"/>
          </w:tcPr>
          <w:p>
            <w:pPr>
              <w:jc w:val="center"/>
              <w:ind w:right="360"/>
              <w:spacing w:after="0"/>
              <w:rPr>
                <w:sz w:val="20"/>
                <w:szCs w:val="20"/>
                <w:color w:val="auto"/>
              </w:rPr>
            </w:pPr>
            <w:r>
              <w:rPr>
                <w:rFonts w:ascii="Arial" w:cs="Arial" w:eastAsia="Arial" w:hAnsi="Arial"/>
                <w:sz w:val="18"/>
                <w:szCs w:val="18"/>
                <w:b w:val="1"/>
                <w:bCs w:val="1"/>
                <w:i w:val="1"/>
                <w:iCs w:val="1"/>
                <w:color w:val="auto"/>
                <w:w w:val="86"/>
              </w:rPr>
              <w:t>(in thousands, except share and per share data)</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190"/>
        </w:trPr>
        <w:tc>
          <w:tcPr>
            <w:tcW w:w="1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b w:val="1"/>
                <w:bCs w:val="1"/>
                <w:color w:val="auto"/>
                <w:w w:val="94"/>
              </w:rPr>
              <w:t>ASSETS</w:t>
            </w:r>
          </w:p>
        </w:tc>
        <w:tc>
          <w:tcPr>
            <w:tcW w:w="3720" w:type="dxa"/>
            <w:vAlign w:val="bottom"/>
            <w:tcBorders>
              <w:bottom w:val="single" w:sz="8" w:color="CCEEFF"/>
            </w:tcBorders>
            <w:gridSpan w:val="2"/>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27,955</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3,271</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31,493</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Prepaid and other current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68,682</w:t>
            </w: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r>
      <w:tr>
        <w:trPr>
          <w:trHeight w:val="216"/>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12,016</w:t>
            </w: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r>
      <w:tr>
        <w:trPr>
          <w:trHeight w:val="249"/>
        </w:trPr>
        <w:tc>
          <w:tcPr>
            <w:tcW w:w="80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156,439</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82,031</w:t>
            </w:r>
          </w:p>
        </w:tc>
      </w:tr>
      <w:tr>
        <w:trPr>
          <w:trHeight w:val="156"/>
        </w:trPr>
        <w:tc>
          <w:tcPr>
            <w:tcW w:w="1280" w:type="dxa"/>
            <w:vAlign w:val="bottom"/>
            <w:tcBorders>
              <w:top w:val="single" w:sz="8" w:color="CCEEFF"/>
            </w:tcBorders>
          </w:tcPr>
          <w:p>
            <w:pPr>
              <w:spacing w:after="0"/>
              <w:rPr>
                <w:sz w:val="13"/>
                <w:szCs w:val="13"/>
                <w:color w:val="auto"/>
              </w:rPr>
            </w:pPr>
          </w:p>
        </w:tc>
        <w:tc>
          <w:tcPr>
            <w:tcW w:w="6720" w:type="dxa"/>
            <w:vAlign w:val="bottom"/>
            <w:tcBorders>
              <w:top w:val="single" w:sz="8" w:color="CCEEFF"/>
            </w:tcBorders>
            <w:gridSpan w:val="5"/>
          </w:tcPr>
          <w:p>
            <w:pPr>
              <w:jc w:val="center"/>
              <w:ind w:right="1400"/>
              <w:spacing w:after="0" w:line="156" w:lineRule="exact"/>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Credit facility</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21,053</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14,182</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12,464</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Seller notes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r>
      <w:tr>
        <w:trPr>
          <w:trHeight w:val="216"/>
        </w:trPr>
        <w:tc>
          <w:tcPr>
            <w:tcW w:w="8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ind w:left="3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38,582</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ind w:left="34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40,122</w:t>
            </w:r>
          </w:p>
        </w:tc>
      </w:tr>
      <w:tr>
        <w:trPr>
          <w:trHeight w:val="210"/>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6"/>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$0.0001 par value, 500,000,000 shares authorized and 80,752,290 and 89,132,183 shares</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2022 and September 30, 2023, respectively</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735,110</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(625,251)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(692,108)</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r>
      <w:tr>
        <w:trPr>
          <w:trHeight w:val="210"/>
        </w:trPr>
        <w:tc>
          <w:tcPr>
            <w:tcW w:w="800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156,439</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82,031</w:t>
            </w: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ATERIAN, INC.</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340" w:type="dxa"/>
            <w:vAlign w:val="bottom"/>
            <w:gridSpan w:val="6"/>
          </w:tcPr>
          <w:p>
            <w:pPr>
              <w:jc w:val="center"/>
              <w:ind w:left="227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340" w:type="dxa"/>
            <w:vAlign w:val="bottom"/>
            <w:gridSpan w:val="6"/>
          </w:tcPr>
          <w:p>
            <w:pPr>
              <w:jc w:val="center"/>
              <w:ind w:left="2250"/>
              <w:spacing w:after="0"/>
              <w:rPr>
                <w:sz w:val="20"/>
                <w:szCs w:val="20"/>
                <w:color w:val="auto"/>
              </w:rPr>
            </w:pPr>
            <w:r>
              <w:rPr>
                <w:rFonts w:ascii="Arial" w:cs="Arial" w:eastAsia="Arial" w:hAnsi="Arial"/>
                <w:sz w:val="18"/>
                <w:szCs w:val="18"/>
                <w:b w:val="1"/>
                <w:bCs w:val="1"/>
                <w:i w:val="1"/>
                <w:iCs w:val="1"/>
                <w:color w:val="auto"/>
                <w:w w:val="86"/>
              </w:rPr>
              <w:t>(in thousands, except share and per share data)</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12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39,668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109,811</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Cost of good sold</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36,135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81,118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56,236</w:t>
            </w: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53,575</w:t>
            </w:r>
          </w:p>
        </w:tc>
      </w:tr>
      <w:tr>
        <w:trPr>
          <w:trHeight w:val="209"/>
        </w:trPr>
        <w:tc>
          <w:tcPr>
            <w:tcW w:w="4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distribution</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61,704</w:t>
            </w: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3,808</w:t>
            </w:r>
          </w:p>
        </w:tc>
      </w:tr>
      <w:tr>
        <w:trPr>
          <w:trHeight w:val="216"/>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16,566</w:t>
            </w: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Impairment loss on goodwill</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119,941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 on intangibles</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39,445</w:t>
            </w: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contingent earn-out liabilities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(774)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121,523</w:t>
            </w:r>
          </w:p>
        </w:tc>
      </w:tr>
      <w:tr>
        <w:trPr>
          <w:trHeight w:val="20"/>
        </w:trPr>
        <w:tc>
          <w:tcPr>
            <w:tcW w:w="128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(108,941)</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(6,516)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(155,364)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(67,948)</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Gain on extinguishment of seller note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initial issuance of equity</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(5,528)</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2,365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(2,410)</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0"/>
        </w:trPr>
        <w:tc>
          <w:tcPr>
            <w:tcW w:w="128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(116,977)</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(6,180)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(176,230)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(66,715)</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128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(116,902)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(6,270)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(175,987)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(66,857)</w:t>
            </w: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400" w:type="dxa"/>
            <w:vAlign w:val="bottom"/>
            <w:gridSpan w:val="2"/>
            <w:shd w:val="clear" w:color="auto" w:fill="CCEEFF"/>
          </w:tcPr>
          <w:p>
            <w:pPr>
              <w:ind w:left="110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(0.86)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880" w:type="dxa"/>
            <w:vAlign w:val="bottom"/>
            <w:gridSpan w:val="2"/>
          </w:tcPr>
          <w:p>
            <w:pPr>
              <w:spacing w:after="0" w:line="196" w:lineRule="exact"/>
              <w:rPr>
                <w:sz w:val="20"/>
                <w:szCs w:val="20"/>
                <w:color w:val="auto"/>
              </w:rPr>
            </w:pPr>
            <w:r>
              <w:rPr>
                <w:rFonts w:ascii="Arial" w:cs="Arial" w:eastAsia="Arial" w:hAnsi="Arial"/>
                <w:sz w:val="18"/>
                <w:szCs w:val="18"/>
                <w:color w:val="auto"/>
                <w:w w:val="90"/>
              </w:rPr>
              <w:t>Weighted-average number of shares outstanding, basic and diluted</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64,648,650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3"/>
              </w:rPr>
              <w:t>79,022,467</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7"/>
              </w:rPr>
              <w:t>63,397,196</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77,801,774</w:t>
            </w: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310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rPr>
              <w:t>ATERIAN, INC.</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8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87"/>
              </w:rPr>
              <w:t>Condensed Consolidated Statements of Comprehensive Loss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10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100" w:type="dxa"/>
            <w:vAlign w:val="bottom"/>
            <w:gridSpan w:val="2"/>
          </w:tcPr>
          <w:p>
            <w:pPr>
              <w:jc w:val="center"/>
              <w:ind w:left="1610"/>
              <w:spacing w:after="0"/>
              <w:rPr>
                <w:sz w:val="20"/>
                <w:szCs w:val="20"/>
                <w:color w:val="auto"/>
              </w:rPr>
            </w:pPr>
            <w:r>
              <w:rPr>
                <w:rFonts w:ascii="Arial" w:cs="Arial" w:eastAsia="Arial" w:hAnsi="Arial"/>
                <w:sz w:val="18"/>
                <w:szCs w:val="18"/>
                <w:b w:val="1"/>
                <w:bCs w:val="1"/>
                <w:i w:val="1"/>
                <w:iCs w:val="1"/>
                <w:color w:val="auto"/>
                <w:w w:val="87"/>
              </w:rPr>
              <w:t>(in thousands)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10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(116,902)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(66,857)</w:t>
            </w:r>
          </w:p>
        </w:tc>
      </w:tr>
      <w:tr>
        <w:trPr>
          <w:trHeight w:val="210"/>
        </w:trPr>
        <w:tc>
          <w:tcPr>
            <w:tcW w:w="32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comprehensive loss:</w:t>
            </w:r>
          </w:p>
        </w:tc>
        <w:tc>
          <w:tcPr>
            <w:tcW w:w="27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Foreign currency translation adjustments</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12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10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(117,387)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(66,815)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80"/>
        <w:spacing w:after="0" w:line="258" w:lineRule="auto"/>
        <w:rPr>
          <w:sz w:val="20"/>
          <w:szCs w:val="20"/>
          <w:color w:val="auto"/>
        </w:rPr>
      </w:pPr>
      <w:r>
        <w:rPr>
          <w:rFonts w:ascii="Arial" w:cs="Arial" w:eastAsia="Arial" w:hAnsi="Arial"/>
          <w:sz w:val="18"/>
          <w:szCs w:val="18"/>
          <w:color w:val="auto"/>
        </w:rPr>
        <w:t>BALANCE—July 1, 2022 Net loss</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Issuance of shares of restricted common stock</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Forfeiture of shares of restricted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Issuance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on initial issuance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BALANCE—September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ind w:right="3280"/>
        <w:spacing w:after="0"/>
        <w:rPr>
          <w:sz w:val="20"/>
          <w:szCs w:val="20"/>
          <w:color w:val="auto"/>
        </w:rPr>
      </w:pPr>
      <w:r>
        <w:rPr>
          <w:rFonts w:ascii="Arial" w:cs="Arial" w:eastAsia="Arial" w:hAnsi="Arial"/>
          <w:sz w:val="16"/>
          <w:szCs w:val="16"/>
          <w:b w:val="1"/>
          <w:bCs w:val="1"/>
          <w:color w:val="auto"/>
        </w:rPr>
        <w:t>Condensed Consolidated Statements of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p>
      <w:pPr>
        <w:spacing w:after="0" w:line="32"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260" w:type="dxa"/>
            <w:vAlign w:val="bottom"/>
            <w:gridSpan w:val="5"/>
          </w:tcPr>
          <w:p>
            <w:pPr>
              <w:jc w:val="right"/>
              <w:ind w:right="361"/>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4"/>
        </w:trPr>
        <w:tc>
          <w:tcPr>
            <w:tcW w:w="138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Loss</w:t>
            </w:r>
          </w:p>
        </w:tc>
        <w:tc>
          <w:tcPr>
            <w:tcW w:w="2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69,219,384</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689,955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(488,044)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(116,902)</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(116,902)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329,968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380" w:type="dxa"/>
            <w:vAlign w:val="bottom"/>
            <w:gridSpan w:val="4"/>
          </w:tcPr>
          <w:p>
            <w:pPr>
              <w:jc w:val="right"/>
              <w:ind w:right="200"/>
              <w:spacing w:after="0"/>
              <w:rPr>
                <w:sz w:val="20"/>
                <w:szCs w:val="20"/>
                <w:color w:val="auto"/>
              </w:rPr>
            </w:pPr>
            <w:r>
              <w:rPr>
                <w:rFonts w:ascii="Arial" w:cs="Arial" w:eastAsia="Arial" w:hAnsi="Arial"/>
                <w:sz w:val="18"/>
                <w:szCs w:val="18"/>
                <w:color w:val="auto"/>
              </w:rPr>
              <w:t>(31,965)</w:t>
            </w:r>
          </w:p>
        </w:tc>
        <w:tc>
          <w:tcPr>
            <w:tcW w:w="88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23,362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12,834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16"/>
        </w:trPr>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2,943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30"/>
        </w:trPr>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69,540,749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705,775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(604,946)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-1567815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-1268095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-719455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-445135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-162560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00" w:space="280"/>
            <w:col w:w="796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b w:val="1"/>
                <w:bCs w:val="1"/>
                <w:color w:val="auto"/>
                <w:w w:val="92"/>
              </w:rPr>
              <w:t>Three Months Ended September 30, 2023</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tcPr>
          <w:p>
            <w:pPr>
              <w:spacing w:after="0"/>
              <w:rPr>
                <w:sz w:val="18"/>
                <w:szCs w:val="18"/>
                <w:color w:val="auto"/>
              </w:rPr>
            </w:pPr>
          </w:p>
        </w:tc>
        <w:tc>
          <w:tcPr>
            <w:tcW w:w="2260" w:type="dxa"/>
            <w:vAlign w:val="bottom"/>
            <w:gridSpan w:val="3"/>
          </w:tcPr>
          <w:p>
            <w:pPr>
              <w:jc w:val="right"/>
              <w:ind w:right="361"/>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BALANCE—July 1, 2023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88,014,844</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733,878</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(685,838)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47,160</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4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(6,270)</w:t>
            </w:r>
          </w:p>
        </w:tc>
        <w:tc>
          <w:tcPr>
            <w:tcW w:w="28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(6,270)</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3,959,679</w:t>
            </w: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9"/>
              </w:rPr>
              <w:t>Forfeiture of shares of restricted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(2,842,340)</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2023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89,132,183</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735,110</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(692,108)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41,909</w:t>
            </w:r>
          </w:p>
        </w:tc>
      </w:tr>
      <w:tr>
        <w:trPr>
          <w:trHeight w:val="413"/>
        </w:trPr>
        <w:tc>
          <w:tcPr>
            <w:tcW w:w="32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6</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w w:val="93"/>
              </w:rPr>
              <w:t>Nine Months Ended September 30, 2022</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280" w:type="dxa"/>
            <w:vAlign w:val="bottom"/>
          </w:tcPr>
          <w:p>
            <w:pPr>
              <w:spacing w:after="0"/>
              <w:rPr>
                <w:sz w:val="18"/>
                <w:szCs w:val="18"/>
                <w:color w:val="auto"/>
              </w:rPr>
            </w:pPr>
          </w:p>
        </w:tc>
        <w:tc>
          <w:tcPr>
            <w:tcW w:w="2260" w:type="dxa"/>
            <w:vAlign w:val="bottom"/>
            <w:gridSpan w:val="3"/>
          </w:tcPr>
          <w:p>
            <w:pPr>
              <w:jc w:val="right"/>
              <w:ind w:right="361"/>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55,090,237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653,650</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(428,959)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224,228</w:t>
            </w: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(175,987)</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(175,987)</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4,350,642</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9"/>
              </w:rPr>
              <w:t>Forfeiture of shares of restricted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(233,561)</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 of prefunded warrants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3,013,850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15,039</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Issuance of common stock settlement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seller note</w:t>
            </w:r>
          </w:p>
        </w:tc>
        <w:tc>
          <w:tcPr>
            <w:tcW w:w="1120" w:type="dxa"/>
            <w:vAlign w:val="bottom"/>
          </w:tcPr>
          <w:p>
            <w:pPr>
              <w:jc w:val="right"/>
              <w:spacing w:after="0"/>
              <w:rPr>
                <w:sz w:val="20"/>
                <w:szCs w:val="20"/>
                <w:color w:val="auto"/>
              </w:rPr>
            </w:pPr>
            <w:r>
              <w:rPr>
                <w:rFonts w:ascii="Arial" w:cs="Arial" w:eastAsia="Arial" w:hAnsi="Arial"/>
                <w:sz w:val="18"/>
                <w:szCs w:val="18"/>
                <w:color w:val="auto"/>
              </w:rPr>
              <w:t>292,887</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common stock, net of issuance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7,003,332</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27,006</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27,007</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Issuance of warrants in connection with</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offering</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(18,982)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(18,982)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Loss on initial issuance of equity</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18,669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18,669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to contractors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8,446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8,446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w:t>
            </w: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BALANCE—September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69,540,749</w:t>
            </w:r>
          </w:p>
        </w:tc>
        <w:tc>
          <w:tcPr>
            <w:tcW w:w="260" w:type="dxa"/>
            <w:vAlign w:val="bottom"/>
          </w:tcPr>
          <w:p>
            <w:pPr>
              <w:spacing w:after="0"/>
              <w:rPr>
                <w:sz w:val="18"/>
                <w:szCs w:val="18"/>
                <w:color w:val="auto"/>
              </w:rPr>
            </w:pP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705,775</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(604,946)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99,281</w:t>
            </w: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w w:val="93"/>
              </w:rPr>
              <w:t>Nine Months Ended September 30, 2023</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280" w:type="dxa"/>
            <w:vAlign w:val="bottom"/>
          </w:tcPr>
          <w:p>
            <w:pPr>
              <w:spacing w:after="0"/>
              <w:rPr>
                <w:sz w:val="18"/>
                <w:szCs w:val="18"/>
                <w:color w:val="auto"/>
              </w:rPr>
            </w:pPr>
          </w:p>
        </w:tc>
        <w:tc>
          <w:tcPr>
            <w:tcW w:w="2260" w:type="dxa"/>
            <w:vAlign w:val="bottom"/>
            <w:gridSpan w:val="3"/>
          </w:tcPr>
          <w:p>
            <w:pPr>
              <w:jc w:val="right"/>
              <w:ind w:right="361"/>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80,752,290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728,339</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(625,251)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101,952</w:t>
            </w: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(66,857)</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(66,857)</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12,050,644</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9"/>
              </w:rPr>
              <w:t>Forfeiture of shares of restricted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(3,970,751)</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6,481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BALANCE—September 30, 2023</w:t>
            </w:r>
          </w:p>
        </w:tc>
        <w:tc>
          <w:tcPr>
            <w:tcW w:w="1120" w:type="dxa"/>
            <w:vAlign w:val="bottom"/>
          </w:tcPr>
          <w:p>
            <w:pPr>
              <w:jc w:val="right"/>
              <w:spacing w:after="0"/>
              <w:rPr>
                <w:sz w:val="20"/>
                <w:szCs w:val="20"/>
                <w:color w:val="auto"/>
              </w:rPr>
            </w:pPr>
            <w:r>
              <w:rPr>
                <w:rFonts w:ascii="Arial" w:cs="Arial" w:eastAsia="Arial" w:hAnsi="Arial"/>
                <w:sz w:val="18"/>
                <w:szCs w:val="18"/>
                <w:color w:val="auto"/>
              </w:rPr>
              <w:t>89,132,183</w:t>
            </w:r>
          </w:p>
        </w:tc>
        <w:tc>
          <w:tcPr>
            <w:tcW w:w="260" w:type="dxa"/>
            <w:vAlign w:val="bottom"/>
          </w:tcPr>
          <w:p>
            <w:pPr>
              <w:spacing w:after="0"/>
              <w:rPr>
                <w:sz w:val="18"/>
                <w:szCs w:val="18"/>
                <w:color w:val="auto"/>
              </w:rPr>
            </w:pP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735,110</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(692,108)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41,909</w:t>
            </w: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tcPr>
          <w:p>
            <w:pPr>
              <w:jc w:val="right"/>
              <w:ind w:right="7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(175,987)</w:t>
            </w:r>
          </w:p>
        </w:tc>
        <w:tc>
          <w:tcPr>
            <w:tcW w:w="106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(66,857)</w:t>
            </w:r>
          </w:p>
        </w:tc>
      </w:tr>
      <w:tr>
        <w:trPr>
          <w:trHeight w:val="149"/>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by operating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5,763</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3,416</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sales returns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Amortization of deferred financing cost and debt discounts</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11,854</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6,771</w:t>
            </w:r>
          </w:p>
        </w:tc>
      </w:tr>
      <w:tr>
        <w:trPr>
          <w:trHeight w:val="149"/>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decrease of contingent earn-out liability fair value</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Change in inventory provisions</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in connection with the change in warrant fair value</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(2,410)</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Gain in connection with settlement of note payable</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initial issuance of equity</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18,669</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8000" w:type="dxa"/>
            <w:vAlign w:val="bottom"/>
          </w:tcPr>
          <w:p>
            <w:pPr>
              <w:spacing w:after="0" w:line="149" w:lineRule="exact"/>
              <w:rPr>
                <w:sz w:val="20"/>
                <w:szCs w:val="20"/>
                <w:color w:val="auto"/>
              </w:rPr>
            </w:pPr>
            <w:r>
              <w:rPr>
                <w:rFonts w:ascii="Arial" w:cs="Arial" w:eastAsia="Arial" w:hAnsi="Arial"/>
                <w:sz w:val="14"/>
                <w:szCs w:val="14"/>
                <w:color w:val="auto"/>
              </w:rPr>
              <w:t>Impairment loss on goodwill</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119,941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loss on intangibles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3,118</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39,445</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Allowance for doubtful accounts and other</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180"/>
              <w:spacing w:after="0" w:line="149" w:lineRule="exact"/>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5,326</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1,186</w:t>
            </w:r>
          </w:p>
        </w:tc>
      </w:tr>
      <w:tr>
        <w:trPr>
          <w:trHeight w:val="149"/>
        </w:trPr>
        <w:tc>
          <w:tcPr>
            <w:tcW w:w="80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Inventory</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2,588</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11,960</w:t>
            </w:r>
          </w:p>
        </w:tc>
      </w:tr>
      <w:tr>
        <w:trPr>
          <w:trHeight w:val="148"/>
        </w:trPr>
        <w:tc>
          <w:tcPr>
            <w:tcW w:w="8000" w:type="dxa"/>
            <w:vAlign w:val="bottom"/>
          </w:tcPr>
          <w:p>
            <w:pPr>
              <w:ind w:left="180"/>
              <w:spacing w:after="0" w:line="149" w:lineRule="exact"/>
              <w:rPr>
                <w:sz w:val="20"/>
                <w:szCs w:val="20"/>
                <w:color w:val="auto"/>
              </w:rPr>
            </w:pPr>
            <w:r>
              <w:rPr>
                <w:rFonts w:ascii="Arial" w:cs="Arial" w:eastAsia="Arial" w:hAnsi="Arial"/>
                <w:sz w:val="14"/>
                <w:szCs w:val="14"/>
                <w:color w:val="auto"/>
              </w:rPr>
              <w:t>Prepaid and other current assets</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3,351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1,942</w:t>
            </w: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Accounts payable, accrued and other liabilities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(9,994)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(4,289)</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Arial" w:cs="Arial" w:eastAsia="Arial" w:hAnsi="Arial"/>
                <w:sz w:val="14"/>
                <w:szCs w:val="14"/>
                <w:color w:val="auto"/>
              </w:rPr>
              <w:t>Cash used in operating activities</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(19,541)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(8,458)</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Arial" w:cs="Arial" w:eastAsia="Arial" w:hAnsi="Arial"/>
                <w:sz w:val="14"/>
                <w:szCs w:val="14"/>
                <w:color w:val="auto"/>
              </w:rPr>
              <w:t>Purchase of fixed assets</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Step and Go assets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Arial" w:cs="Arial" w:eastAsia="Arial" w:hAnsi="Arial"/>
                <w:sz w:val="14"/>
                <w:szCs w:val="14"/>
                <w:color w:val="auto"/>
              </w:rPr>
              <w:t>Cash used in investing activities</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(29)</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(205)</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Arial" w:cs="Arial" w:eastAsia="Arial" w:hAnsi="Arial"/>
                <w:sz w:val="14"/>
                <w:szCs w:val="14"/>
                <w:color w:val="auto"/>
              </w:rPr>
              <w:t>Proceeds from equity offering, net of issuance costs</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27,007</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on note payable to Smash</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(2,868)</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(518)</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Payment of Squatty Potty earn-out</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(3,983)</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from MidCap credit facilities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107,678</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63,978</w:t>
            </w:r>
          </w:p>
        </w:tc>
      </w:tr>
      <w:tr>
        <w:trPr>
          <w:trHeight w:val="149"/>
        </w:trPr>
        <w:tc>
          <w:tcPr>
            <w:tcW w:w="8000" w:type="dxa"/>
            <w:vAlign w:val="bottom"/>
          </w:tcPr>
          <w:p>
            <w:pPr>
              <w:spacing w:after="0" w:line="149" w:lineRule="exact"/>
              <w:rPr>
                <w:sz w:val="20"/>
                <w:szCs w:val="20"/>
                <w:color w:val="auto"/>
              </w:rPr>
            </w:pPr>
            <w:r>
              <w:rPr>
                <w:rFonts w:ascii="Arial" w:cs="Arial" w:eastAsia="Arial" w:hAnsi="Arial"/>
                <w:sz w:val="14"/>
                <w:szCs w:val="14"/>
                <w:color w:val="auto"/>
              </w:rPr>
              <w:t>Repayments for MidCap credit facilities</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(116,924)</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(71,165)</w:t>
            </w:r>
          </w:p>
        </w:tc>
      </w:tr>
      <w:tr>
        <w:trPr>
          <w:trHeight w:val="162"/>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Insurance obligation payments</w:t>
            </w: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(1,778)</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(788)</w:t>
            </w:r>
          </w:p>
        </w:tc>
      </w:tr>
      <w:tr>
        <w:trPr>
          <w:trHeight w:val="149"/>
        </w:trPr>
        <w:tc>
          <w:tcPr>
            <w:tcW w:w="8000" w:type="dxa"/>
            <w:vAlign w:val="bottom"/>
          </w:tcPr>
          <w:p>
            <w:pPr>
              <w:spacing w:after="0" w:line="149" w:lineRule="exact"/>
              <w:rPr>
                <w:sz w:val="20"/>
                <w:szCs w:val="20"/>
                <w:color w:val="auto"/>
              </w:rPr>
            </w:pPr>
            <w:r>
              <w:rPr>
                <w:rFonts w:ascii="Arial" w:cs="Arial" w:eastAsia="Arial" w:hAnsi="Arial"/>
                <w:sz w:val="14"/>
                <w:szCs w:val="14"/>
                <w:color w:val="auto"/>
              </w:rPr>
              <w:t>Insurance financing proceeds</w:t>
            </w: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986</w:t>
            </w:r>
          </w:p>
        </w:tc>
        <w:tc>
          <w:tcPr>
            <w:tcW w:w="100" w:type="dxa"/>
            <w:vAlign w:val="bottom"/>
          </w:tcPr>
          <w:p>
            <w:pPr>
              <w:spacing w:after="0"/>
              <w:rPr>
                <w:sz w:val="12"/>
                <w:szCs w:val="12"/>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provided (used) by financing activities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11,231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(7,507)</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Foreign currency effect on cash, cash equivalents, and restricted cash</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(936)</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change in cash and restricted cash for the year</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(9,275)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5"/>
              </w:rPr>
              <w:t>(16,128)</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Cash and restricted cash at beginning of year</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38,315</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46,629</w:t>
            </w:r>
          </w:p>
        </w:tc>
      </w:tr>
      <w:tr>
        <w:trPr>
          <w:trHeight w:val="182"/>
        </w:trPr>
        <w:tc>
          <w:tcPr>
            <w:tcW w:w="80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restricted cash at end of year</w:t>
            </w:r>
          </w:p>
        </w:tc>
        <w:tc>
          <w:tcPr>
            <w:tcW w:w="920" w:type="dxa"/>
            <w:vAlign w:val="bottom"/>
            <w:tcBorders>
              <w:top w:val="single" w:sz="8" w:color="auto"/>
              <w:bottom w:val="single" w:sz="8" w:color="auto"/>
            </w:tcBorders>
            <w:shd w:val="clear" w:color="auto" w:fill="CCEEFF"/>
          </w:tcPr>
          <w:p>
            <w:pPr>
              <w:jc w:val="right"/>
              <w:ind w:right="768"/>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29,040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28"/>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30,501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29"/>
        </w:trPr>
        <w:tc>
          <w:tcPr>
            <w:tcW w:w="8000" w:type="dxa"/>
            <w:vAlign w:val="bottom"/>
          </w:tcPr>
          <w:p>
            <w:pPr>
              <w:spacing w:after="0" w:line="129" w:lineRule="exact"/>
              <w:rPr>
                <w:sz w:val="20"/>
                <w:szCs w:val="20"/>
                <w:color w:val="auto"/>
              </w:rPr>
            </w:pPr>
            <w:r>
              <w:rPr>
                <w:rFonts w:ascii="Arial" w:cs="Arial" w:eastAsia="Arial" w:hAnsi="Arial"/>
                <w:sz w:val="14"/>
                <w:szCs w:val="14"/>
                <w:color w:val="auto"/>
              </w:rPr>
              <w:t>RECONCILIATION OF CASH AND RESTRICTED CASH:</w:t>
            </w: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25,997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27,955</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Restricted Cash—Prepaid and other current assets</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2,914</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2,417</w:t>
            </w:r>
          </w:p>
        </w:tc>
      </w:tr>
      <w:tr>
        <w:trPr>
          <w:trHeight w:val="149"/>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cash—Other non-current assets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w:t>
            </w:r>
          </w:p>
        </w:tc>
      </w:tr>
      <w:tr>
        <w:trPr>
          <w:trHeight w:val="142"/>
        </w:trPr>
        <w:tc>
          <w:tcPr>
            <w:tcW w:w="800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TOTAL CASH AND RESTRICTED CASH</w:t>
            </w:r>
          </w:p>
        </w:tc>
        <w:tc>
          <w:tcPr>
            <w:tcW w:w="920" w:type="dxa"/>
            <w:vAlign w:val="bottom"/>
            <w:tcBorders>
              <w:top w:val="single" w:sz="8" w:color="auto"/>
              <w:bottom w:val="single" w:sz="8" w:color="auto"/>
            </w:tcBorders>
          </w:tcPr>
          <w:p>
            <w:pPr>
              <w:jc w:val="right"/>
              <w:ind w:right="768"/>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29,040</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828"/>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30,501</w:t>
            </w:r>
          </w:p>
        </w:tc>
        <w:tc>
          <w:tcPr>
            <w:tcW w:w="100" w:type="dxa"/>
            <w:vAlign w:val="bottom"/>
            <w:tcBorders>
              <w:top w:val="single" w:sz="8" w:color="CCEEFF"/>
              <w:bottom w:val="single" w:sz="8" w:color="CCEEFF"/>
            </w:tcBorders>
          </w:tcPr>
          <w:p>
            <w:pPr>
              <w:spacing w:after="0"/>
              <w:rPr>
                <w:sz w:val="12"/>
                <w:szCs w:val="12"/>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0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920" w:type="dxa"/>
            <w:vAlign w:val="bottom"/>
            <w:shd w:val="clear" w:color="auto" w:fill="CCEEFF"/>
          </w:tcPr>
          <w:p>
            <w:pPr>
              <w:jc w:val="right"/>
              <w:ind w:right="7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1,409</w:t>
            </w:r>
          </w:p>
        </w:tc>
        <w:tc>
          <w:tcPr>
            <w:tcW w:w="106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1,457</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Cash paid for taxes</w:t>
            </w:r>
          </w:p>
        </w:tc>
        <w:tc>
          <w:tcPr>
            <w:tcW w:w="920" w:type="dxa"/>
            <w:vAlign w:val="bottom"/>
          </w:tcPr>
          <w:p>
            <w:pPr>
              <w:jc w:val="right"/>
              <w:ind w:right="7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6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Arial" w:cs="Arial" w:eastAsia="Arial" w:hAnsi="Arial"/>
                <w:sz w:val="14"/>
                <w:szCs w:val="14"/>
                <w:color w:val="auto"/>
              </w:rPr>
              <w:t>Non-cash consideration paid to contractors</w:t>
            </w:r>
          </w:p>
        </w:tc>
        <w:tc>
          <w:tcPr>
            <w:tcW w:w="920" w:type="dxa"/>
            <w:vAlign w:val="bottom"/>
          </w:tcPr>
          <w:p>
            <w:pPr>
              <w:jc w:val="right"/>
              <w:ind w:right="7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1,137</w:t>
            </w:r>
          </w:p>
        </w:tc>
        <w:tc>
          <w:tcPr>
            <w:tcW w:w="106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w:t>
            </w:r>
          </w:p>
        </w:tc>
      </w:tr>
      <w:tr>
        <w:trPr>
          <w:trHeight w:val="148"/>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warrants issued in connection with equity offering</w:t>
            </w:r>
          </w:p>
        </w:tc>
        <w:tc>
          <w:tcPr>
            <w:tcW w:w="920" w:type="dxa"/>
            <w:vAlign w:val="bottom"/>
            <w:shd w:val="clear" w:color="auto" w:fill="CCEEFF"/>
          </w:tcPr>
          <w:p>
            <w:pPr>
              <w:jc w:val="right"/>
              <w:ind w:right="7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18,982</w:t>
            </w:r>
          </w:p>
        </w:tc>
        <w:tc>
          <w:tcPr>
            <w:tcW w:w="106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Issuance of common stock related to exercise of warrants</w:t>
            </w:r>
          </w:p>
        </w:tc>
        <w:tc>
          <w:tcPr>
            <w:tcW w:w="920" w:type="dxa"/>
            <w:vAlign w:val="bottom"/>
          </w:tcPr>
          <w:p>
            <w:pPr>
              <w:jc w:val="right"/>
              <w:ind w:right="7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767</w:t>
            </w:r>
          </w:p>
        </w:tc>
        <w:tc>
          <w:tcPr>
            <w:tcW w:w="106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shd w:val="clear" w:color="auto" w:fill="CCEEFF"/>
          </w:tcPr>
          <w:p>
            <w:pPr>
              <w:jc w:val="right"/>
              <w:ind w:right="7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106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82"/>
        </w:trPr>
        <w:tc>
          <w:tcPr>
            <w:tcW w:w="8000" w:type="dxa"/>
            <w:vAlign w:val="bottom"/>
          </w:tcPr>
          <w:p>
            <w:pPr>
              <w:spacing w:after="0"/>
              <w:rPr>
                <w:sz w:val="20"/>
                <w:szCs w:val="20"/>
                <w:color w:val="auto"/>
              </w:rPr>
            </w:pPr>
            <w:r>
              <w:rPr>
                <w:rFonts w:ascii="Arial" w:cs="Arial" w:eastAsia="Arial" w:hAnsi="Arial"/>
                <w:sz w:val="14"/>
                <w:szCs w:val="14"/>
                <w:color w:val="auto"/>
              </w:rPr>
              <w:t>Exercise of prefunded warrants</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15,039</w:t>
            </w:r>
          </w:p>
        </w:tc>
        <w:tc>
          <w:tcPr>
            <w:tcW w:w="106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2022 and 2023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Aterian, Inc. is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cooling and air quality appliances (dehumidifiers, humidifiers and air conditioners), health and beauty products and essential oils.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Jersey, Aterian also maintains offices in China, Philippines, and Poland.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date the accompanying Condensed Consolidated Financial Statements were issued (the “issuance date”), we evaluated the significance of the following adverse financial conditions in accordance with Accounting Standard Codification 205-40, Going Concern:</w:t>
      </w:r>
    </w:p>
    <w:p>
      <w:pPr>
        <w:spacing w:after="0" w:line="170" w:lineRule="exact"/>
        <w:rPr>
          <w:sz w:val="20"/>
          <w:szCs w:val="20"/>
          <w:color w:val="auto"/>
        </w:rPr>
      </w:pPr>
    </w:p>
    <w:p>
      <w:pPr>
        <w:jc w:val="both"/>
        <w:ind w:left="460" w:hanging="2"/>
        <w:spacing w:after="0" w:line="257"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our inception, we have incurred significant losses and used cash flows from operations to fund our enterprise. In this regard, during the nine months ended September 30, 2023, we incurred a net loss of $66.9 million and used net cash flows in our operations of $8.5 million. In addition, as of September 30, 2023, we had unrestricted cash and cash equivalents of $28.0 million available to fund our operations and an accumulated deficit of $692.1 million. Our revenue of $109.8 million for the nine months ended September 30, 2023 declined from $166.3 million for the nine months ended September 30, 2022.</w:t>
      </w:r>
    </w:p>
    <w:p>
      <w:pPr>
        <w:spacing w:after="0" w:line="187" w:lineRule="exact"/>
        <w:rPr>
          <w:rFonts w:ascii="Arial" w:cs="Arial" w:eastAsia="Arial" w:hAnsi="Arial"/>
          <w:sz w:val="18"/>
          <w:szCs w:val="18"/>
          <w:color w:val="auto"/>
        </w:rPr>
      </w:pPr>
    </w:p>
    <w:p>
      <w:pPr>
        <w:jc w:val="both"/>
        <w:ind w:left="460" w:hanging="2"/>
        <w:spacing w:after="0" w:line="270" w:lineRule="auto"/>
        <w:tabs>
          <w:tab w:leader="none" w:pos="57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required to remain in compliance with certain financial covenants required by the MidCap Credit facility (See Note 6, Credit Facility, Term Loans and Warrants). We were in compliance with these financial covenants as of September 30, 2023, and expect to remain in compliance through at least September 30, 2024. However, with our short history of forecasting our business following the onset of the COVID-19 global pandemic, the current global inflation and related global supply chain disruptions, we can provide no assurances that we will remain in compliance with our financial covenants. Further, absent of our ability to generate cash inflows from our operations or secure additional outside capital, we may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80" w:lineRule="exact"/>
        <w:rPr>
          <w:rFonts w:ascii="Arial" w:cs="Arial" w:eastAsia="Arial" w:hAnsi="Arial"/>
          <w:sz w:val="17"/>
          <w:szCs w:val="17"/>
          <w:color w:val="auto"/>
        </w:rPr>
      </w:pPr>
    </w:p>
    <w:p>
      <w:pPr>
        <w:jc w:val="both"/>
        <w:ind w:left="460" w:hanging="2"/>
        <w:spacing w:after="0" w:line="301" w:lineRule="auto"/>
        <w:tabs>
          <w:tab w:leader="none" w:pos="568"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the issuance date, we have no firm commitments to secure additional outside capital from lenders or investors. While we expect to continue to explore raising additional outside capital, specifically to fund our M&amp;A strategy, there can be no assurance we will be able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left="460" w:hanging="2"/>
        <w:spacing w:after="0" w:line="290" w:lineRule="auto"/>
        <w:tabs>
          <w:tab w:leader="none" w:pos="57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one or more of the covenants required by the MidCap Credit Facility. Further, the Company is enacting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6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Nasdaq Listing - </w:t>
      </w:r>
      <w:r>
        <w:rPr>
          <w:rFonts w:ascii="Arial" w:cs="Arial" w:eastAsia="Arial" w:hAnsi="Arial"/>
          <w:sz w:val="17"/>
          <w:szCs w:val="17"/>
          <w:color w:val="auto"/>
        </w:rPr>
        <w:t>On April 24, 2023, we received a letter from the Listing Qualifications Staff of The Nasdaq Stock Market LLC (“Nasdaq”) indicating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(the “Extension Notice”).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Bid Price Notice has no immediate effect on the continued listing status of our common stock on The Nasdaq Capital Market, and, therefore, our listing remains fully effective.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at any time before April 22, 2024,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continue to monitor the closing bid price of its Common Stock and seek to regain compliance with all applicable Nasdaq requirements within the allotted compliance period. If the Company does not regain compliance within the allotted compliance period,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compliance period, or maintain compliance with the other Nasdaq listing requirements.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covenants with our current lenders; limited liquidity for our stockholders due to thin trading; and the potential loss of confidence by investors, employees and other third parties who we do business with.</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we may decide to effect a reverse split of our common stock which could impact the market price for our stock, limit our ability to raise capital or otherwise limit our ability to execute acquisition transactions and there is no assurance that the market price or trading volume for our common stock will not further decline after announcing or effecting such split.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Restructuring - </w:t>
      </w:r>
      <w:r>
        <w:rPr>
          <w:rFonts w:ascii="Arial" w:cs="Arial" w:eastAsia="Arial" w:hAnsi="Arial"/>
          <w:sz w:val="18"/>
          <w:szCs w:val="18"/>
          <w:color w:val="auto"/>
        </w:rPr>
        <w:t>On May 9, 2023, the Company announced a plan to reduce expenses by implementing a reduction in its current workforce impacting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50 employees and 15 contractors, primarily in the Philippines. The Company recognized restructuring charges of $0.4 million and $1.6 million for the three and nine months ended September 30, 2023, respectively.</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Condensed Consolidated Financial Statements and accompanying notes have been prepared in accordance with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generally accepted in the United States of America (“U.S. GAAP”).</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Unaudited Interim Financial Information</w:t>
      </w:r>
      <w:r>
        <w:rPr>
          <w:rFonts w:ascii="Arial" w:cs="Arial" w:eastAsia="Arial" w:hAnsi="Arial"/>
          <w:sz w:val="17"/>
          <w:szCs w:val="17"/>
          <w:color w:val="auto"/>
        </w:rPr>
        <w:t>—The accompanying interim Condensed Consolidated Financial Statements are unaudited and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prepared on the same basis as the audited financial statements and, in the opinion of management, reflect all adjustments necessary for the fair presentation of the Company's financial position as of September 30, 2023 and the results of its operations and its cash flows for the periods ended September 30, 2022 and 2023. The financial data and other information disclosed in these notes related to the three and nine months ended September 30, 2022 and 2023 are also unaudited. The results for the three and nine months ended September 30, 2023 are not necessarily indicative of results to be expected for the year ending December 31, 2023, any other interim periods or any future year or period.</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—Preparation of financial statements in conformity with U.S. GAAP requires management to make estimates and assumptions that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—The Condensed Consolidated Financial Statements include the accounts of the Company and its wholly-owned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0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—As of December 31, 2022, the Company has classified the following as restricted cash: $0.1 million related to its Chinese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“Other Non-current Assets” on the Consolidated Balance Sheets, $2.0 million related to a letter of credit and $0.9 million for cash sweeps account related to the Midcap Credit Facility within "Prepaid and Other Current Assets" on the Consolidated Balance Sheets.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2023, the Company has classified the following as restricted cash: $0.1 million related to its Chinese subsidiary within “Other Non-current Assets” on the Condensed Consolidated Balance Sheets, $2.0 million related to a letter of credit and $0.4 million for cash sweeps account related to</w:t>
      </w:r>
    </w:p>
    <w:p>
      <w:pPr>
        <w:sectPr>
          <w:pgSz w:w="11900" w:h="16888" w:orient="portrait"/>
          <w:cols w:equalWidth="0" w:num="1">
            <w:col w:w="11240"/>
          </w:cols>
          <w:pgMar w:left="320" w:top="125" w:right="339" w:bottom="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Midcap Credit Facility within "Prepaid and Other Current Assets" on the Condensed Consolidated Balance Sheets.</w:t>
      </w:r>
    </w:p>
    <w:p>
      <w:pPr>
        <w:sectPr>
          <w:pgSz w:w="11900" w:h="16838" w:orient="portrait"/>
          <w:cols w:equalWidth="0" w:num="1">
            <w:col w:w="10139"/>
          </w:cols>
          <w:pgMar w:left="320" w:top="125"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Inventory and Cost of Goods Sold</w:t>
      </w:r>
      <w:r>
        <w:rPr>
          <w:rFonts w:ascii="Arial" w:cs="Arial" w:eastAsia="Arial" w:hAnsi="Arial"/>
          <w:sz w:val="17"/>
          <w:szCs w:val="17"/>
          <w:color w:val="auto"/>
        </w:rPr>
        <w:t>—The Company’s inventory consists almost entirely of finished goods. The Company currently records inventory on</w:t>
      </w:r>
      <w:r>
        <w:rPr>
          <w:rFonts w:ascii="Arial" w:cs="Arial" w:eastAsia="Arial" w:hAnsi="Arial"/>
          <w:sz w:val="17"/>
          <w:szCs w:val="17"/>
          <w:b w:val="1"/>
          <w:bCs w:val="1"/>
          <w:color w:val="auto"/>
        </w:rPr>
        <w:t xml:space="preserve"> </w:t>
      </w:r>
      <w:r>
        <w:rPr>
          <w:rFonts w:ascii="Arial" w:cs="Arial" w:eastAsia="Arial" w:hAnsi="Arial"/>
          <w:sz w:val="17"/>
          <w:szCs w:val="17"/>
          <w:color w:val="auto"/>
        </w:rPr>
        <w:t>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 are stated at historical cost less allowance for doubtful accounts. On a periodic basis, management evaluates</w:t>
      </w:r>
      <w:r>
        <w:rPr>
          <w:rFonts w:ascii="Arial" w:cs="Arial" w:eastAsia="Arial" w:hAnsi="Arial"/>
          <w:sz w:val="18"/>
          <w:szCs w:val="18"/>
          <w:b w:val="1"/>
          <w:bCs w:val="1"/>
          <w:color w:val="auto"/>
        </w:rPr>
        <w:t xml:space="preserve"> </w:t>
      </w:r>
      <w:r>
        <w:rPr>
          <w:rFonts w:ascii="Arial" w:cs="Arial" w:eastAsia="Arial" w:hAnsi="Arial"/>
          <w:sz w:val="18"/>
          <w:szCs w:val="18"/>
          <w:color w:val="auto"/>
        </w:rPr>
        <w:t>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bad and doubtful receivables. As of December 31, 2022 and September 30, 2023, the Company had an allowance for doubtful accounts of $0.4 million and $0.3 million.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—The Company accounts for revenue in accordance with Financial Accounting Standards Board (“FASB”) Accounting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Codification (“ASC”) Topic 606, Revenue from Contracts with Customers (“ASC Topic 606”). The Company derives its revenue from the sale of consumer products. The Company sells its products directly to consumers through online retail channels and through wholesale channels.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$0.6 million at December 31, 2022 and $0.4 million at September 30, 2023, which is included in accrued liabilities and represents the expected value of the refund that will be due to its customers.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it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1"/>
              </w:rPr>
              <w:t>Three Months Ended September 30, 2022</w:t>
            </w:r>
          </w:p>
        </w:tc>
      </w:tr>
      <w:tr>
        <w:trPr>
          <w:trHeight w:val="191"/>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Direct</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65,348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r>
      <w:tr>
        <w:trPr>
          <w:trHeight w:val="20"/>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63,796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66,326</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1"/>
              </w:rPr>
              <w:t>Three Months Ended September 30, 2023</w:t>
            </w:r>
          </w:p>
        </w:tc>
      </w:tr>
      <w:tr>
        <w:trPr>
          <w:trHeight w:val="191"/>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Direct</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r>
      <w:tr>
        <w:trPr>
          <w:trHeight w:val="20"/>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39,668</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0"/>
              </w:rPr>
              <w:t>Nine Months Ended September 30, 2022</w:t>
            </w:r>
          </w:p>
        </w:tc>
      </w:tr>
      <w:tr>
        <w:trPr>
          <w:trHeight w:val="191"/>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Direct</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158,399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162,814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3,454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3,454</w:t>
            </w:r>
          </w:p>
        </w:tc>
      </w:tr>
      <w:tr>
        <w:trPr>
          <w:trHeight w:val="20"/>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161,853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166,268</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0"/>
              </w:rPr>
              <w:t>Nine Months Ended September 30, 2023</w:t>
            </w:r>
          </w:p>
        </w:tc>
      </w:tr>
      <w:tr>
        <w:trPr>
          <w:trHeight w:val="191"/>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Direct</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103,451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3,906</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3,906</w:t>
            </w:r>
          </w:p>
        </w:tc>
      </w:tr>
      <w:tr>
        <w:trPr>
          <w:trHeight w:val="20"/>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107,357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109,811</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and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w w:val="73"/>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Heating, cooling and air quality</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27,179</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Kitchen appliances</w:t>
            </w:r>
          </w:p>
        </w:tc>
        <w:tc>
          <w:tcPr>
            <w:tcW w:w="9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10,504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5,586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Health and beauty</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9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Cookware, kitchen tools and gadgets</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Home office</w:t>
            </w:r>
          </w:p>
        </w:tc>
        <w:tc>
          <w:tcPr>
            <w:tcW w:w="9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3,045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Housewares</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9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6,262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3,935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net revenue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66,326</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39,668</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w w:val="73"/>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Heating, cooling and air quality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56,835</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Kitchen appliances</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27,438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18,234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Health and beauty</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Cookware, kitchen tools and gadgets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Home office</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10,077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7,410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Housewares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17,102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12,787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166,268</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109,811</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Intangibles</w:t>
      </w:r>
      <w:r>
        <w:rPr>
          <w:rFonts w:ascii="Arial" w:cs="Arial" w:eastAsia="Arial" w:hAnsi="Arial"/>
          <w:sz w:val="18"/>
          <w:szCs w:val="18"/>
          <w:color w:val="auto"/>
        </w:rPr>
        <w:t>—We review long-lived assets for impairment when performance expectations, events, or changes in circumstances indicate that the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20, 2023, the Company made certain leadership changes in our essential oil business resulting in a change in strategy and outlook for the business resulting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during the three months ending March 31, 2023 within impairment loss on intangibles on the condensed consolidated statement of operations.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three months ended June 30, 2023, the Company had a substantial decrease in its market capitalization, primarily relating to a decrease in share price. Further, the Company continues to see reduced net revenues across its portfolio due primarily to the current macroeconomic environment reducing demand for consumer discretionary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 There were no triggering events during the three months ended September 30,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2022 and 2023, total impairment loss on intangibles were approximately$3.1 million and $39.4 million, respectively.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—The Company’s financial instruments, including net accounts receivable, accounts payable, and accrued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liabilities are carried at historical cost. At September 30, 2023, the carrying amounts of these instruments approximated their fair values because of their short-term nature. The Company’s credit facility is carried at amortized cost at December 31, 2022 and September 30, 2023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fair value of the Prefunded Warrants (as defined in the “Securities Purchase Agreement and Warrants” section of this Quarterly Report) and stock purchase warrants issued in connection with the Company’s common stock offering on March 1, 2022 were measured using the Black-Scholes model. Due to the complexity of the warrants issued, the Company uses an outside expert to assist in providing the mark-to-market fair valuation of the liabilities over the reporting periods in which the original agreement was in effect.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Prefunded Warrants and stock purchase warrants, the Company evaluated the terms of each warrant to determine the appropriate accounting and classification pursuant to FASB ASC Topic 480, </w:t>
      </w:r>
      <w:r>
        <w:rPr>
          <w:rFonts w:ascii="Arial" w:cs="Arial" w:eastAsia="Arial" w:hAnsi="Arial"/>
          <w:sz w:val="18"/>
          <w:szCs w:val="18"/>
          <w:i w:val="1"/>
          <w:iCs w:val="1"/>
          <w:color w:val="auto"/>
        </w:rPr>
        <w:t>Distinguishing Liabilities from Equity (</w:t>
      </w:r>
      <w:r>
        <w:rPr>
          <w:rFonts w:ascii="Arial" w:cs="Arial" w:eastAsia="Arial" w:hAnsi="Arial"/>
          <w:sz w:val="18"/>
          <w:szCs w:val="18"/>
          <w:color w:val="auto"/>
        </w:rPr>
        <w:t>“</w:t>
      </w:r>
      <w:r>
        <w:rPr>
          <w:rFonts w:ascii="Arial" w:cs="Arial" w:eastAsia="Arial" w:hAnsi="Arial"/>
          <w:sz w:val="18"/>
          <w:szCs w:val="18"/>
          <w:i w:val="1"/>
          <w:iCs w:val="1"/>
          <w:color w:val="auto"/>
        </w:rPr>
        <w:t>ASC 480</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FASB Accounting Standards Codification Topic 815, </w:t>
      </w:r>
      <w:r>
        <w:rPr>
          <w:rFonts w:ascii="Arial" w:cs="Arial" w:eastAsia="Arial" w:hAnsi="Arial"/>
          <w:sz w:val="18"/>
          <w:szCs w:val="18"/>
          <w:i w:val="1"/>
          <w:iCs w:val="1"/>
          <w:color w:val="auto"/>
        </w:rPr>
        <w:t>Derivatives and Hedging (</w:t>
      </w:r>
      <w:r>
        <w:rPr>
          <w:rFonts w:ascii="Arial" w:cs="Arial" w:eastAsia="Arial" w:hAnsi="Arial"/>
          <w:sz w:val="18"/>
          <w:szCs w:val="18"/>
          <w:color w:val="auto"/>
        </w:rPr>
        <w:t>“</w:t>
      </w:r>
      <w:r>
        <w:rPr>
          <w:rFonts w:ascii="Arial" w:cs="Arial" w:eastAsia="Arial" w:hAnsi="Arial"/>
          <w:sz w:val="18"/>
          <w:szCs w:val="18"/>
          <w:i w:val="1"/>
          <w:iCs w:val="1"/>
          <w:color w:val="auto"/>
        </w:rPr>
        <w:t>ASC 815</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Based on the Company’s evaluation and due to certain terms in the warrant agreements, it concluded the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and the stock purchase warrants should be classified as liability with subsequent remeasurement as long as such warrants continue to be classified as liabilities.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“change in fair value of contingent earn-out liabilities” on the statement of operations.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that are measured at fair value as of December 31, 2022 and September 30, 2023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8"/>
                <w:szCs w:val="18"/>
                <w:b w:val="1"/>
                <w:bCs w:val="1"/>
                <w:color w:val="auto"/>
                <w:w w:val="88"/>
              </w:rPr>
              <w:t>December 31, 2022</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7"/>
          </w:tcPr>
          <w:p>
            <w:pPr>
              <w:jc w:val="center"/>
              <w:ind w:left="690"/>
              <w:spacing w:after="0" w:line="191" w:lineRule="exact"/>
              <w:rPr>
                <w:sz w:val="20"/>
                <w:szCs w:val="20"/>
                <w:color w:val="auto"/>
              </w:rPr>
            </w:pPr>
            <w:r>
              <w:rPr>
                <w:rFonts w:ascii="Arial" w:cs="Arial" w:eastAsia="Arial" w:hAnsi="Arial"/>
                <w:sz w:val="18"/>
                <w:szCs w:val="18"/>
                <w:b w:val="1"/>
                <w:bCs w:val="1"/>
                <w:color w:val="auto"/>
                <w:w w:val="91"/>
              </w:rPr>
              <w:t>Fair Value Measurement Category</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ind w:left="180"/>
              <w:spacing w:after="0"/>
              <w:rPr>
                <w:sz w:val="20"/>
                <w:szCs w:val="20"/>
                <w:color w:val="auto"/>
              </w:rPr>
            </w:pPr>
            <w:r>
              <w:rPr>
                <w:rFonts w:ascii="Arial" w:cs="Arial" w:eastAsia="Arial" w:hAnsi="Arial"/>
                <w:sz w:val="18"/>
                <w:szCs w:val="18"/>
                <w:b w:val="1"/>
                <w:bCs w:val="1"/>
                <w:color w:val="auto"/>
              </w:rPr>
              <w:t>Level 2</w:t>
            </w: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43,574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00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Liabilities: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 2023</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7"/>
          </w:tcPr>
          <w:p>
            <w:pPr>
              <w:jc w:val="center"/>
              <w:ind w:left="690"/>
              <w:spacing w:after="0" w:line="191" w:lineRule="exact"/>
              <w:rPr>
                <w:sz w:val="20"/>
                <w:szCs w:val="20"/>
                <w:color w:val="auto"/>
              </w:rPr>
            </w:pPr>
            <w:r>
              <w:rPr>
                <w:rFonts w:ascii="Arial" w:cs="Arial" w:eastAsia="Arial" w:hAnsi="Arial"/>
                <w:sz w:val="18"/>
                <w:szCs w:val="18"/>
                <w:b w:val="1"/>
                <w:bCs w:val="1"/>
                <w:color w:val="auto"/>
                <w:w w:val="91"/>
              </w:rPr>
              <w:t>Fair Value Measurement Category</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ind w:left="180"/>
              <w:spacing w:after="0"/>
              <w:rPr>
                <w:sz w:val="20"/>
                <w:szCs w:val="20"/>
                <w:color w:val="auto"/>
              </w:rPr>
            </w:pPr>
            <w:r>
              <w:rPr>
                <w:rFonts w:ascii="Arial" w:cs="Arial" w:eastAsia="Arial" w:hAnsi="Arial"/>
                <w:sz w:val="18"/>
                <w:szCs w:val="18"/>
                <w:b w:val="1"/>
                <w:bCs w:val="1"/>
                <w:color w:val="auto"/>
              </w:rPr>
              <w:t>Level 2</w:t>
            </w: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27,955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00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Liabilities: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summary of the activity of the Level 3 liabilities carried at fair value on a recurring basis for the Year-ended December 31, 2022 and the nine months ended September 30, 2023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Warrants liability as of January 1, 2022</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8"/>
                <w:szCs w:val="18"/>
                <w:color w:val="auto"/>
              </w:rPr>
            </w:pPr>
          </w:p>
        </w:tc>
      </w:tr>
      <w:tr>
        <w:trPr>
          <w:trHeight w:val="249"/>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liability as of December 31, 2022</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6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Warrants liability as of January 1, 2023</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(2,410)</w:t>
            </w:r>
          </w:p>
        </w:tc>
      </w:tr>
      <w:tr>
        <w:trPr>
          <w:trHeight w:val="25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liability as of September 30, 2023</w:t>
            </w:r>
          </w:p>
        </w:tc>
        <w:tc>
          <w:tcPr>
            <w:tcW w:w="3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Accounting Standards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FASB issued ASU No. 2020-06, “Debt—Debt with Conversion and Other Options (Topic 470) and Derivatives and Hedging— 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Consolidated Financial Statements.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2022, the FASB issued ASU 2022-04, Disclosures for Supplier Finance Arrangements. This amendment enhances the transparency of supplier finance programs. This standard is effective for fiscal years beginning after December 15, 2021, and interim periods within fiscal years beginning after December 15, 2022, except for amendment on rollforward information, which is effective for fiscal years beginning after December 15, 2023. Early adoption is permitted. The new guidance was early adopted on January 1, 2023, with no impact on the Company’s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FASB issued ASU 2016-13: Financial Instruments – Credit Losses (Topic 326).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The Company adopted this standard on January 1, 2023, but it does not have a material impact on the Consolidated Financial Statements.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FASB issued ASU 2019-12, Income Taxes.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The Company adopted this standard on January 1, 2023, but it does not have a material impact on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2023, the FASB finalized ASU 2023-ED100, Income Taxes (Topic 740). This ASU provides for certain updates to enhance the transparency about companies’ exposure to changes in tax legislation and the global tax risk they may face. Under the guidance, companies will be required to provide a breakout of amounts paid for taxes between federal, state, and foreign taxing jurisdictions, rather than a lump sum amount. Further, the rate reconciliation will require disaggregation into eight specific categories, with these categories further disaggregated by jurisdiction and for amounts exceeding 5 percent of their domestic tax rate. The rate reconciliation will need to also disclose both dollar amounts and percentages. This standard is effective for fiscal years beginning after December 15, 2024.</w:t>
      </w:r>
    </w:p>
    <w:p>
      <w:pPr>
        <w:spacing w:after="0" w:line="200" w:lineRule="exact"/>
        <w:rPr>
          <w:sz w:val="20"/>
          <w:szCs w:val="20"/>
          <w:color w:val="auto"/>
        </w:rPr>
      </w:pPr>
    </w:p>
    <w:p>
      <w:pPr>
        <w:spacing w:after="0" w:line="23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2022 and September 30, 2023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Inventory on-hand</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Inventory in-transit</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$8.6 million and $6.8 million as of December 31, 2022 and September 30, 2023,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and other current assets consisted of the following as of December 31, 2022 and September 30,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Prepaid inventory</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Prepaid freight forwarder</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Prepaid expenses and current assets</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8,261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5,963</w:t>
            </w:r>
          </w:p>
        </w:tc>
      </w:tr>
      <w:tr>
        <w:trPr>
          <w:trHeight w:val="20"/>
        </w:trPr>
        <w:tc>
          <w:tcPr>
            <w:tcW w:w="8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2022 and September 30,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costs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professional fees and consultants</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logistics costs</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Product related accruals</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Sales tax payable</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Sales return reserve</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fulfillment expense</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insurance</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Federal payroll taxes payable</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 accruals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and current liabilities</w:t>
            </w: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200" w:lineRule="exact"/>
        <w:rPr>
          <w:sz w:val="20"/>
          <w:szCs w:val="20"/>
          <w:color w:val="auto"/>
        </w:rPr>
      </w:pPr>
    </w:p>
    <w:p>
      <w:pPr>
        <w:spacing w:after="0" w:line="250" w:lineRule="exact"/>
        <w:rPr>
          <w:sz w:val="20"/>
          <w:szCs w:val="20"/>
          <w:color w:val="auto"/>
        </w:rPr>
      </w:pPr>
    </w:p>
    <w:p>
      <w:pPr>
        <w:ind w:right="6500" w:firstLine="8"/>
        <w:spacing w:after="0" w:line="503" w:lineRule="auto"/>
        <w:tabs>
          <w:tab w:leader="none" w:pos="3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TERM LOANS AND WARRANTS MidCap Credit Facility</w:t>
      </w:r>
    </w:p>
    <w:p>
      <w:pPr>
        <w:jc w:val="both"/>
        <w:spacing w:after="0" w:line="273" w:lineRule="auto"/>
        <w:rPr>
          <w:sz w:val="20"/>
          <w:szCs w:val="20"/>
          <w:color w:val="auto"/>
        </w:rPr>
      </w:pPr>
      <w:r>
        <w:rPr>
          <w:rFonts w:ascii="Arial" w:cs="Arial" w:eastAsia="Arial" w:hAnsi="Arial"/>
          <w:sz w:val="17"/>
          <w:szCs w:val="17"/>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200,000 shares of common stock of the Company, par value $0.0001 per share, in exchange for the Lenders extending loans and other extensions of credit to the Company under the Credit Agreement.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22, 2021, the Company used $27.6 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 million, as amended (the “Terminated Notes”).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 The Company is in compliance with the financial covenants contained within the Credit Agreement as of September 30, 2023. The MidCap credit facility matures in December 2024.</w:t>
      </w:r>
    </w:p>
    <w:p>
      <w:pPr>
        <w:sectPr>
          <w:pgSz w:w="11900" w:h="16838" w:orient="portrait"/>
          <w:cols w:equalWidth="0" w:num="1">
            <w:col w:w="11240"/>
          </w:cols>
          <w:pgMar w:left="320" w:top="125" w:right="339" w:bottom="817"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17"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Midcap Warrant has an exercise price of $4.70 per share, subject to adjustment for stock splits, reverse stock splits, stock dividends and similar transactions, is immediately exercisable, has a term of ten years from the date of issuance and is exercisable on a cash or cashless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facility consisted of the following as of December 31, 2022 and September 30,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MidCap Credit Facility</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Less: discount associated with issuance of warrants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MidCap Credit Facility</w:t>
            </w: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14,182</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three and nine months ended September 30, 2022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904</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904</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and Warrants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6,436,322 shares of the Company’s common stock (the “Shares”),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 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the issuance of the Prefunded Warrants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As of September 30, 2023, the Company has $1.1 million as the liability related to the Warrants.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29, 2022, the Company entered into securities purchase agreements (the “September Purchase Agreements”) with certain accredited investors, pursuant to which, among other things, the Company agreed to sell and issue, in a registered direct offering (the “Registered Direct Offering”), an aggregate of 10,643,034 shares of its common stock and accompanying warrants to purchase an aggregate of 10,643,034 shares of its common stock. 10,526,368 of the shares and the accompanying warrants to purchase 10,526,368 shares of common stock were sold to certain accredited Purchasers that are not affiliated with the Company at a combined offering price of $1.90 per share and accompanying warrant to purchase one share of common stock. The remaining 116,666 of the shares and the accompanying warrants to purchase 116,666 shares of common stock were sold to certain insiders of the Company, at a combined offering price of $2.10 per share and accompanying warrant to purchase one share of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Registered Direct Offering closed on October 4, 2022 and the Company issued and sold an aggregate of 10,643,034 shares of common stock to the Purchasers. The gross proceeds to the Company from the Registered Direct Offering were approximately $20.2 million, before deducting fees payable to the placement agent and other estimated offering expenses payable by the Company. The Company currently intends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ASC 815-40, the September Purchase Agreements represent legally binding contracts that meets the definition of a firm commitment and as such the Company recorded a derivative related to the offering of common stock (“forward contract”) and associated warrants for the three months ended September 30, 2022. The Company also concluded both the forward contract and the warrants should be classified within stockholders’ equity within the Condensed Consolidated Balance Sheet as of September 30, 2022. Additionally, the Company recorded $12.8 million derivative expense derived from the excess of the fair-value of the issuances of equity of common shares and common stock warrants over the anticipated proceeds to be received by the Company. This expense was recorded in Loss on Initial Issuance of Equity on the Consolidated Statement of Operations for the year-ended December 31,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four equity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September 30, 2023, 99,310 shares were reserved for awards available for future issuance under the Aterian 2014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board of directors (the “Board”) adopted the Aterian, Inc. 2018 Equity Incentive Plan (the “2018 Plan”) on October 11, 2018. The 2018 Plan was approved by its stockholders on May 24, 2019. As of September 30, 2023, 2,300,443 shares were reserved for awards available for future issuance under the 2018 Plan.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Board adopted the Aterian, Inc. 2019 Equity Plan (the “2019 Equity Plan”) on March 20, 2019. The 2019 Equity Plan was approved by its stockholders on May 24, 2019. As of September 30, 2023, there were no shares were reserved for future issuance and there were no longer any awards outstanding under the 2019 Equity Plan.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the vesting date of the shares granted under the 2019 Equity Plan a number of times and the last remaining shares granted under the 2019 Equity Plan vested on March 14, 2022. Awards granted under the 2019 Equity Plan and not previously forfeited upon termination of service carried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catch-up expense and the remaining expense was recorded under graded vesting. In the event the service of a participant in the 2019 Equity Plan (each, a “Participant”) was terminated due to an “involuntary termination”, then all of such Participant’s unvested shares of restricted common stock were to vest on the date of such involuntary termination unless, within three business days of such termination (1) the Company’s board of directors unanimously determines that such vesting should not occur and (2) the remaining Participants holding restricted share awards covering at least 70% of the shares of restricted common stock issued and outstanding under the 2019 Equity Plan determine that such vesting should not occur. In the event of a forfeiture, voluntary or involuntary, of shares of restricted common stock granted under the 2019 Equity Plan, such shares were automatically reallocated to the remaining Participants in proportion to the number of shares of restricted common stock covered by outstanding awards that each such Participant holds.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Equity Incentive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2,700,000 shares of the Company’s common stock (subject to adjustment for recapitalizations, stock splits, reorganizations and similar transactions). The Inducement Plan is administered by the Compensation Committee and expires ten years from the date of effectiveness. As of September 30, 2023, 2,180,000 shares were reserved for future issuance under the Inducement Plan.</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during the nine months ended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Options Outstanding</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2023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368,596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Options canceled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(172,292)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2023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196,304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Exercisable as of September 30, 2023</w:t>
            </w:r>
          </w:p>
        </w:tc>
        <w:tc>
          <w:tcPr>
            <w:tcW w:w="13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196,304</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9.21</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5.25</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800"/>
              <w:spacing w:after="0" w:line="196" w:lineRule="exact"/>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as of September 30, 2023</w:t>
            </w:r>
          </w:p>
        </w:tc>
        <w:tc>
          <w:tcPr>
            <w:tcW w:w="13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196,304</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9.21</w:t>
            </w:r>
          </w:p>
        </w:tc>
        <w:tc>
          <w:tcPr>
            <w:tcW w:w="13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all options have been fully expensed.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restricted stock award activity within the Company’s equity plans and changes for the nine months ended September 30, 2023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788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Restricted Stock Awards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2023</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4,223,023</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12,050,644</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(2,666,468)</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(3,970,751)</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50"/>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September 30, 2023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9,636,448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the total unrecognized compensation expense related to unvested shares of restricted common stock was $8.7 million, which the Company expects to recognize over an estimated weighted-average period of 2.4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is allocated based on the cost center to which the award holder belongs. The following table summarizes the total stock-based compensation expense by function, including expense related to consultants, for the three and nine months ended September 30, 2022 and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distribution expenses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1,418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1,134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11,854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6,771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(116,902)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(66,857)</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2"/>
              </w:rPr>
              <w:t>Weighted-average number of shares used in computing net loss per share, basic</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64,648,650</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79,022,467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63,397,196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77,801,774</w:t>
            </w: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(0.86)</w:t>
            </w:r>
          </w:p>
        </w:tc>
      </w:tr>
      <w:tr>
        <w:trPr>
          <w:trHeight w:val="196"/>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4"/>
              </w:rPr>
              <w:t>Anti-dilutive shares excluded from computation of net loss per share (in shares)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13,054,457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26,360,485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9,238,156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22,784,728</w:t>
            </w:r>
          </w:p>
        </w:tc>
      </w:tr>
      <w:tr>
        <w:trPr>
          <w:trHeight w:val="432"/>
        </w:trPr>
        <w:tc>
          <w:tcPr>
            <w:tcW w:w="5980" w:type="dxa"/>
            <w:vAlign w:val="bottom"/>
          </w:tcPr>
          <w:p>
            <w:pPr>
              <w:ind w:left="55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Sales or Other Similar Taxes</w:t>
      </w:r>
      <w:r>
        <w:rPr>
          <w:rFonts w:ascii="Arial" w:cs="Arial" w:eastAsia="Arial" w:hAnsi="Arial"/>
          <w:sz w:val="17"/>
          <w:szCs w:val="17"/>
          <w:color w:val="auto"/>
        </w:rPr>
        <w:t>—Based on the location of the Company’s current operations, the majority of sales tax is collected and remitted either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2022 and September 30, 2023, the Company estimates that the potential liability, including current sales tax payable is approximately $0.7 million and $0.9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is party to various actions and claims arising in the normal course of business. The Company does not believe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Mueller Action</w:t>
      </w:r>
      <w:r>
        <w:rPr>
          <w:rFonts w:ascii="Arial" w:cs="Arial" w:eastAsia="Arial" w:hAnsi="Arial"/>
          <w:sz w:val="16"/>
          <w:szCs w:val="16"/>
          <w:color w:val="auto"/>
        </w:rPr>
        <w:t>—In October 2021, the Company received a class action notification and pre-lawsuit demand letter demanding corrective action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marketing, advertising and labeling of certain products under the Mueller brand (the “Mueller Action”). In April 2022, the parties reached an agreement in principle to resolve this potential action for $0.5 million in cash and $0.3 million worth of coupons, which the Company accrued $0.8 million in the three months ended March 31, 2022, subject to court approval. The court preliminarily approved the settlement on August 3, 2023 and has scheduled a hearing for final approval for February 28, 2024. If that approval is not granted, the Company is prepared to continue the full defense of this action.</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Earn-out Payment Dispute</w:t>
      </w:r>
      <w:r>
        <w:rPr>
          <w:rFonts w:ascii="Arial" w:cs="Arial" w:eastAsia="Arial" w:hAnsi="Arial"/>
          <w:sz w:val="18"/>
          <w:szCs w:val="18"/>
          <w:color w:val="auto"/>
        </w:rPr>
        <w:t>—On February 24, 2022, the Company received a notice disputing the Company’s calculation of the earn-out payment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to Josef Eitan and Ran Nir pursuant to the Stock Purchase Agreement (the “PPD Stock Purchase Agreement”), dated as of May 5, 2021, by and among the Company, Truweo, LLC, Photo Paper Direct Ltd, Josef Eitan and Ran Nir. The Company is in discussions with representatives of Mr. Eitan and Mr. Nir, who believe they are entitled to the full earn-out amount (£6,902,816 or approximately $8.8 million) under the terms of the PPD Stock Purchase Agreement, whereas the Company believes they are not. Mr. Eitan and Mr. Nir filed a motion to compel arbitration in the Southern District of New York on September 14, 2022, which was granted on May 18, 2023. The parties have engaged an independent accountant to resolve the dispute, as required by the PPD Stock Purchase Agreement and the Southern District of New York. The Company believes its calculations are accurate and intends to vigorously defend itself.</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Nasdaq Listing - </w:t>
      </w:r>
      <w:r>
        <w:rPr>
          <w:rFonts w:ascii="Arial" w:cs="Arial" w:eastAsia="Arial" w:hAnsi="Arial"/>
          <w:sz w:val="18"/>
          <w:szCs w:val="18"/>
          <w:color w:val="auto"/>
        </w:rPr>
        <w:t>On April 24, 2023, we received a letter from the Listing Qualifications Staff of The Nasdaq Stock Market LLC indicating that, based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Bid Price Notice has no immediate effect on the continued listing status of our common stock on The Nasdaq Capital Market, and, therefore, our listing remains fully effective.</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has a compliance period of 180 calendar days from the date of the Extension Notice, or until April 22, 2024, to regain compliance with the minimum closing bid requirement, pursuant to Nasdaq Listing Rule 5810(c)(3)(A). If at any time before April 22, 2024,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w:t>
      </w:r>
    </w:p>
    <w:p>
      <w:pPr>
        <w:spacing w:after="0" w:line="176"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The Company will continue to monitor the closing bid price of its Common Stock and seek to regain compliance with all applicable Nasdaq requirements within the allotted compliance periods. If the Company does not regain compliance within the allotted compliance periods,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compliance period or maintain compliance with the other Nasdaq listing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—The Company’s minimum lease liabilities have not changed significantly during the nine months ended September 30,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CONTINGENT EARN-OUT 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 (loss).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 As part of the acquisition of the Smash Assets, the sellers of the Smash Assets are entitled to earn-out payments based on the achievement of certain contribution margin thresholds on certain products of the acquired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September 30, 2023, there was no remaining earn-out liability related to Smash Assets.</w:t>
      </w:r>
    </w:p>
    <w:p>
      <w:pPr>
        <w:sectPr>
          <w:pgSz w:w="11900" w:h="16838" w:orient="portrait"/>
          <w:cols w:equalWidth="0" w:num="1">
            <w:col w:w="11240"/>
          </w:cols>
          <w:pgMar w:left="320" w:top="125" w:right="339" w:bottom="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As part of the acquisition of the Squatty Potty Assets, Squatty Potty is entitled to earn-out payments based on the achievement of certain contribution margin thresholds on certain products of the acquired business. If the earn-out consideration event occurs in the 12 months ended December 31, 2021, the maximum payment amount is $3.9 million and if the termination of the transition service agreement is prior to the date that is nine months following the Closing Date, an additional $3.9 million.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May 5, 2021, the acquisition date, the initial fair value amount of the earn-out payment with respect to the Squatty Potty Assets was appropriately $3.5 million. As of December 31, 2022 and September 30, 2023, there was no remaining earn-out liability related to Squatty Potty.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carrying value of estimated contingent earn-out liabilities as of December 31,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2"/>
              </w:rPr>
              <w:t>December 31, 2022</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32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Smash</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Squatty</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3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Potty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(5,240)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(5,240)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earn-out liability</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(3,983)</w:t>
            </w:r>
          </w:p>
        </w:tc>
      </w:tr>
      <w:tr>
        <w:trPr>
          <w:trHeight w:val="20"/>
        </w:trPr>
        <w:tc>
          <w:tcPr>
            <w:tcW w:w="6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Balance— December 31, 2022</w:t>
            </w:r>
          </w:p>
        </w:tc>
        <w:tc>
          <w:tcPr>
            <w:tcW w:w="980" w:type="dxa"/>
            <w:vAlign w:val="bottom"/>
          </w:tcPr>
          <w:p>
            <w:pPr>
              <w:jc w:val="right"/>
              <w:ind w:right="818"/>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for contingent earn-out liabilities for the nine months ending September 30, 2023.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the Company’s goodwill as of December 31,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Year-Ended December 31, 2022</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Impairments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r>
      <w:tr>
        <w:trPr>
          <w:trHeight w:val="229"/>
        </w:trPr>
        <w:tc>
          <w:tcPr>
            <w:tcW w:w="5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119,941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(120,409)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820" w:hanging="488"/>
        <w:spacing w:after="0" w:line="269"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evaluated current economic conditions during 2022, including the impact of the Federal Reserve further increasing the risk-free interest rate, as well as the inflationary pressure on product and labor costs and operational impacts attributable to continued global supply chain disruptions. The Company believed that these conditions were factors in our market capitalization falling below the book value of net assets during the fiscal quarters ending March 31, 2022 and September 30, 2022. Accordingly, the Company concluded a triggering event had occurred in each of these periods and performed interim goodwill impairment analyses. As a result, the Company recorded a goodwill impairment charge of approximately $29.0 million and $90.9 during the three months ended March 31, 2022 and September 30, 2022, respectively. On October 4, 2022, the Company acquired Step and Go, a brand in the health and Wellness category, for $0.7 million. As part of the purchase price allocation of the acquisition, $0.5 million was attributed to goodwill. As our market capitalization was further reduced below net assets as of December 31, 2022, we concluded a triggering event has occurred to test goodwill, an impairment loss on goodwill of $0.5 million was recorded for the three months ended December 31, 2022, which is included in impairment loss on goodwill in the Consolidated Statement of Operations for the year-ended December 31, 2022.</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year-ended December 31, 2022, total goodwill impairment was approximately $120.4 million. There is no goodwill balance as of December 31, 2022 and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changes in the Company’s intangible assets as of December 31, 2022 and September 30,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7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Year-Ended December 31, 2022</w:t>
            </w:r>
          </w:p>
        </w:tc>
        <w:tc>
          <w:tcPr>
            <w:tcW w:w="24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Impairments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r>
      <w:tr>
        <w:trPr>
          <w:trHeight w:val="230"/>
        </w:trPr>
        <w:tc>
          <w:tcPr>
            <w:tcW w:w="4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Additions</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232"/>
              <w:spacing w:after="0"/>
              <w:rPr>
                <w:sz w:val="20"/>
                <w:szCs w:val="20"/>
                <w:color w:val="auto"/>
              </w:rPr>
            </w:pPr>
            <w:r>
              <w:rPr>
                <w:rFonts w:ascii="Arial" w:cs="Arial" w:eastAsia="Arial" w:hAnsi="Arial"/>
                <w:sz w:val="15"/>
                <w:szCs w:val="15"/>
                <w:b w:val="1"/>
                <w:bCs w:val="1"/>
                <w:color w:val="auto"/>
                <w:w w:val="97"/>
              </w:rPr>
              <w:t>(1)</w:t>
            </w: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9"/>
                <w:szCs w:val="19"/>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Transition services agreement</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Customer relations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intangibles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72,444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(14,761)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54,757</w:t>
            </w: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27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Nine Months Ended September</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1"/>
              </w:rPr>
              <w:t>30, 2023</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Impairments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r>
      <w:tr>
        <w:trPr>
          <w:trHeight w:val="229"/>
        </w:trPr>
        <w:tc>
          <w:tcPr>
            <w:tcW w:w="4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Additions</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232"/>
              <w:spacing w:after="0"/>
              <w:rPr>
                <w:sz w:val="20"/>
                <w:szCs w:val="20"/>
                <w:color w:val="auto"/>
              </w:rPr>
            </w:pPr>
            <w:r>
              <w:rPr>
                <w:rFonts w:ascii="Arial" w:cs="Arial" w:eastAsia="Arial" w:hAnsi="Arial"/>
                <w:sz w:val="15"/>
                <w:szCs w:val="15"/>
                <w:b w:val="1"/>
                <w:bCs w:val="1"/>
                <w:color w:val="auto"/>
                <w:w w:val="97"/>
              </w:rPr>
              <w:t>(2)</w:t>
            </w: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9"/>
                <w:szCs w:val="19"/>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Transition services agreement</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Customer relations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4,323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Total intangibles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68,625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(39,445)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(17,164)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12,016</w:t>
            </w: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2"/>
        <w:spacing w:after="0" w:line="257" w:lineRule="auto"/>
        <w:tabs>
          <w:tab w:leader="none" w:pos="7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the Company compared the fair value to the carrying amount of the asset group and recorded an intangible impairment charge of $3.1 million for the year-ended December 31, 2022.</w:t>
      </w:r>
    </w:p>
    <w:p>
      <w:pPr>
        <w:spacing w:after="0" w:line="187" w:lineRule="exact"/>
        <w:rPr>
          <w:rFonts w:ascii="Arial" w:cs="Arial" w:eastAsia="Arial" w:hAnsi="Arial"/>
          <w:sz w:val="18"/>
          <w:szCs w:val="18"/>
          <w:color w:val="auto"/>
        </w:rPr>
      </w:pPr>
    </w:p>
    <w:p>
      <w:pPr>
        <w:jc w:val="both"/>
        <w:ind w:left="460" w:hanging="2"/>
        <w:spacing w:after="0" w:line="269" w:lineRule="auto"/>
        <w:tabs>
          <w:tab w:leader="none" w:pos="7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sectPr>
          <w:pgSz w:w="11900" w:h="16838" w:orient="portrait"/>
          <w:cols w:equalWidth="0" w:num="1">
            <w:col w:w="11240"/>
          </w:cols>
          <w:pgMar w:left="320" w:top="125" w:right="33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left="460"/>
        <w:spacing w:after="0" w:line="286" w:lineRule="auto"/>
        <w:rPr>
          <w:sz w:val="20"/>
          <w:szCs w:val="20"/>
          <w:color w:val="auto"/>
        </w:rPr>
      </w:pPr>
      <w:r>
        <w:rPr>
          <w:rFonts w:ascii="Arial" w:cs="Arial" w:eastAsia="Arial" w:hAnsi="Arial"/>
          <w:sz w:val="16"/>
          <w:szCs w:val="16"/>
          <w:color w:val="auto"/>
        </w:rPr>
        <w:t>During the three months ended June 30, 2023, the Company had a substantial decrease in its market capitalization, primarily relating to a decrease in share price. Further, the Company continues to see reduced net revenues across its portfolio primarily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 There were no triggering events during the three months ended September 30, 2023.</w:t>
      </w:r>
    </w:p>
    <w:p>
      <w:pPr>
        <w:spacing w:after="0" w:line="171"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following table sets forth the estimated aggregate amortization of the Company’s intangible assets for the next five years and thereafter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2028</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May 9, 2023, the Company announced a plan to reduce expenses and re-align the organization’s structure by implementing a reduction in its current workforce impacting approximately 50 employees and 15 contractors, primarily in the Philippines. The headcount reduction is part of the Company's cost-saving initiatives to navigate challenges in the industry and to better position itself for future growth opportunities. The Company incurred $0.4 million and $1.6 million of restructuring charges during the three and nine months ended September 30, 2023, respectively.</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sectPr>
          <w:pgSz w:w="11900" w:h="16838" w:orient="portrait"/>
          <w:cols w:equalWidth="0" w:num="1">
            <w:col w:w="11240"/>
          </w:cols>
          <w:pgMar w:left="320" w:top="125" w:right="339" w:bottom="831"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restructuring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Employee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Retention bonus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Contract termination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restructuring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347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1200" w:hanging="1200"/>
        <w:spacing w:after="0"/>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396</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934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2" w:lineRule="exact"/>
        <w:rPr>
          <w:sz w:val="20"/>
          <w:szCs w:val="20"/>
          <w:color w:val="auto"/>
        </w:rPr>
      </w:pPr>
    </w:p>
    <w:p>
      <w:pPr>
        <w:ind w:left="1200" w:hanging="1200"/>
        <w:spacing w:after="0"/>
        <w:tabs>
          <w:tab w:leader="none" w:pos="1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417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1180" w:hanging="1173"/>
        <w:spacing w:after="0"/>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916</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411</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285</w:t>
      </w:r>
    </w:p>
    <w:p>
      <w:pPr>
        <w:spacing w:after="0" w:line="32"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9169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2" w:lineRule="exact"/>
        <w:rPr>
          <w:sz w:val="20"/>
          <w:szCs w:val="20"/>
          <w:color w:val="auto"/>
        </w:rPr>
      </w:pPr>
    </w:p>
    <w:p>
      <w:pPr>
        <w:ind w:left="1040" w:hanging="1033"/>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1,633</w:t>
      </w:r>
    </w:p>
    <w:p>
      <w:pPr>
        <w:spacing w:after="0" w:line="262" w:lineRule="exact"/>
        <w:rPr>
          <w:sz w:val="20"/>
          <w:szCs w:val="20"/>
          <w:color w:val="auto"/>
        </w:rPr>
      </w:pPr>
    </w:p>
    <w:p>
      <w:pPr>
        <w:sectPr>
          <w:pgSz w:w="11900" w:h="16838" w:orient="portrait"/>
          <w:cols w:equalWidth="0" w:num="3">
            <w:col w:w="7280" w:space="720"/>
            <w:col w:w="1480" w:space="200"/>
            <w:col w:w="1560"/>
          </w:cols>
          <w:pgMar w:left="320" w:top="125" w:right="339" w:bottom="831"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total restructuring reserve: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Contract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Employee</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Retention</w:t>
            </w: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Termination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Severance</w:t>
            </w:r>
          </w:p>
        </w:tc>
        <w:tc>
          <w:tcPr>
            <w:tcW w:w="14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Bonus</w:t>
            </w:r>
          </w:p>
        </w:tc>
        <w:tc>
          <w:tcPr>
            <w:tcW w:w="1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Costs</w:t>
            </w:r>
          </w:p>
        </w:tc>
        <w:tc>
          <w:tcPr>
            <w:tcW w:w="2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Usage-cash</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Usage-non-cash</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September 30, 2023, the Company has a liability of $0.2 million for restructuring costs, of which $0.1 million is included in accrued expenses and other current liabilities and $0.1 million is included in other liabilities on the consolidated balance sheet. There were no restructuring costs incurred during the year ended December 31, 2022.</w:t>
      </w:r>
    </w:p>
    <w:p>
      <w:pPr>
        <w:sectPr>
          <w:pgSz w:w="11900" w:h="16838" w:orient="portrait"/>
          <w:cols w:equalWidth="0" w:num="1">
            <w:col w:w="11240"/>
          </w:cols>
          <w:pgMar w:left="320" w:top="125" w:right="339" w:bottom="831"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31"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will continue to assess the restructuring plan's progress and provide updates as required in future financial statements if there are material changes to the initial estimates or additional significant restructuring activities.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24, 2023, we received a letter from the Listing Qualifications Staff of The Nasdaq Stock Market LLC 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2022 included in our Annual Report on Form 10-K for the year ended December 31, 2022 as filed with the Securities and Exchange Commission (the </w:t>
      </w: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 xml:space="preserve">) on March 16, 2023. As discussed in the section titled </w:t>
      </w:r>
      <w:r>
        <w:rPr>
          <w:rFonts w:ascii="Arial" w:cs="Arial" w:eastAsia="Arial" w:hAnsi="Arial"/>
          <w:sz w:val="16"/>
          <w:szCs w:val="16"/>
          <w:color w:val="auto"/>
        </w:rPr>
        <w:t>“</w:t>
      </w:r>
      <w:r>
        <w:rPr>
          <w:rFonts w:ascii="Arial" w:cs="Arial" w:eastAsia="Arial" w:hAnsi="Arial"/>
          <w:sz w:val="16"/>
          <w:szCs w:val="16"/>
          <w:i w:val="1"/>
          <w:iCs w:val="1"/>
          <w:color w:val="auto"/>
        </w:rPr>
        <w:t>Special Note Regarding 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w:t>
      </w:r>
      <w:r>
        <w:rPr>
          <w:rFonts w:ascii="Arial" w:cs="Arial" w:eastAsia="Arial" w:hAnsi="Arial"/>
          <w:sz w:val="16"/>
          <w:szCs w:val="16"/>
          <w:color w:val="auto"/>
        </w:rPr>
        <w:t>“</w:t>
      </w:r>
      <w:r>
        <w:rPr>
          <w:rFonts w:ascii="Arial" w:cs="Arial" w:eastAsia="Arial" w:hAnsi="Arial"/>
          <w:sz w:val="16"/>
          <w:szCs w:val="16"/>
          <w:i w:val="1"/>
          <w:iCs w:val="1"/>
          <w:color w:val="auto"/>
        </w:rPr>
        <w:t>Special Note Regarding Forward 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and those discussed in the section 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under Part II, Item 1A in this Quarterly Report on Form 10-Q.</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Unless the context otherwise requires, the terms </w:t>
      </w:r>
      <w:r>
        <w:rPr>
          <w:rFonts w:ascii="Arial" w:cs="Arial" w:eastAsia="Arial" w:hAnsi="Arial"/>
          <w:sz w:val="18"/>
          <w:szCs w:val="18"/>
          <w:color w:val="auto"/>
        </w:rPr>
        <w:t>“</w:t>
      </w:r>
      <w:r>
        <w:rPr>
          <w:rFonts w:ascii="Arial" w:cs="Arial" w:eastAsia="Arial" w:hAnsi="Arial"/>
          <w:sz w:val="18"/>
          <w:szCs w:val="18"/>
          <w:i w:val="1"/>
          <w:iCs w:val="1"/>
          <w:color w:val="auto"/>
        </w:rPr>
        <w:t>Aterian,</w:t>
      </w:r>
      <w:r>
        <w:rPr>
          <w:rFonts w:ascii="Arial" w:cs="Arial" w:eastAsia="Arial" w:hAnsi="Arial"/>
          <w:sz w:val="18"/>
          <w:szCs w:val="18"/>
          <w:color w:val="auto"/>
        </w:rPr>
        <w:t>”</w:t>
      </w:r>
      <w:r>
        <w:rPr>
          <w:rFonts w:ascii="Arial" w:cs="Arial" w:eastAsia="Arial" w:hAnsi="Arial"/>
          <w:sz w:val="18"/>
          <w:szCs w:val="18"/>
          <w:i w:val="1"/>
          <w:iCs w:val="1"/>
          <w:color w:val="auto"/>
        </w:rPr>
        <w:t xml:space="preserve">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Quarterly Report on Form 10-Q refer to Aterian, Inc. and our consolidated subsidiaries, including Aterian Group,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cooling and air quality appliances, health and beauty products and essential oils.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primary brands include Squatty Potty; hOmeLabs; Aussie Health; Mueller; Pursteam; Healing Solutions; and Photo Paper Direct.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Net Revenue</w:t>
      </w:r>
      <w:r>
        <w:rPr>
          <w:rFonts w:ascii="Arial" w:cs="Arial" w:eastAsia="Arial" w:hAnsi="Arial"/>
          <w:sz w:val="18"/>
          <w:szCs w:val="18"/>
          <w:color w:val="auto"/>
        </w:rPr>
        <w:t>—We derive our revenue from the sale of consumer products, primarily in the U.S. We sell products directly to consumers through online</w:t>
      </w:r>
      <w:r>
        <w:rPr>
          <w:rFonts w:ascii="Arial" w:cs="Arial" w:eastAsia="Arial" w:hAnsi="Arial"/>
          <w:sz w:val="18"/>
          <w:szCs w:val="18"/>
          <w:b w:val="1"/>
          <w:bCs w:val="1"/>
          <w:color w:val="auto"/>
        </w:rPr>
        <w:t xml:space="preserve"> </w:t>
      </w:r>
      <w:r>
        <w:rPr>
          <w:rFonts w:ascii="Arial" w:cs="Arial" w:eastAsia="Arial" w:hAnsi="Arial"/>
          <w:sz w:val="18"/>
          <w:szCs w:val="18"/>
          <w:color w:val="auto"/>
        </w:rPr>
        <w:t>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Cost of Goods Sold</w:t>
      </w:r>
      <w:r>
        <w:rPr>
          <w:rFonts w:ascii="Arial" w:cs="Arial" w:eastAsia="Arial" w:hAnsi="Arial"/>
          <w:sz w:val="18"/>
          <w:szCs w:val="18"/>
          <w:color w:val="auto"/>
        </w:rPr>
        <w:t>—Cost of goods sold consists of the book value of inventory sold to customers during the reporting period and the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When circumstances dictate that we use net realizable value as the basis for recording inventory, we base our estimates on expected future selling prices, less expected disposal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travel-related costs and fees paid to outside consultants related to the development of our intellectual property.</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Sales and Distribution Expenses</w:t>
      </w:r>
      <w:r>
        <w:rPr>
          <w:rFonts w:ascii="Arial" w:cs="Arial" w:eastAsia="Arial" w:hAnsi="Arial"/>
          <w:sz w:val="17"/>
          <w:szCs w:val="17"/>
          <w:color w:val="auto"/>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8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insurance, travel, professional service fees and other general overhead costs, including the costs of being a public company.</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Interest Expense, Net</w:t>
      </w:r>
      <w:r>
        <w:rPr>
          <w:rFonts w:ascii="Arial" w:cs="Arial" w:eastAsia="Arial" w:hAnsi="Arial"/>
          <w:sz w:val="18"/>
          <w:szCs w:val="18"/>
          <w:color w:val="auto"/>
        </w:rPr>
        <w:t>—Interest expense, net includes the interest cost from our credit facility and term loans, and includes amortization of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costs and debt discounts from our credit facility (the “Credit Facility”) with MidCap Funding IV Trust (“MidCap”).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6"/>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6"/>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4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1"/>
              <w:spacing w:after="0" w:line="210" w:lineRule="exact"/>
              <w:rPr>
                <w:sz w:val="20"/>
                <w:szCs w:val="20"/>
                <w:color w:val="auto"/>
              </w:rPr>
            </w:pPr>
            <w:r>
              <w:rPr>
                <w:rFonts w:ascii="Arial" w:cs="Arial" w:eastAsia="Arial" w:hAnsi="Arial"/>
                <w:sz w:val="15"/>
                <w:szCs w:val="15"/>
                <w:b w:val="1"/>
                <w:bCs w:val="1"/>
                <w:color w:val="auto"/>
              </w:rPr>
              <w:t xml:space="preserve">2022 </w:t>
            </w:r>
            <w:r>
              <w:rPr>
                <w:rFonts w:ascii="Arial" w:cs="Arial" w:eastAsia="Arial" w:hAnsi="Arial"/>
                <w:sz w:val="24"/>
                <w:szCs w:val="24"/>
                <w:b w:val="1"/>
                <w:bCs w:val="1"/>
                <w:color w:val="auto"/>
                <w:vertAlign w:val="superscript"/>
              </w:rPr>
              <w:t>(1)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1"/>
              <w:spacing w:after="0" w:line="210" w:lineRule="exact"/>
              <w:rPr>
                <w:sz w:val="20"/>
                <w:szCs w:val="20"/>
                <w:color w:val="auto"/>
              </w:rPr>
            </w:pPr>
            <w:r>
              <w:rPr>
                <w:rFonts w:ascii="Arial" w:cs="Arial" w:eastAsia="Arial" w:hAnsi="Arial"/>
                <w:sz w:val="15"/>
                <w:szCs w:val="15"/>
                <w:b w:val="1"/>
                <w:bCs w:val="1"/>
                <w:color w:val="auto"/>
              </w:rPr>
              <w:t xml:space="preserve">2023 </w:t>
            </w:r>
            <w:r>
              <w:rPr>
                <w:rFonts w:ascii="Arial" w:cs="Arial" w:eastAsia="Arial" w:hAnsi="Arial"/>
                <w:sz w:val="24"/>
                <w:szCs w:val="24"/>
                <w:b w:val="1"/>
                <w:bCs w:val="1"/>
                <w:color w:val="auto"/>
                <w:vertAlign w:val="superscript"/>
              </w:rPr>
              <w:t>(1)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4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66,326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39,668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Cost of good sold</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(16,050)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(44.4)%</w:t>
            </w:r>
          </w:p>
        </w:tc>
      </w:tr>
      <w:tr>
        <w:trPr>
          <w:trHeight w:val="20"/>
        </w:trPr>
        <w:tc>
          <w:tcPr>
            <w:tcW w:w="4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distribution</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20,921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Impairment loss on goodwill</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90,921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(90,921)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 on intangibles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 liabilities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4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0"/>
        </w:trPr>
        <w:tc>
          <w:tcPr>
            <w:tcW w:w="47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Operating loss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(108,941)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(6,516)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102,425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Loss on initial issuance of equity</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12,834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(12,834)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income, net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(6,180)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110,797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220.0%</w:t>
            </w:r>
          </w:p>
        </w:tc>
      </w:tr>
      <w:tr>
        <w:trPr>
          <w:trHeight w:val="20"/>
        </w:trPr>
        <w:tc>
          <w:tcPr>
            <w:tcW w:w="4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(116,902)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(6,270)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110,632</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w:t>
            </w:r>
          </w:p>
        </w:tc>
      </w:tr>
      <w:tr>
        <w:trPr>
          <w:trHeight w:val="413"/>
        </w:trPr>
        <w:tc>
          <w:tcPr>
            <w:tcW w:w="47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47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distribution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1,232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(1,711)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(58.1)%</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21"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Three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r>
      <w:tr>
        <w:trPr>
          <w:trHeight w:val="209"/>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Cost of good sold</w:t>
            </w:r>
          </w:p>
        </w:tc>
        <w:tc>
          <w:tcPr>
            <w:tcW w:w="9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54.5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r>
      <w:tr>
        <w:trPr>
          <w:trHeight w:val="20"/>
        </w:trPr>
        <w:tc>
          <w:tcPr>
            <w:tcW w:w="7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distribution</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w:t>
            </w:r>
          </w:p>
        </w:tc>
      </w:tr>
      <w:tr>
        <w:trPr>
          <w:trHeight w:val="216"/>
        </w:trPr>
        <w:tc>
          <w:tcPr>
            <w:tcW w:w="87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r>
      <w:tr>
        <w:trPr>
          <w:trHeight w:val="216"/>
        </w:trPr>
        <w:tc>
          <w:tcPr>
            <w:tcW w:w="8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r>
      <w:tr>
        <w:trPr>
          <w:trHeight w:val="216"/>
        </w:trPr>
        <w:tc>
          <w:tcPr>
            <w:tcW w:w="8760" w:type="dxa"/>
            <w:vAlign w:val="bottom"/>
            <w:gridSpan w:val="2"/>
          </w:tcPr>
          <w:p>
            <w:pPr>
              <w:ind w:left="180"/>
              <w:spacing w:after="0"/>
              <w:rPr>
                <w:sz w:val="20"/>
                <w:szCs w:val="20"/>
                <w:color w:val="auto"/>
              </w:rPr>
            </w:pPr>
            <w:r>
              <w:rPr>
                <w:rFonts w:ascii="Arial" w:cs="Arial" w:eastAsia="Arial" w:hAnsi="Arial"/>
                <w:sz w:val="18"/>
                <w:szCs w:val="18"/>
                <w:color w:val="auto"/>
              </w:rPr>
              <w:t>Impairment loss on goodwill</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137.1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 on intangibles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 liabilities</w:t>
            </w:r>
          </w:p>
        </w:tc>
        <w:tc>
          <w:tcPr>
            <w:tcW w:w="9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7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r>
      <w:tr>
        <w:trPr>
          <w:trHeight w:val="20"/>
        </w:trPr>
        <w:tc>
          <w:tcPr>
            <w:tcW w:w="78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(164.2)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Gain on extinguishment of seller note</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initial issuance of equity</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0"/>
        </w:trPr>
        <w:tc>
          <w:tcPr>
            <w:tcW w:w="78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(176.3)</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r>
      <w:tr>
        <w:trPr>
          <w:trHeight w:val="20"/>
        </w:trPr>
        <w:tc>
          <w:tcPr>
            <w:tcW w:w="78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(176.2)%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7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sets forth our net revenue disaggregated by product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63,796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39,526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(24,270)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(2,388)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(94.4)%</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66,326</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39,668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(26,658)</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decreased $26.7 million, or 40.2%, during the three months ended September 30, 2023 to $39.7 million, compared to $66.3 million for the three months ended September 30, 2022. The decrease in net revenue was primarily attributable to a decrease in direct net revenue of $24.3 million, or a 38.0% which was due primarily to softness in consumer demand given the current macroeconomic environment and due to competitive pricing pressure and other competitive dynamics on marketplaces.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net revenue consists of both organic net revenue and net revenue from our M&amp;A. For the three months ended September 30, 2023, organic revenue was $39.5 million and revenue from our M&amp;A businesses was $0.1 million. For the three months ended September 30, 2022, organic revenue was $63.8 million and no revenue from our M&amp;A businesses was recorded.</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w w:val="73"/>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Heating, cooling and air quality</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27,179</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Kitchen appliances</w:t>
            </w:r>
          </w:p>
        </w:tc>
        <w:tc>
          <w:tcPr>
            <w:tcW w:w="9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10,504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5,586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and beauty</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Personal protective equipment</w:t>
            </w:r>
          </w:p>
        </w:tc>
        <w:tc>
          <w:tcPr>
            <w:tcW w:w="9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Cookware, kitchen tools and gadgets</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Home office</w:t>
            </w:r>
          </w:p>
        </w:tc>
        <w:tc>
          <w:tcPr>
            <w:tcW w:w="9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3,045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Housewares</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Essential oils and related accessories</w:t>
            </w:r>
          </w:p>
        </w:tc>
        <w:tc>
          <w:tcPr>
            <w:tcW w:w="9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6,262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3,935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net revenue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66,326</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39,668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revenue decreased $26.7 million, or 40.2%, during the three months ended September 30, 2023 to $39.7 million, compared to $66.3 million for the three months ended September 30, 2022. Every category of business had a reduction in sales compared to the prior year primarily relating to softness in consumer demand due the macroeconomic environment. In addition, there was competitive pricing pressures coupled with certain key products losing their prominent positioning on Amazon due to competition. These factors resulted in a reduction of units sold and a reduction in retail sales prices for each category of business.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Cost of Goods Sold and Gross Profit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20,085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30,191</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19,583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(10,608)</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(35.1)%</w:t>
            </w:r>
          </w:p>
        </w:tc>
      </w:tr>
    </w:tbl>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 of goods sold decreased by $16.1 million, from $36.1 million for the three months ended September 30, 2022 to $20.1 million for the three months ended September 30, 2023 primarily from reduced sales volumes. The decrease in cost of goods sold was primarily attributable to a decrease of $12.0 million in cost of goods sold from our organic businesses and a decrease of $4.1 million in cost of goods sold from our wholesale businesses.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increased from 45.5% for the three months ended September 30, 2022 to 49.4% for the three months ended September 30, 2023. The increase in gross profit was due primarily to a change of product mix and a higher volume of wholesale liquidation sales of high priced excess inventory at reduced prices during the three months ending September 30, 2022 compared to the three months ending September 30,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Sales and Distribution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distribution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20,921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distribution expenses, which included e-commerce platform commissions, online advertising and logistics expenses (i.e., variable sales and distribution expense), decreased to $20.9 million for the three months ended September 30, 2023, from $33.8 million for the three months ended September 30, 2022. This decrease is primarily attributable to the decrease in the volume of products sold in the three months ended September 30, 2023, as our e-commerce platform commissions, online advertising, selling and logistics expenses decreased to $18.4 million in the three months ended September 30, 2023 as compared to $29.4 million in the prior year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sales and distribution fixed costs (e.g., salary and office expenses) including stock-based compensation decreased to $2.5 million for the three months ended September 30, 2023, from $4.0 million for the three months ended September 30, 2022. This decrease is primarily attributable to lower stock-compensation expense of $0.7 million and lower headcount expense of $0.8 million.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percentage of net revenue, sales and distribution expenses increased to 52.7% for the three months ended September 30, 2023, from 50.9% for the three months ended September 30, 2022. E-commerce platform commissions, online advertising, selling and logistics expenses included within sales and distribution expenses, as a percentage of net revenue, were 46.3% for the three months ended September 30, 2023 as compared to 44.4% for the three months ended September 30, 2022. This increase in sales and distribution expenses as a percentage of revenue is predominantly due to product mix and an increase in online advertising costs.</w:t>
      </w:r>
    </w:p>
    <w:p>
      <w:pPr>
        <w:sectPr>
          <w:pgSz w:w="11900" w:h="16838" w:orient="portrait"/>
          <w:cols w:equalWidth="0" w:num="1">
            <w:col w:w="11240"/>
          </w:cols>
          <w:pgMar w:left="320" w:top="108"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decrease in research and development expenses was primarily the result of a decrease in headcount expense of $0.6 million and a decrease in stock compensation expense of $0.2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general and administrative expenses was primarily the result of a decrease in litigation settlements of $1.8 million, a decrease of</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$1.4 million in depreciation and amortization, a decrease of $0.8 million in stock compensation expense, a decrease of $0.6 million in headcount expense, a decrease of $0.5 million in inventory donations, a decrease of $0.4 million in professional fees, and a decrease in other miscellaneous expenses of $0.4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goodwill</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ind w:left="160"/>
              <w:spacing w:after="0"/>
              <w:rPr>
                <w:sz w:val="20"/>
                <w:szCs w:val="20"/>
                <w:color w:val="auto"/>
              </w:rPr>
            </w:pPr>
            <w:r>
              <w:rPr>
                <w:rFonts w:ascii="Arial" w:cs="Arial" w:eastAsia="Arial" w:hAnsi="Arial"/>
                <w:sz w:val="18"/>
                <w:szCs w:val="18"/>
                <w:b w:val="1"/>
                <w:bCs w:val="1"/>
                <w:color w:val="auto"/>
                <w:w w:val="97"/>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goodwill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90,921</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(90,921)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evaluated current economic conditions during the third quarter of 2022,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as of September 30, 2022. Accordingly, we concluded a triggering event had occurred and performed interim goodwill impairment analyses and determined that our goodwill was fully impaired as of September 30, 2022. As a result, we recorded a goodwill impairment charge of approximately $90.9 million in the three months ended September 30, 2022. There was no impairment loss on goodwill during the three months ended September 30,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intangibles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ind w:left="160"/>
              <w:spacing w:after="0"/>
              <w:rPr>
                <w:sz w:val="20"/>
                <w:szCs w:val="20"/>
                <w:color w:val="auto"/>
              </w:rPr>
            </w:pPr>
            <w:r>
              <w:rPr>
                <w:rFonts w:ascii="Arial" w:cs="Arial" w:eastAsia="Arial" w:hAnsi="Arial"/>
                <w:sz w:val="18"/>
                <w:szCs w:val="18"/>
                <w:b w:val="1"/>
                <w:bCs w:val="1"/>
                <w:color w:val="auto"/>
                <w:w w:val="97"/>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intangibles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w:t>
            </w: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we compared the fair value to the carrying amount of the asset group and recorded an intangible impairment charge of $3.1 million in the three months ended September 30, 2022. There was no impairment loss on intangibles during the three months ended September 30,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180" w:type="dxa"/>
            <w:vAlign w:val="bottom"/>
            <w:gridSpan w:val="4"/>
          </w:tcPr>
          <w:p>
            <w:pPr>
              <w:ind w:left="400"/>
              <w:spacing w:after="0"/>
              <w:rPr>
                <w:sz w:val="20"/>
                <w:szCs w:val="20"/>
                <w:color w:val="auto"/>
              </w:rPr>
            </w:pPr>
            <w:r>
              <w:rPr>
                <w:rFonts w:ascii="Arial" w:cs="Arial" w:eastAsia="Arial" w:hAnsi="Arial"/>
                <w:sz w:val="18"/>
                <w:szCs w:val="18"/>
                <w:b w:val="1"/>
                <w:bCs w:val="1"/>
                <w:color w:val="auto"/>
                <w:w w:val="98"/>
              </w:rPr>
              <w:t>Three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18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4"/>
              </w:rPr>
              <w:t>2022</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4320" w:type="dxa"/>
            <w:vAlign w:val="bottom"/>
            <w:gridSpan w:val="10"/>
          </w:tcPr>
          <w:p>
            <w:pPr>
              <w:jc w:val="center"/>
              <w:ind w:right="56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78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(774)</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 As of December 31, 2022, we no longer have any contingent earn-out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 in interest expense, net of $0.5 million is primarily relating to a decrease in interest expense of $0.4 million and an increase in interest income of $0.1 million compared to the prior period due to lower average borrowings.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9"/>
          </w:tcPr>
          <w:p>
            <w:pPr>
              <w:jc w:val="center"/>
              <w:ind w:right="80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market value of warrant liability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(5,528)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and 2023 activity is related to the change in fair market value of the warrant liabilities from the Prefunded Warrants and common stock warrants from our March 2022 equity raise of capital. The change in fair value of warrant liabilities primarily relates to the reduced share price compared to the prior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Loss on initial issuance of equity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ind w:left="160"/>
              <w:spacing w:after="0"/>
              <w:rPr>
                <w:sz w:val="20"/>
                <w:szCs w:val="20"/>
                <w:color w:val="auto"/>
              </w:rPr>
            </w:pPr>
            <w:r>
              <w:rPr>
                <w:rFonts w:ascii="Arial" w:cs="Arial" w:eastAsia="Arial" w:hAnsi="Arial"/>
                <w:sz w:val="18"/>
                <w:szCs w:val="18"/>
                <w:b w:val="1"/>
                <w:bCs w:val="1"/>
                <w:color w:val="auto"/>
                <w:w w:val="97"/>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on initial issuance of equity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12,834</w:t>
            </w: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ectPr>
          <w:pgSz w:w="11900" w:h="16838" w:orient="portrait"/>
          <w:cols w:equalWidth="0" w:num="1">
            <w:col w:w="11240"/>
          </w:cols>
          <w:pgMar w:left="320" w:top="125" w:right="339" w:bottom="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color w:val="auto"/>
        </w:rPr>
        <w:t>We recorded a charge related to the September 29, 2022 securities purchase agreement for common stock and associated warrants for the three months ended September 30, 2022 as we deemed the agreement non cancellable. The $12.8 million expense is derived from the anticipated fair-value of the issuances of equity attributable to the expected issuance of common shares and common stock.</w:t>
      </w:r>
    </w:p>
    <w:p>
      <w:pPr>
        <w:spacing w:after="0" w:line="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1"/>
              <w:spacing w:after="0" w:line="210" w:lineRule="exact"/>
              <w:rPr>
                <w:sz w:val="20"/>
                <w:szCs w:val="20"/>
                <w:color w:val="auto"/>
              </w:rPr>
            </w:pPr>
            <w:r>
              <w:rPr>
                <w:rFonts w:ascii="Arial" w:cs="Arial" w:eastAsia="Arial" w:hAnsi="Arial"/>
                <w:sz w:val="15"/>
                <w:szCs w:val="15"/>
                <w:b w:val="1"/>
                <w:bCs w:val="1"/>
                <w:color w:val="auto"/>
              </w:rPr>
              <w:t xml:space="preserve">2022 </w:t>
            </w:r>
            <w:r>
              <w:rPr>
                <w:rFonts w:ascii="Arial" w:cs="Arial" w:eastAsia="Arial" w:hAnsi="Arial"/>
                <w:sz w:val="24"/>
                <w:szCs w:val="24"/>
                <w:b w:val="1"/>
                <w:bCs w:val="1"/>
                <w:color w:val="auto"/>
                <w:vertAlign w:val="superscript"/>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1"/>
              <w:spacing w:after="0" w:line="210" w:lineRule="exact"/>
              <w:rPr>
                <w:sz w:val="20"/>
                <w:szCs w:val="20"/>
                <w:color w:val="auto"/>
              </w:rPr>
            </w:pPr>
            <w:r>
              <w:rPr>
                <w:rFonts w:ascii="Arial" w:cs="Arial" w:eastAsia="Arial" w:hAnsi="Arial"/>
                <w:sz w:val="15"/>
                <w:szCs w:val="15"/>
                <w:b w:val="1"/>
                <w:bCs w:val="1"/>
                <w:color w:val="auto"/>
              </w:rPr>
              <w:t xml:space="preserve">2023 </w:t>
            </w:r>
            <w:r>
              <w:rPr>
                <w:rFonts w:ascii="Arial" w:cs="Arial" w:eastAsia="Arial" w:hAnsi="Arial"/>
                <w:sz w:val="24"/>
                <w:szCs w:val="24"/>
                <w:b w:val="1"/>
                <w:bCs w:val="1"/>
                <w:color w:val="auto"/>
                <w:vertAlign w:val="superscript"/>
              </w:rPr>
              <w:t>(1)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109,811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(56,457)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good sold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(24,882)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5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distribution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61,704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3,808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16,566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(12,915)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Impairment loss on goodwill</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(119,941)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 on intangibles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39,445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1,165.1%</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 liabilities</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5,240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(118,991)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(155,364)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(67,948)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87,416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Gain on extinguishment of seller note</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on initial issuance of equity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(4,775)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w:t>
            </w: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(176,230)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(66,715)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109,515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158.4%</w:t>
            </w: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(175,987)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(66,857)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109,130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Sales and distribution expenses</w:t>
            </w:r>
          </w:p>
        </w:tc>
        <w:tc>
          <w:tcPr>
            <w:tcW w:w="19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2,091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7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11,854</w:t>
            </w:r>
          </w:p>
        </w:tc>
        <w:tc>
          <w:tcPr>
            <w:tcW w:w="10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6,771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(5,083)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vMerge w:val="restart"/>
          </w:tcPr>
          <w:p>
            <w:pPr>
              <w:jc w:val="right"/>
              <w:ind w:right="130"/>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21"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r>
      <w:tr>
        <w:trPr>
          <w:trHeight w:val="209"/>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Cost of good sold</w:t>
            </w:r>
          </w:p>
        </w:tc>
        <w:tc>
          <w:tcPr>
            <w:tcW w:w="9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48.8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r>
      <w:tr>
        <w:trPr>
          <w:trHeight w:val="20"/>
        </w:trPr>
        <w:tc>
          <w:tcPr>
            <w:tcW w:w="7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distribution</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r>
      <w:tr>
        <w:trPr>
          <w:trHeight w:val="216"/>
        </w:trPr>
        <w:tc>
          <w:tcPr>
            <w:tcW w:w="87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r>
      <w:tr>
        <w:trPr>
          <w:trHeight w:val="216"/>
        </w:trPr>
        <w:tc>
          <w:tcPr>
            <w:tcW w:w="8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r>
      <w:tr>
        <w:trPr>
          <w:trHeight w:val="216"/>
        </w:trPr>
        <w:tc>
          <w:tcPr>
            <w:tcW w:w="8760" w:type="dxa"/>
            <w:vAlign w:val="bottom"/>
            <w:gridSpan w:val="2"/>
          </w:tcPr>
          <w:p>
            <w:pPr>
              <w:ind w:left="180"/>
              <w:spacing w:after="0"/>
              <w:rPr>
                <w:sz w:val="20"/>
                <w:szCs w:val="20"/>
                <w:color w:val="auto"/>
              </w:rPr>
            </w:pPr>
            <w:r>
              <w:rPr>
                <w:rFonts w:ascii="Arial" w:cs="Arial" w:eastAsia="Arial" w:hAnsi="Arial"/>
                <w:sz w:val="18"/>
                <w:szCs w:val="18"/>
                <w:color w:val="auto"/>
              </w:rPr>
              <w:t>Impairment loss on goodwill</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72.1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 on intangibles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 liabilities</w:t>
            </w:r>
          </w:p>
        </w:tc>
        <w:tc>
          <w:tcPr>
            <w:tcW w:w="9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7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r>
      <w:tr>
        <w:trPr>
          <w:trHeight w:val="20"/>
        </w:trPr>
        <w:tc>
          <w:tcPr>
            <w:tcW w:w="78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(93.4)</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Gain on extinguishment of seller note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initial issuance of equity</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r>
      <w:tr>
        <w:trPr>
          <w:trHeight w:val="20"/>
        </w:trPr>
        <w:tc>
          <w:tcPr>
            <w:tcW w:w="78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(106.0)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r>
      <w:tr>
        <w:trPr>
          <w:trHeight w:val="20"/>
        </w:trPr>
        <w:tc>
          <w:tcPr>
            <w:tcW w:w="78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(105.9)%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7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sets forth our net revenue disaggregated by product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161,853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107,357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(54,496)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(1,961)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(44.4)%</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166,268</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109,811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(56,457)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revenue decreased $56.5 million, or 34.0%, during the nine months ended September 30, 2023 to $109.8 million, compared to $166.3 million for the nine months ended September 30, 2022. The decrease in net revenue was primarily attributable to a decrease in direct net revenue of $54.5 million, or a 33.7% which was due to softness in consumer demand due the current macroeconomic environment and due to competitive pricing pressure and other competitive dynamics on marketplaces, partially offset by liquidation of higher priced excess inventory during the nine months ended September 30, 2023.</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net revenue consists of both organic net revenue and net revenue from our M&amp;A. For the nine months ended September 30, 2023, organic revenue was $107.2 million and revenue from our M&amp;A businesses was $0.2 million. For the nine months ended September 30, 2022, organic revenue was $149.6 million and revenue from our M&amp;A businesses was $11.5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w w:val="73"/>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Heating, cooling and air quality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56,835</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Kitchen appliances</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27,438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18,234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Health and beauty</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Cookware, kitchen tools and gadgets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Home office</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10,077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7,410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Housewares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17,102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12,787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166,268</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109,811</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revenue decreased $56.5 million, or 34.0%, during the nine months ended September 30, 2023 to $109.8 million, compared to $166.3 million for the nine months ended September 30, 2022. Every category of business had a reduction in sales compared to the prior year primarily relating to softness in consumer demand due the macroeconomic environment. In addition, there were competitive pricing pressures coupled with certain key products losing their prominent positioning on Amazon due to competition, specifically in the heating, cooling, air quality and kitchen appliance businesses. These factors resulted in a reduction of units sold and a reduction in retail sales prices generally for each category of business.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Cost of Goods Sold and Gross Profit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81,118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56,236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(24,882)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85,150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53,575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(31,575)</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(37.1)%</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decreased by $24.9 million, from $81.1 million for the nine months ended September 30, 2022 to $56.2 million for the nine months ended September 30, 2023 primarily from reduced sales volumes. The decrease in cost of goods sold was primarily attributable to a decrease of $20.7 million in cost of goods sold from our organic businesses, a decrease of $3.8 million from our M&amp;A businesses, and a decrease of $0.4 million in cost of goods sold from our wholesale businesses.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decreased from 51.2% for the nine months ended September 30, 2022 to 48.8% for the nine months ended September 30, 2023. The decrease in gross profit was due primarily to a change of product mix, competitive pricing pressure resulting in reduced retail sales prices, and liquidation of high priced excess inventory at reduced prices.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Sales and Distribution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distribution expenses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61,704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distribution expenses, which included e-commerce platform commissions, online advertising and logistics expenses (i.e., variable sales and distribution expense), decreased to $61.7 million for the nine months ended September 30, 2023, from $88.6 million for the nine months ended September 30, 2022. This decrease is primarily attributable to the decrease in the volume of products sold in the nine months ended September 30, 2023, as our e-commerce platform commissions, online advertising, selling and logistics expenses decreased to $51.6 million in the nine months ended September 30, 2023 as compared to $74.9 million in the prior year period.</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sales and distribution fixed costs (e.g., salary and office expenses) including stock-based compensation decreased to $10.1 million for the nine months ended September 30, 2023, from $13.7 million for the nine months ended September 30, 2022. This decrease is primarily attributable to lower stock-compensation expense of $2.1 million and lower salary expense of $1.1 million, partially offset by an increase in restructuring costs of $0.6 million.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percentage of net revenue, sales and distribution expenses increased to 56.2% for the nine months ended September 30, 2023, from 53.3% for the nine months ended September 30, 2022. E-commerce platform commissions, online advertising, selling and logistics expenses included within sales and distribution expenses, as a percentage of net revenue, were 47.0% for the nine months ended September 30, 2023 as compared to 45.1% for the nine months ended September 30, 2022. This increase in sales and distribution expenses as a percentage of revenue is predominantly due to product mix, an increase in provider fulfillment fees, and an increase in online advertising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research and development expenses was primarily the result of a decrease in headcount expense of $1.0 million and a decrease in stock compensation expense of $0.3 million, partially offset by an increase in restructuring expense of $0.5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29,481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(12,915)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general and administrative expenses was primarily the result of a decrease in stock compensation expense of $2.7 million, a decrease of $2.6 million relating to litigation settlements, a decrease of $2.3 million in professional fees, a decrease of $2.2 million in depreciation and amortization, a decrease in other miscellaneous expenses of $1.4 million, a decrease of $0.8 in headcount expense, and a decrease of $0.6 million in inventory donations, partially offset by an increase in restructuring expense of $0.4 million. (see Note 9 of our Condensed Consolidated Financial Statements in this Quarterly Report on Form 10-Q for additional details)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Impairment loss on goodwill</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w w:val="79"/>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goodwill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119,941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evaluated current economic conditions during the third quarter of 2022,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as of September 30, 2022. Accordingly, we concluded a triggering event had occurred and performed interim goodwill impairment analyses and determined that our goodwill was fully impaired as of September 30, 2022. As a result, we recorded a goodwill impairment charge of approximately $90.9 million in the three months ended September 30, 2022. We also had a triggering event during the three months ended March 31, 2022 and recorded an impairment charge of $29.0 million. For the nine months ended September 30, 2022, total goodwill impairment was approximately $119.9 million. Further, we wrote-off the remainder of our goodwill during the three months ended September 30, 2022 as our market capitalization continued to decline and the inflationary pressure on product and labor costs and operational impacts attributable to continued global supply chain disruptions. There is no goodwill recorded as of December 31, 2022 and September 30, 2023.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Impairment loss on intangibles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9"/>
          </w:tcPr>
          <w:p>
            <w:pPr>
              <w:jc w:val="center"/>
              <w:ind w:right="80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 on intangibles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36,327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1,165.1%</w:t>
            </w: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asset groups experienced a significant decrease in sales and contribution margin through September 30, 2022. This was considered an interim triggering event for the nine months ended September 30, 2022. Based on the analysis of comparing the undiscounted cash flow to the carrying value of the asset group, one group tested indicated that the assets may not be recoverable. For this asset group, we compared the fair value to the carrying amount of the asset group and recorded an intangible impairment charge of $3.1 million in the nine months ended September 30, 2022.</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20, 2023, the Company made certain leadership changes in our essential oil business resulting in a change in strategy and outlook for the business and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 There were no triggering events during the three months ended September 30,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rPr>
              <w:t>Nine Months Ended September</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9"/>
          </w:tcPr>
          <w:p>
            <w:pPr>
              <w:ind w:left="400"/>
              <w:spacing w:after="0"/>
              <w:rPr>
                <w:sz w:val="20"/>
                <w:szCs w:val="20"/>
                <w:color w:val="auto"/>
              </w:rPr>
            </w:pPr>
            <w:r>
              <w:rPr>
                <w:rFonts w:ascii="Arial" w:cs="Arial" w:eastAsia="Arial" w:hAnsi="Arial"/>
                <w:sz w:val="18"/>
                <w:szCs w:val="18"/>
                <w:color w:val="auto"/>
              </w:rPr>
              <w:t>(in thousands, except percentages)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(5,240)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 As of December 31, 2022, we no longer have any contingent earn-out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interest expense, net of $1.0 million is primarily relating to a decrease in interest expense of $0.4 million and an increase in interest income of $0.6 million compared to the prior period due to lower average borrowings.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Gain on extinguishment of seller note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820" w:type="dxa"/>
            <w:vAlign w:val="bottom"/>
            <w:gridSpan w:val="7"/>
          </w:tcPr>
          <w:p>
            <w:pPr>
              <w:ind w:left="20"/>
              <w:spacing w:after="0"/>
              <w:rPr>
                <w:sz w:val="20"/>
                <w:szCs w:val="20"/>
                <w:color w:val="auto"/>
              </w:rPr>
            </w:pPr>
            <w:r>
              <w:rPr>
                <w:rFonts w:ascii="Arial" w:cs="Arial" w:eastAsia="Arial" w:hAnsi="Arial"/>
                <w:sz w:val="18"/>
                <w:szCs w:val="18"/>
                <w:b w:val="1"/>
                <w:bCs w:val="1"/>
                <w:color w:val="auto"/>
              </w:rPr>
              <w:t>Nine Months Ended September</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ind w:left="400"/>
              <w:spacing w:after="0"/>
              <w:rPr>
                <w:sz w:val="20"/>
                <w:szCs w:val="20"/>
                <w:color w:val="auto"/>
              </w:rPr>
            </w:pPr>
            <w:r>
              <w:rPr>
                <w:rFonts w:ascii="Arial" w:cs="Arial" w:eastAsia="Arial" w:hAnsi="Arial"/>
                <w:sz w:val="18"/>
                <w:szCs w:val="18"/>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seller note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gain on extinguishment of seller note in the nine months ended September 30, 2022 was attributable to the settlement of the Truweo seller note, which resulted in a $2.0 million in gain on extinguishment of seller note upon the extinguishment of the debt.</w:t>
      </w:r>
    </w:p>
    <w:p>
      <w:pPr>
        <w:sectPr>
          <w:pgSz w:w="11900" w:h="16838" w:orient="portrait"/>
          <w:cols w:equalWidth="0" w:num="1">
            <w:col w:w="11240"/>
          </w:cols>
          <w:pgMar w:left="320" w:top="108" w:right="33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08" w:right="339" w:bottom="0" w:gutter="0" w:footer="0" w:header="0"/>
          <w:type w:val="continuous"/>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Loss on initial issuance of equity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initial issuance of equity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loss on initial issuance of equity is attributable to the issuance of common shares and initial valuation of the prefunded warrants and common stock warrants from our March 2022 equity raise of $5.8 million in March 2022. Further, in September 2022, we recorded a charge related to the September 29, 2022 securities purchase agreement for common stock and associated warrants for the three months ended September 30, 2022 as we deemed the agreement non cancellable. The $12.8 million expense is derived from the anticipated fair-value of the issuances of equity attributable to the expected issuance of common shares and common stock warrants versus the anticipated proceeds to be received by us. We closed and issued the common stock and associated warrants on October 4,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market value of warrant liability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and 2023 activity is related to the change in fair market value of the warrant liabilities from the prefunded warrants and common stock warrants from our March 2022 equity raise of capital. The change in fair value of warrant liabilities for the nine months ended September 30, 2023 primarily relates to the reduced share price compared to the prior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2022 and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nine months ended September 30, 2022 and 2023:</w:t>
      </w:r>
    </w:p>
    <w:p>
      <w:pPr>
        <w:spacing w:after="0" w:line="221"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198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 w:lineRule="exact"/>
        <w:rPr>
          <w:sz w:val="20"/>
          <w:szCs w:val="20"/>
          <w:color w:val="auto"/>
        </w:rPr>
      </w:pPr>
    </w:p>
    <w:p>
      <w:pPr>
        <w:ind w:left="856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2023</w:t>
      </w:r>
    </w:p>
    <w:p>
      <w:pPr>
        <w:sectPr>
          <w:pgSz w:w="11900" w:h="16838" w:orient="portrait"/>
          <w:cols w:equalWidth="0" w:num="1">
            <w:col w:w="11240"/>
          </w:cols>
          <w:pgMar w:left="320" w:top="108" w:right="339" w:bottom="709"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Cash provided (used) by financing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Net change in and restricted cash for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1820" w:type="dxa"/>
            <w:vAlign w:val="bottom"/>
            <w:gridSpan w:val="4"/>
          </w:tcPr>
          <w:p>
            <w:pPr>
              <w:jc w:val="right"/>
              <w:ind w:right="150"/>
              <w:spacing w:after="0" w:line="176" w:lineRule="exact"/>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(19,541)</w:t>
            </w:r>
          </w:p>
        </w:tc>
        <w:tc>
          <w:tcPr>
            <w:tcW w:w="7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(8,458)</w:t>
            </w:r>
          </w:p>
        </w:tc>
      </w:tr>
      <w:tr>
        <w:trPr>
          <w:trHeight w:val="216"/>
        </w:trPr>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11,231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(7,507)</w:t>
            </w:r>
          </w:p>
        </w:tc>
      </w:tr>
      <w:tr>
        <w:trPr>
          <w:trHeight w:val="230"/>
        </w:trPr>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10"/>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(16,128)</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280" w:space="720"/>
            <w:col w:w="3240"/>
          </w:cols>
          <w:pgMar w:left="320" w:top="108" w:right="339" w:bottom="709" w:gutter="0" w:footer="0" w:header="0"/>
          <w:type w:val="continuous"/>
        </w:sectPr>
      </w:pP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$19.5 million for the nine months ended September 30, 2022, resulting from our net cash losses from operations of $20.8 million and cash usage from working capital of $1.3 million primarily from the build-up of inventory.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$8.5 million for the nine months ended September 30, 2023, resulting primarily from our net cash losses from operations of $19.3 million, inflow from working capital of $10.8 million from changes in accounts receivable, purchases of inventory and payments of accounts payable. The reduction of gross inventory of $12.0 million from December 31, 2022 to September 30, 2023 primarily relates to the liquidation of high priced excess inventory and a reduction of purchases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2022, net cash used in investing activities was less than $0.1 million.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net cash used in investing activities was $0.2 million primarily related to the remaining payment for the purchase of Step and Go assets which was acquired during the three months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(Used) by Financing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September 30, 2022, cash provided by financing activities of $11.2 million was primarily from proceeds from an equity offering of $27.0 million and borrowings from the Credit Facility of $107.7 million offset by $2.9 million of repayments of notes issued to certain sellers in connection with our M&amp;A activity, repayments of the Credit Facility of $116.9 million, and payment of the Squatty Potty assets of $4.0 million.</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nine months ended September 30, 2023, cash used by financing activities of $7.5 million primarily from the net repayments for our MidCap credit facility of $7.2 million, repayment of note payable to Smash of $0.5 million and net proceeds of insurance financing of $0.2 million.</w:t>
      </w:r>
    </w:p>
    <w:p>
      <w:pPr>
        <w:sectPr>
          <w:pgSz w:w="11900" w:h="16838" w:orient="portrait"/>
          <w:cols w:equalWidth="0" w:num="1">
            <w:col w:w="11240"/>
          </w:cols>
          <w:pgMar w:left="320" w:top="108" w:right="339" w:bottom="709"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709"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and negative cash flows for the foreseeable future until such time that we reach a level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date the accompanying Condensed Consolidated Financial Statements were issued (the “issuance date”), we evaluated the significance of the following adverse financial conditions in accordance with Accounting Standard Codification 205-40, Going Concern:</w:t>
      </w:r>
    </w:p>
    <w:p>
      <w:pPr>
        <w:spacing w:after="0" w:line="170" w:lineRule="exact"/>
        <w:rPr>
          <w:sz w:val="20"/>
          <w:szCs w:val="20"/>
          <w:color w:val="auto"/>
        </w:rPr>
      </w:pPr>
    </w:p>
    <w:p>
      <w:pPr>
        <w:jc w:val="both"/>
        <w:ind w:left="460" w:hanging="2"/>
        <w:spacing w:after="0" w:line="257" w:lineRule="auto"/>
        <w:tabs>
          <w:tab w:leader="none" w:pos="5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Since our inception, we have incurred significant losses and used cash flows from operations to fund our enterprise. In this regard, during the nine months ended September 30, 2023, we incurred a net loss of $66.9 million and used net cash flows in our operations of $8.5 million. In addition, as of September 30, 2023, we had unrestricted cash and cash equivalents of $28.0 million available to fund our operations and an accumulated deficit of $692.1 million. Our revenue of $109.8 million for the nine months ended September 30, 2023 declined from $166.3 million for the nine months ended September 30, 2022.</w:t>
      </w:r>
    </w:p>
    <w:p>
      <w:pPr>
        <w:spacing w:after="0" w:line="187" w:lineRule="exact"/>
        <w:rPr>
          <w:rFonts w:ascii="Arial" w:cs="Arial" w:eastAsia="Arial" w:hAnsi="Arial"/>
          <w:sz w:val="18"/>
          <w:szCs w:val="18"/>
          <w:color w:val="auto"/>
        </w:rPr>
      </w:pPr>
    </w:p>
    <w:p>
      <w:pPr>
        <w:jc w:val="both"/>
        <w:ind w:left="460" w:hanging="2"/>
        <w:spacing w:after="0" w:line="268" w:lineRule="auto"/>
        <w:tabs>
          <w:tab w:leader="none" w:pos="579"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required to remain in compliance with certain financial covenants required by the MidCap Credit facility. 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 We were in compliance with these financial covenants as of December 31, 2022, and expect to remain in compliance through at least September 30, 2024. However, with our short history of forecasting our business during the ongoing COVID-19 global pandemic, the current global inflation and related global supply chain disruptions, we can provide no assurances that we will remain in compliance with our financial covenants. Further, absent our ability to generate cash inflows from our operations or secure additional outside capital, we may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86" w:lineRule="exact"/>
        <w:rPr>
          <w:rFonts w:ascii="Arial" w:cs="Arial" w:eastAsia="Arial" w:hAnsi="Arial"/>
          <w:sz w:val="17"/>
          <w:szCs w:val="17"/>
          <w:color w:val="auto"/>
        </w:rPr>
      </w:pPr>
    </w:p>
    <w:p>
      <w:pPr>
        <w:jc w:val="both"/>
        <w:ind w:left="460" w:hanging="2"/>
        <w:spacing w:after="0" w:line="279" w:lineRule="auto"/>
        <w:tabs>
          <w:tab w:leader="none" w:pos="5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the issuance date, we have no firm commitments to secure additional outside capital from lenders or investors. While we are continually exploring additional outside capital, specifically to fund our M&amp;A strategy, there can be no assurance we will be able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71" w:lineRule="exact"/>
        <w:rPr>
          <w:rFonts w:ascii="Arial" w:cs="Arial" w:eastAsia="Arial" w:hAnsi="Arial"/>
          <w:sz w:val="17"/>
          <w:szCs w:val="17"/>
          <w:color w:val="auto"/>
        </w:rPr>
      </w:pPr>
    </w:p>
    <w:p>
      <w:pPr>
        <w:jc w:val="both"/>
        <w:ind w:left="460" w:hanging="2"/>
        <w:spacing w:after="0" w:line="254" w:lineRule="auto"/>
        <w:tabs>
          <w:tab w:leader="none" w:pos="5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plan to continue to closely monitor our operating forecast, pursue our M&amp;A strategy, pursue additional sources of outside capital on terms that are acceptable to us, and secure a waiver or forbearance from MidCap if we are unable to remain in compliance with one or more of the covenants required by the MidCap Credit Facility. If some or all of our plans prove unsuccessful, we may need to implement short-term changes to our operating plan, such as delaying expenditures, reducing investments in new products and M&amp;A,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April 24, 2023, we received a letter from the Listing Qualifications Staff of The Nasdaq Stock Market LLC 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Bid Price Notice has no immediate effect on the continued listing status of our common stock on The Nasdaq Capital Market, and, therefore, our listing remains fully effective.</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If at any time before April 22, 2024,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will continue to monitor the closing bid price of its Common Stock and seek to regain compliance with all applicable Nasdaq requirements within the allotted compliance period. If the Company does not regain compliance within the allotted compliance period,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compliance period, or maintain compliance with the other Nasdaq listing requirements.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covenants with our current lenders; limited liquidity for our stockholders due to thin trading; and the potential loss of confidence by investors, employees and other third parties who we do business with.</w:t>
      </w:r>
    </w:p>
    <w:p>
      <w:pPr>
        <w:spacing w:after="0" w:line="17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Further, we may decide to effect a reverse split of our common stock which could impact the market price for our stock, limit our ability to raise capital or otherwise limit our ability to execute acquisition transactions and there is no assurance that the market price or trading volume for our common stock will not further decline after announcing or effecting such split.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9, 2023, the Company announced a plan to reduce expenses by implementing a reduction in its current workforce impacting approximately 50 employees and 15 contractors, primarily in the Philippines. The Company recognized restructuring charges of $0.4 million and $1.6 million for the three and nine months ended September 30, 2023, respectively.</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MidCap Credit Facility </w:t>
      </w:r>
      <w:r>
        <w:rPr>
          <w:rFonts w:ascii="Arial" w:cs="Arial" w:eastAsia="Arial" w:hAnsi="Arial"/>
          <w:sz w:val="18"/>
          <w:szCs w:val="18"/>
          <w:color w:val="auto"/>
        </w:rPr>
        <w:t>—On December 22, 2021, we entered into a Credit Facility with MidCap, pursuant to which, among other things, (i)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200,000 shares of our common stock, in exchange for the Lenders extending loans and other extensions of credit to us under the Credit Facility.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credit facility contains a financial covenant that requires us to maintain a minimum unrestricted cash balance of (a) $12.5 million during the period from February 1st through and including May 31st of each calendar year, and (b) $15.0 million at all other times. At its election, we may elect to comply with an alternative financial covenant that would require us to maintain a minimum borrowing availability under the credit facility of $10.0 million at all times. We currently do not anticipate electing the alternative financial covenant over the next twelve months and are in compliance with the minimum liquidity covenant as of the date these Condensed Consolidated Financial Statements were issued. The MidCap credit facility matures in December 2024.</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outstanding balance on the MidCap credit facility as of December 31, 2022 and September 30, 2023 was $21.1 million and $14.2 million, respectively. The Company had $0.6 million of availability on the Midcap credit facility as of September 30, 2023. We are in compliance with the financial covenants contained within the Credit Agreement as of September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financial statements and the other financial data included in this Quarterly Report have been prepared in a manner that complies, in all material respects, with generally accepted accounting principles in the U.S. (“GAAP”). However, for the reasons discussed below, we have presented certain non-GAAP measures herein.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earn-outs, profit and loss impacts from the issuance of common stock and/or warrants, changes in fair-market value of warrant liability, litigation settlements, impairment on goodwill and intangibles, gain from extinguishment of seller note, restructuring expenses,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ectPr>
          <w:pgSz w:w="11900" w:h="16838" w:orient="portrait"/>
          <w:cols w:equalWidth="0" w:num="1">
            <w:col w:w="11240"/>
          </w:cols>
          <w:pgMar w:left="320" w:top="125" w:right="33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EBITDA, Adjusted EBITDA and Adjusted EBITDA as a percentage of net revenue, have limitations as analytical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neither EBITDA nor Adjusted EBITDA reflects:</w:t>
      </w:r>
    </w:p>
    <w:p>
      <w:pPr>
        <w:spacing w:after="0" w:line="211" w:lineRule="exact"/>
        <w:rPr>
          <w:sz w:val="20"/>
          <w:szCs w:val="20"/>
          <w:color w:val="auto"/>
        </w:rPr>
      </w:pPr>
    </w:p>
    <w:p>
      <w:pPr>
        <w:ind w:left="560" w:hanging="10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225" w:lineRule="exact"/>
        <w:rPr>
          <w:rFonts w:ascii="Arial" w:cs="Arial" w:eastAsia="Arial" w:hAnsi="Arial"/>
          <w:sz w:val="18"/>
          <w:szCs w:val="18"/>
          <w:color w:val="auto"/>
        </w:rPr>
      </w:pPr>
    </w:p>
    <w:p>
      <w:pPr>
        <w:ind w:left="560" w:hanging="102"/>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interest expense or the cash requirements necessary to service interest expense or principal payments, associated with indebtedness;</w:t>
      </w:r>
    </w:p>
    <w:p>
      <w:pPr>
        <w:spacing w:after="0" w:line="236" w:lineRule="exact"/>
        <w:rPr>
          <w:rFonts w:ascii="Arial" w:cs="Arial" w:eastAsia="Arial" w:hAnsi="Arial"/>
          <w:sz w:val="17"/>
          <w:szCs w:val="17"/>
          <w:color w:val="auto"/>
        </w:rPr>
      </w:pPr>
    </w:p>
    <w:p>
      <w:pPr>
        <w:ind w:left="460" w:hanging="2"/>
        <w:spacing w:after="0" w:line="277" w:lineRule="auto"/>
        <w:tabs>
          <w:tab w:leader="none" w:pos="5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70" w:lineRule="exact"/>
        <w:rPr>
          <w:rFonts w:ascii="Arial" w:cs="Arial" w:eastAsia="Arial" w:hAnsi="Arial"/>
          <w:sz w:val="18"/>
          <w:szCs w:val="18"/>
          <w:color w:val="auto"/>
        </w:rPr>
      </w:pPr>
    </w:p>
    <w:p>
      <w:pPr>
        <w:ind w:left="560" w:hanging="10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 or</w:t>
      </w:r>
    </w:p>
    <w:p>
      <w:pPr>
        <w:spacing w:after="0" w:line="225" w:lineRule="exact"/>
        <w:rPr>
          <w:rFonts w:ascii="Arial" w:cs="Arial" w:eastAsia="Arial" w:hAnsi="Arial"/>
          <w:sz w:val="18"/>
          <w:szCs w:val="18"/>
          <w:color w:val="auto"/>
        </w:rPr>
      </w:pPr>
    </w:p>
    <w:p>
      <w:pPr>
        <w:ind w:left="460" w:hanging="2"/>
        <w:spacing w:after="0" w:line="277" w:lineRule="auto"/>
        <w:tabs>
          <w:tab w:leader="none" w:pos="5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Adjusted EBITDA excludes non-cash stock-based compensation expense, which is and is expected to remain a key element of our overall long-term incentive compensation package.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70" w:lineRule="exact"/>
        <w:rPr>
          <w:sz w:val="20"/>
          <w:szCs w:val="20"/>
          <w:color w:val="auto"/>
        </w:rPr>
      </w:pPr>
    </w:p>
    <w:p>
      <w:pPr>
        <w:ind w:left="460" w:hanging="2"/>
        <w:spacing w:after="0" w:line="277" w:lineRule="auto"/>
        <w:tabs>
          <w:tab w:leader="none" w:pos="6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and administrative expense necessary to operate our business; •research and development expenses necessary for the development, operation and support of our software platform;</w:t>
      </w:r>
    </w:p>
    <w:p>
      <w:pPr>
        <w:spacing w:after="0" w:line="170" w:lineRule="exact"/>
        <w:rPr>
          <w:rFonts w:ascii="Arial" w:cs="Arial" w:eastAsia="Arial" w:hAnsi="Arial"/>
          <w:sz w:val="18"/>
          <w:szCs w:val="18"/>
          <w:color w:val="auto"/>
        </w:rPr>
      </w:pPr>
    </w:p>
    <w:p>
      <w:pPr>
        <w:ind w:left="560" w:hanging="102"/>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 or</w:t>
      </w:r>
    </w:p>
    <w:p>
      <w:pPr>
        <w:spacing w:after="0" w:line="225" w:lineRule="exact"/>
        <w:rPr>
          <w:rFonts w:ascii="Arial" w:cs="Arial" w:eastAsia="Arial" w:hAnsi="Arial"/>
          <w:sz w:val="18"/>
          <w:szCs w:val="18"/>
          <w:color w:val="auto"/>
        </w:rPr>
      </w:pPr>
    </w:p>
    <w:p>
      <w:pPr>
        <w:ind w:left="460" w:hanging="2"/>
        <w:spacing w:after="0" w:line="277" w:lineRule="auto"/>
        <w:tabs>
          <w:tab w:leader="none" w:pos="5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Margin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6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w w:val="83"/>
              </w:rPr>
              <w:t>except percentages)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30,191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19,583</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85,150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53,575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E-commerce platform commissions, online advertising, selling and logistics</w:t>
            </w:r>
          </w:p>
        </w:tc>
        <w:tc>
          <w:tcPr>
            <w:tcW w:w="2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(29,448)</w:t>
            </w: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(18,379)</w:t>
            </w: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(74,927)</w:t>
            </w:r>
          </w:p>
        </w:tc>
        <w:tc>
          <w:tcPr>
            <w:tcW w:w="2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(51,572)</w:t>
            </w: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Contribution margin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1,204</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10,223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 as a percentage of net revenue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51.2%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Contribution margin as a percentage of net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loss, which is the most directly comparable financial measure presented in accordance with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7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1"/>
              </w:rPr>
              <w:t>Nine Months Ended September</w:t>
            </w:r>
          </w:p>
        </w:tc>
      </w:tr>
      <w:tr>
        <w:trPr>
          <w:trHeight w:val="234"/>
        </w:trPr>
        <w:tc>
          <w:tcPr>
            <w:tcW w:w="4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4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r>
      <w:tr>
        <w:trPr>
          <w:trHeight w:val="209"/>
        </w:trPr>
        <w:tc>
          <w:tcPr>
            <w:tcW w:w="4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w w:val="91"/>
              </w:rPr>
              <w:t>(in thousands,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w w:val="85"/>
              </w:rPr>
              <w:t>except percentages)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(116,902)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(6,270)</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(175,987)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(66,857)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Add: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3,416</w:t>
            </w:r>
          </w:p>
        </w:tc>
      </w:tr>
      <w:tr>
        <w:trPr>
          <w:trHeight w:val="20"/>
        </w:trPr>
        <w:tc>
          <w:tcPr>
            <w:tcW w:w="47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EBITDA</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(114,204)</w:t>
            </w:r>
          </w:p>
        </w:tc>
        <w:tc>
          <w:tcPr>
            <w:tcW w:w="24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(5,369)</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(168,424)</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(62,223)</w:t>
            </w:r>
          </w:p>
        </w:tc>
      </w:tr>
      <w:tr>
        <w:trPr>
          <w:trHeight w:val="20"/>
        </w:trPr>
        <w:tc>
          <w:tcPr>
            <w:tcW w:w="4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(5,240)</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goodwill</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90,921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119,941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Impairment loss on intangibles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3,118</w:t>
            </w:r>
          </w:p>
        </w:tc>
        <w:tc>
          <w:tcPr>
            <w:tcW w:w="24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3,118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39,445</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seller note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(5,528)</w:t>
            </w:r>
          </w:p>
        </w:tc>
        <w:tc>
          <w:tcPr>
            <w:tcW w:w="24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2,365</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on original issuance of equity</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12,834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18,669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Litigation reserve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Restructuring expense</w:t>
            </w:r>
            <w:r>
              <w:rPr>
                <w:rFonts w:ascii="Arial" w:cs="Arial" w:eastAsia="Arial" w:hAnsi="Arial"/>
                <w:sz w:val="25"/>
                <w:szCs w:val="25"/>
                <w:color w:val="auto"/>
                <w:vertAlign w:val="superscript"/>
              </w:rPr>
              <w:t>(1)</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2,943</w:t>
            </w:r>
          </w:p>
        </w:tc>
        <w:tc>
          <w:tcPr>
            <w:tcW w:w="24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11,854</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6,771</w:t>
            </w:r>
          </w:p>
        </w:tc>
      </w:tr>
      <w:tr>
        <w:trPr>
          <w:trHeight w:val="20"/>
        </w:trPr>
        <w:tc>
          <w:tcPr>
            <w:tcW w:w="4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(4,415)</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(17,328)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(16,683)</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Arial" w:cs="Arial" w:eastAsia="Arial" w:hAnsi="Arial"/>
                <w:sz w:val="18"/>
                <w:szCs w:val="18"/>
                <w:color w:val="auto"/>
              </w:rPr>
              <w:t>Net loss as a percentage of net revenue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(176.3)%</w:t>
            </w:r>
          </w:p>
        </w:tc>
        <w:tc>
          <w:tcPr>
            <w:tcW w:w="240" w:type="dxa"/>
            <w:vAlign w:val="bottom"/>
          </w:tcPr>
          <w:p>
            <w:pPr>
              <w:spacing w:after="0"/>
              <w:rPr>
                <w:sz w:val="17"/>
                <w:szCs w:val="17"/>
                <w:color w:val="auto"/>
              </w:rPr>
            </w:pPr>
          </w:p>
        </w:tc>
        <w:tc>
          <w:tcPr>
            <w:tcW w:w="11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(15.8)%</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(105.8)%</w:t>
            </w:r>
          </w:p>
        </w:tc>
        <w:tc>
          <w:tcPr>
            <w:tcW w:w="22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as a percentage of net revenue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bl>
    <w:p>
      <w:pPr>
        <w:spacing w:after="0" w:line="202" w:lineRule="exact"/>
        <w:rPr>
          <w:sz w:val="20"/>
          <w:szCs w:val="20"/>
          <w:color w:val="auto"/>
        </w:rPr>
      </w:pPr>
    </w:p>
    <w:p>
      <w:pPr>
        <w:ind w:left="820" w:hanging="488"/>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Restructuring expenses include non-recurring employee severance, contract termination costs and a settlement of a retention bonus relating to the Company reorganization executed during the three and nine months ending September 30,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U.S. generally accepted accounting principles. The preparation of these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Quarterly Report, we believe the following accounting policies used in the preparation of our financial statements require the most significant judgments and estimates.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as disclosed in our Annual Report on Form 10-K for fiscal year ended December 31, 2022, as filed with the SEC on March 16, 2023 (our “Annual Report”). For additional information, please refer to Note 2 of our Condensed Consolidated Financial Statements in this Quarterly Report on Form 10-Q.</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Intangible asset valuation</w:t>
      </w:r>
      <w:r>
        <w:rPr>
          <w:rFonts w:ascii="Arial" w:cs="Arial" w:eastAsia="Arial" w:hAnsi="Arial"/>
          <w:sz w:val="18"/>
          <w:szCs w:val="18"/>
          <w:color w:val="auto"/>
        </w:rPr>
        <w:t>—We review long-lived assets for impairment when performance expectations, events, or changes in circumstances indicate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 There were no triggering events during the three months ended September 30,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2022 and 2023, total impairment loss on intangibles were approximately$3.1 million and $39.4 million,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and future operating efficiencies.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Co-Chief Executive Officers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2023, our Co-Chief Executive Officers and Chief Financial Officer concluded that our disclosure controls and procedures were effective as of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2023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r>
        <w:rPr>
          <w:rFonts w:ascii="Arial" w:cs="Arial" w:eastAsia="Arial" w:hAnsi="Arial"/>
          <w:sz w:val="18"/>
          <w:szCs w:val="18"/>
          <w:color w:val="auto"/>
        </w:rPr>
        <w:t>—</w:t>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set forth under the headings “Shareholder Derivative Actions Related to the Securities Class Action”, "Earn-out Payment Dispute" and “Mueller Action” in Note 9 of our Condensed Consolidated Financial Statements in this Quarterly Report on Form 10-Q is incorporated herein by reference.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various actions and claims arising in the normal course of business. We do not believe that the final outcome of these matters will have a material adverse effect on our financial position or results of operations. In addition, we maintain what we believe is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historically operated at a loss and we may never achieve or sustain profitability or positive cash flows. Further we and our independent registered public accounting firm have expressed substantial doubt about our ability to continue as a going concern.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historically operated at a loss and experienced losses after tax of $176.0 million and $66.9 million for the nine months ended September 30, 2022 and 2023, respectively. In addition, our costs may increase in future periods, which could negatively affect our future operating results and ability to achieve and sustain profitability. For example, we may need to continue to expend substantial financial and other resources on the ideation, sourcing and development of products, our technology infrastructure, research and development, including the development of new features for our AIMEE software platform,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profitability. Even if we do, there can be no assurance that we will be able to maintain or increase profitability on a quarterly or annual basis. Failure to achieve or sustain profitability could have a material adverse effect on our business.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growth strategy has resulted in operating losses and negative cash flows from operations that raised substantial doubt about our ability to continue as a going concern. Our independent registered public accounting firm included an explanatory paragraph in its report on our financial statements as of and for the year-ended December 31, 2022,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delay the development of our software,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 significant majority of our revenue results from sales of products on Amazon</w:t>
      </w:r>
      <w:r>
        <w:rPr>
          <w:rFonts w:ascii="Arial" w:cs="Arial" w:eastAsia="Arial" w:hAnsi="Arial"/>
          <w:sz w:val="16"/>
          <w:szCs w:val="16"/>
          <w:color w:val="auto"/>
        </w:rPr>
        <w:t>’</w:t>
      </w:r>
      <w:r>
        <w:rPr>
          <w:rFonts w:ascii="Arial" w:cs="Arial" w:eastAsia="Arial" w:hAnsi="Arial"/>
          <w:sz w:val="16"/>
          <w:szCs w:val="16"/>
          <w:b w:val="1"/>
          <w:bCs w:val="1"/>
          <w:i w:val="1"/>
          <w:iCs w:val="1"/>
          <w:color w:val="auto"/>
        </w:rPr>
        <w:t>s U.S. Marketplace and any change, limitation, or restriction on our ability to operate on Amazon</w:t>
      </w:r>
      <w:r>
        <w:rPr>
          <w:rFonts w:ascii="Arial" w:cs="Arial" w:eastAsia="Arial" w:hAnsi="Arial"/>
          <w:sz w:val="16"/>
          <w:szCs w:val="16"/>
          <w:color w:val="auto"/>
        </w:rPr>
        <w:t>’</w:t>
      </w:r>
      <w:r>
        <w:rPr>
          <w:rFonts w:ascii="Arial" w:cs="Arial" w:eastAsia="Arial" w:hAnsi="Arial"/>
          <w:sz w:val="16"/>
          <w:szCs w:val="16"/>
          <w:b w:val="1"/>
          <w:bCs w:val="1"/>
          <w:i w:val="1"/>
          <w:iCs w:val="1"/>
          <w:color w:val="auto"/>
        </w:rPr>
        <w:t>s platform could have a material adverse impact on our business, operating results and financial condition.</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substantial percentage of our revenue is from sales of products on Amazon’s U.S. marketplace and we are subject to Amazon’s terms of service (“ToS”) and various other Amazon seller policies that apply to third parties who sell products on Amazon’s marketplace.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or our product listings are required to be changed, for noncompliance or any other reason, our reinstatement efforts may take significant time and attention or could fail, which could have a material adverse effect on our business, operating results and financial condition. In addition, Amazon has made, and we expect will continue to make, changes to its platform that could require us to change the manner in which we operate, limit our ability to successfully market existing products and to launch new products or increase our costs to operate. Such changes and the efforts required to maintain compliance therewith could have an adverse effect on our business, operating results and financial condition. Examples of past changes from Amazon have included platform fee increases (i.e., storage, advertising, fulfillment and selling commissions), inventory warehouse limitations, restrictions on certain marketing activities and changes to listing requirements that limit the variations of products that can be included in a single listing. Any change, limitation or restriction on our ability to sell on Amazon’s platform, even if temporary, could have a material impact on our business, operating results and financial condition. 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 material impact on our business, results of operations,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attract, retain or motivate key personnel which could harm our business.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We have experienced higher than normal levels of turnover on our software development team and further departures could impact our ability to use AIMEE in our operations which could have a material impact on our business. Each of our executive officers, key technical personnel and other employees could terminate their employment relationship with us at any time. Moreover, we rely on stock-based compensation as a method to attract, retain and motivate our employees. If our common stock continues to be volatile or depressed, we may be unable to attract, retain and motivate employees, and if this occurs, it could have a material adverse effect on our business, operating results and financial condition. We do not currently maintain key person life insurance policies on any member of our senior management team or any other key employees.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compete effectively, our market share and revenue could be diminished which may delay or otherwise hinder our efforts to achieve or maintain profitability.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cannot assure you that our products will continue to compete favorably or that we will be successful in the face of increasing competition and from new products and enhancements introduced by existing competitors or new companies entering the markets in which we operate. We sell our products primarily on marketplaces and primarily on Amazon in the U.S. Unlike traditional brick and mortar retailers, the consumer who is shopping on marketplaces has a significant number of competing products to select from as there are limited barriers to entry. In addition, the Internet facilitates competitive entry and comparison shopping, which enhances the ability of new and existing businesses to compete against us. A number of our current and potential competitors have greater resources, longer histories, and/or greater brand recognition. As a result, they may be able to secure better terms from vendors and devote more resources to technology, infrastructure, fulfillment, and marketing then we may be able to. In addition, some of our competitors aggressively discount their products in order to gain market share, which has resulted in pricing pressures, reduced profit margins and lost market share. Further, social proof for products sold on marketplaces in the form of product ratings and reviews is highly important to our success. In certain instances we have been unable to maintain such social proof, and we may be unable to maintain such social proof in the future, or competitors may be able to attain better social proof for their products which could have a material impact on our operating results.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certain significant products in our portfolio such as air conditioners and most of our dehumidifiers, we compete directly with our contract manufacturer who sells its own competing private label products on the marketplaces we sell and who has a lower cost structure and significantly better R&amp;D capabilities. For other certain products, due to our inventory long position and other factors we continued to sell our older versions of SKUs rather than order newer versions with innovations that some of our competitors are currently selling, which has had and may continue to have a material impact on our business. In the interim we have lost and may continue to lose market share for such SKUs. As a result of competition, our product offerings, whether in new or existing markets, may not be successful, we may fail to gain or may lose business, and we may be required to increase our marketing spending or lower prices, either of which could materially impact our operating results.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our technology platform, AIMEE, to compete effectively in the markets we operate, but the effectiveness of AIMEE and our other technology requires significant investments which we may be unable or unwilling to make or which may be unsuccessful. In recent months, we have had a reduction in the number of members of our research and development team and in recent years numerous platforms that provide services that are comparable to AIMEE have been released. These platforms have teams solely dedicated to their products which enables them to maintain their products at high functionality. Together, the reduction in our development team and the speed with which these alternative products have come to market has caused our management team to consider evaluating the reduction of our reliance on AIMEE in exchange for third party providers that we believe may better serve certain of our business needs. Such consideration will be based on a number of factors. Regardless of the outcome of these alternative considerations, this could divert management’s attention and otherwise disrupt our operations and adversely affect our operating results and financial condition.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recently undergone a management change and are evaluating various aspects of our business including but not limited to reducing the number of products we sell, each of which, individually or in the aggregate, could have a material impact on our results of operations, financial condition, and business.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three months ending September 30, 2023, the Company implemented a strategy of rationalizing certain less profitable products and reducing its product offering. Further, on July 26, 2023, Yaniv Sarig resigned as CEO of Aterian, and Arturo Rodriguez and Joseph Risico were promoted to Co-CEOs of Aterian. As a result of this change in leadership, we are considering a number of strategic initiatives that could impact most aspects of how we currently do business including a further rationalization of our product portfolio to improve our operations and potential future profitability. This reduction in our product portfolio will lead to a decline in revenue in upcoming quarters. Executing on any of these decisions may be complex and entail a number of potential risks, including but not limited to uncertainties, disruptions and challenges in our business and business model, a decline in revenues and profitability, market share erosion, inventory write-offs and other restructuring related charges, impacts to our relationships with our various vendors and could potentially impact employee morale. Further, pursuing or completing any such SKU reduction or other strategic initiative could divert management’s attention, and otherwise disrupt our operations and technology platform which could adversely affect our operating results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of a continuing public market for you to resell our common stock.</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April 24, 2023, we received a letter from the Listing Qualifications Staff of The Nasdaq Stock Market LLC 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Bid Price Notice has no immediate effect on the continued listing status of our common stock on The Nasdaq Capital Market, and, therefore, our listing remains fully effective.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at any time before April 22, 2024,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continue to monitor the closing bid price of its Common Stock and seek to regain compliance with all applicable Nasdaq requirements within the allotted compliance period. If the Company does not regain compliance within the allotted compliance period,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compliance period, or maintain compliance with the other Nasdaq listing requirements.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covenants with our current lenders; limited liquidity for our stockholders due to thin trading; and the potential loss of confidence by investors, employees and other third parties who we do business with.</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we may decide to effect a reverse split of our common stock which could impact the market price for our stock, limit our ability to raise capital or otherwise limit our ability to execute acquisition transactions and there is no assurance that the market price or trading volume for our common stock will not further decline after announcing or effecting such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Rule 10b-5(1) Trading Plans. During the three months ended September 30, 2023, no director or officer of the Company adopted or terminated a “Rule 10b5-1 trading arrangement” or “non-Rule 10b5-1 trading arrangement,” as each term is defined in Item 408(a) of Regulation S-K.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Exhibits.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8"/>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0000EE"/>
              </w:rPr>
              <w:t>Amendment to Joseph A. Risico Employment Agreement</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10.2*#</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0000EE"/>
              </w:rPr>
              <w:t>Amendment to Arturo Rodriguez Employment Agreement</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0000EE"/>
                <w:w w:val="93"/>
              </w:rPr>
              <w:t>Certifications of the Principal Executive Officer pursuant to Rule 13a-14(a) or 15d-</w:t>
            </w: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14(a) of the Securities Exchange Act of 1934.</w:t>
            </w:r>
          </w:p>
        </w:tc>
        <w:tc>
          <w:tcPr>
            <w:tcW w:w="2700" w:type="dxa"/>
            <w:vAlign w:val="bottom"/>
            <w:tcBorders>
              <w:top w:val="single" w:sz="8" w:color="0000EE"/>
            </w:tcBorders>
            <w:gridSpan w:val="6"/>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40" w:type="dxa"/>
            <w:vAlign w:val="bottom"/>
          </w:tcPr>
          <w:p>
            <w:pPr>
              <w:spacing w:after="0"/>
              <w:rPr>
                <w:sz w:val="24"/>
                <w:szCs w:val="24"/>
                <w:color w:val="auto"/>
              </w:rPr>
            </w:pPr>
          </w:p>
        </w:tc>
        <w:tc>
          <w:tcPr>
            <w:tcW w:w="59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Certifications of the Principal Financial Officer pursuant to Rule 13a-14(a) or 15d-</w:t>
            </w:r>
          </w:p>
        </w:tc>
        <w:tc>
          <w:tcPr>
            <w:tcW w:w="12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14(a) of the Securities Exchange Act of 1934.</w:t>
            </w:r>
          </w:p>
        </w:tc>
        <w:tc>
          <w:tcPr>
            <w:tcW w:w="2780" w:type="dxa"/>
            <w:vAlign w:val="bottom"/>
            <w:gridSpan w:val="7"/>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31.3*</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0000EE"/>
                <w:w w:val="93"/>
              </w:rPr>
              <w:t>Certifications of the Principal Executive Officer pursuant to Rule 13a-14(a) or 15d-</w:t>
            </w: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14(a) of the Securities Exchange Act of 1934.</w:t>
            </w:r>
          </w:p>
        </w:tc>
        <w:tc>
          <w:tcPr>
            <w:tcW w:w="2700" w:type="dxa"/>
            <w:vAlign w:val="bottom"/>
            <w:tcBorders>
              <w:top w:val="single" w:sz="8" w:color="0000EE"/>
            </w:tcBorders>
            <w:gridSpan w:val="6"/>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0000EE"/>
                <w:w w:val="98"/>
              </w:rPr>
              <w:t>Certifications of the Principal Executive Officer and Principal Financial Officer</w:t>
            </w: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pursuant to 18 U.S.C. Section 1350, as adopted pursuant to Section 906 of the</w:t>
            </w:r>
          </w:p>
        </w:tc>
        <w:tc>
          <w:tcPr>
            <w:tcW w:w="3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3500" w:type="dxa"/>
            <w:vAlign w:val="bottom"/>
            <w:tcBorders>
              <w:top w:val="single" w:sz="8" w:color="0000EE"/>
            </w:tcBorders>
            <w:gridSpan w:val="4"/>
          </w:tcPr>
          <w:p>
            <w:pPr>
              <w:spacing w:after="0"/>
              <w:rPr>
                <w:sz w:val="17"/>
                <w:szCs w:val="17"/>
                <w:color w:val="auto"/>
              </w:rPr>
            </w:pPr>
          </w:p>
        </w:tc>
        <w:tc>
          <w:tcPr>
            <w:tcW w:w="480" w:type="dxa"/>
            <w:vAlign w:val="bottom"/>
            <w:gridSpan w:val="4"/>
          </w:tcPr>
          <w:p>
            <w:pPr>
              <w:spacing w:after="0"/>
              <w:rPr>
                <w:sz w:val="17"/>
                <w:szCs w:val="17"/>
                <w:color w:val="auto"/>
              </w:rPr>
            </w:pPr>
          </w:p>
        </w:tc>
      </w:tr>
      <w:tr>
        <w:trPr>
          <w:trHeight w:val="453"/>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40" w:type="dxa"/>
            <w:vAlign w:val="bottom"/>
          </w:tcPr>
          <w:p>
            <w:pPr>
              <w:spacing w:after="0"/>
              <w:rPr>
                <w:sz w:val="24"/>
                <w:szCs w:val="24"/>
                <w:color w:val="auto"/>
              </w:rPr>
            </w:pPr>
          </w:p>
        </w:tc>
        <w:tc>
          <w:tcPr>
            <w:tcW w:w="60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right="1060" w:firstLine="348"/>
        <w:spacing w:after="0" w:line="383" w:lineRule="auto"/>
        <w:tabs>
          <w:tab w:leader="none" w:pos="11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 Filed herewith.</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17145</wp:posOffset>
            </wp:positionV>
            <wp:extent cx="24688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File</w:t>
      </w:r>
    </w:p>
    <w:p>
      <w:pPr>
        <w:spacing w:after="0" w:line="23" w:lineRule="exact"/>
        <w:rPr>
          <w:sz w:val="20"/>
          <w:szCs w:val="20"/>
          <w:color w:val="auto"/>
        </w:rPr>
      </w:pPr>
    </w:p>
    <w:p>
      <w:pPr>
        <w:spacing w:after="0"/>
        <w:tabs>
          <w:tab w:leader="none" w:pos="880" w:val="left"/>
          <w:tab w:leader="none" w:pos="1760" w:val="left"/>
          <w:tab w:leader="none" w:pos="290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u w:val="single" w:color="auto"/>
          <w:color w:val="auto"/>
        </w:rPr>
        <w:t>Filing Date</w:t>
      </w:r>
      <w:r>
        <w:rPr>
          <w:sz w:val="20"/>
          <w:szCs w:val="20"/>
          <w:color w:val="auto"/>
        </w:rPr>
        <w:tab/>
      </w: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5715</wp:posOffset>
            </wp:positionV>
            <wp:extent cx="1200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5715</wp:posOffset>
            </wp:positionV>
            <wp:extent cx="5657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ectPr>
          <w:pgSz w:w="11900" w:h="16838" w:orient="portrait"/>
          <w:cols w:equalWidth="0" w:num="2">
            <w:col w:w="7240" w:space="340"/>
            <w:col w:w="3500"/>
          </w:cols>
          <w:pgMar w:left="320" w:top="125"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380"/>
              <w:spacing w:after="0"/>
              <w:rPr>
                <w:sz w:val="20"/>
                <w:szCs w:val="20"/>
                <w:color w:val="auto"/>
              </w:rPr>
            </w:pPr>
            <w:r>
              <w:rPr>
                <w:rFonts w:ascii="Arial" w:cs="Arial" w:eastAsia="Arial" w:hAnsi="Arial"/>
                <w:sz w:val="18"/>
                <w:szCs w:val="18"/>
                <w:b w:val="1"/>
                <w:bCs w:val="1"/>
                <w:color w:val="auto"/>
              </w:rPr>
              <w:t>ATERIAN,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8, 2023</w:t>
            </w:r>
          </w:p>
        </w:tc>
        <w:tc>
          <w:tcPr>
            <w:tcW w:w="2900" w:type="dxa"/>
            <w:vAlign w:val="bottom"/>
          </w:tcPr>
          <w:p>
            <w:pPr>
              <w:ind w:left="23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Risico</w:t>
            </w:r>
          </w:p>
        </w:tc>
      </w:tr>
      <w:tr>
        <w:trPr>
          <w:trHeight w:val="195"/>
        </w:trPr>
        <w:tc>
          <w:tcPr>
            <w:tcW w:w="36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Joseph A. Risico</w:t>
            </w:r>
          </w:p>
        </w:tc>
      </w:tr>
      <w:tr>
        <w:trPr>
          <w:trHeight w:val="216"/>
        </w:trPr>
        <w:tc>
          <w:tcPr>
            <w:tcW w:w="3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Co-Chief Executive Office</w:t>
            </w:r>
            <w:r>
              <w:rPr>
                <w:rFonts w:ascii="Arial" w:cs="Arial" w:eastAsia="Arial" w:hAnsi="Arial"/>
                <w:sz w:val="18"/>
                <w:szCs w:val="18"/>
                <w:i w:val="1"/>
                <w:iCs w:val="1"/>
                <w:color w:val="auto"/>
              </w:rPr>
              <w:t>r</w:t>
            </w:r>
          </w:p>
        </w:tc>
      </w:tr>
      <w:tr>
        <w:trPr>
          <w:trHeight w:val="230"/>
        </w:trPr>
        <w:tc>
          <w:tcPr>
            <w:tcW w:w="36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(Co-Principal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8, 2023</w:t>
            </w:r>
          </w:p>
        </w:tc>
        <w:tc>
          <w:tcPr>
            <w:tcW w:w="2900" w:type="dxa"/>
            <w:vAlign w:val="bottom"/>
          </w:tcPr>
          <w:p>
            <w:pPr>
              <w:ind w:left="23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Arturo Rodriguez</w:t>
            </w:r>
          </w:p>
        </w:tc>
      </w:tr>
      <w:tr>
        <w:trPr>
          <w:trHeight w:val="195"/>
        </w:trPr>
        <w:tc>
          <w:tcPr>
            <w:tcW w:w="36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Arturo Rodriguez</w:t>
            </w:r>
          </w:p>
        </w:tc>
      </w:tr>
      <w:tr>
        <w:trPr>
          <w:trHeight w:val="216"/>
        </w:trPr>
        <w:tc>
          <w:tcPr>
            <w:tcW w:w="3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Co-Chief Executive Officer and Chief Financial Officer</w:t>
            </w:r>
          </w:p>
        </w:tc>
      </w:tr>
      <w:tr>
        <w:trPr>
          <w:trHeight w:val="230"/>
        </w:trPr>
        <w:tc>
          <w:tcPr>
            <w:tcW w:w="36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(Co-Principal Executive and Financial Officer)</w:t>
            </w:r>
          </w:p>
        </w:tc>
      </w:tr>
      <w:tr>
        <w:trPr>
          <w:trHeight w:val="648"/>
        </w:trPr>
        <w:tc>
          <w:tcPr>
            <w:tcW w:w="3660" w:type="dxa"/>
            <w:vAlign w:val="bottom"/>
          </w:tcPr>
          <w:p>
            <w:pPr>
              <w:spacing w:after="0"/>
              <w:rPr>
                <w:sz w:val="24"/>
                <w:szCs w:val="24"/>
                <w:color w:val="auto"/>
              </w:rPr>
            </w:pPr>
          </w:p>
        </w:tc>
        <w:tc>
          <w:tcPr>
            <w:tcW w:w="2900" w:type="dxa"/>
            <w:vAlign w:val="bottom"/>
          </w:tcPr>
          <w:p>
            <w:pPr>
              <w:jc w:val="right"/>
              <w:ind w:right="750"/>
              <w:spacing w:after="0"/>
              <w:rPr>
                <w:sz w:val="20"/>
                <w:szCs w:val="20"/>
                <w:color w:val="auto"/>
              </w:rPr>
            </w:pPr>
            <w:r>
              <w:rPr>
                <w:rFonts w:ascii="Arial" w:cs="Arial" w:eastAsia="Arial" w:hAnsi="Arial"/>
                <w:sz w:val="18"/>
                <w:szCs w:val="18"/>
                <w:color w:val="auto"/>
              </w:rPr>
              <w:t>50</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85950" cy="6254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59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Joseph Risico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 only to joe@aterian.io)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Amendments to your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Joe,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will amend your employment arrangements with Aterian, Inc. (the “Company”) as set forth in that letter agreement dated May 14, 2018 between you and the Company, as amended from time to time (collectively, the “Employment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agree that, beginning September 13, 2023, your annual salary will be $325,000.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also agree to the following, in all cases contingent upon your execution and delivery to the Company of a release agreement in a form proposed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such release becoming effective:</w:t>
      </w:r>
    </w:p>
    <w:p>
      <w:pPr>
        <w:spacing w:after="0" w:line="211" w:lineRule="exact"/>
        <w:rPr>
          <w:sz w:val="20"/>
          <w:szCs w:val="20"/>
          <w:color w:val="auto"/>
        </w:rPr>
      </w:pPr>
    </w:p>
    <w:p>
      <w:pPr>
        <w:ind w:left="1300" w:right="80" w:hanging="320"/>
        <w:spacing w:after="0" w:line="258"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Severance on salary for 12 month following a termination of your employment by the Company except for Cause, payable in accordance with the Company’s normal payroll practices (such period, the “Severance Period”)</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3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COBRA benefits protection following a termination of your employment by the Company except for Cause until the earlier of (i) the end of the Severance Period and (ii) the date you first commence employment with another company.</w:t>
      </w:r>
    </w:p>
    <w:p>
      <w:pPr>
        <w:ind w:left="1300" w:hanging="32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Acceleration of vesting of all equity of the Company following a termination of your employment by the Company except for Cause</w:t>
      </w:r>
    </w:p>
    <w:p>
      <w:pPr>
        <w:spacing w:after="0" w:line="20" w:lineRule="exact"/>
        <w:rPr>
          <w:rFonts w:ascii="Arial" w:cs="Arial" w:eastAsia="Arial" w:hAnsi="Arial"/>
          <w:sz w:val="17"/>
          <w:szCs w:val="17"/>
          <w:color w:val="auto"/>
        </w:rPr>
      </w:pPr>
    </w:p>
    <w:p>
      <w:pPr>
        <w:jc w:val="both"/>
        <w:ind w:left="1300" w:right="420" w:hanging="320"/>
        <w:spacing w:after="0" w:line="277"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Double trigger change in control provision providing for the above listed benefits 1-3 in the event of a resignation for Good Reason within 12 months following a Change in Control (as defined in the Company’s 2019 Equity Plan, as amended). For the avoidance of doubt, such benefits are also owed following a termination following a Change in Control except for cause.</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purposes of your employment, “Cause” shall mean one or more of the following, as determined in the reasonable discretion of the Board of Directors (the “Board”) of the Company (unless otherwise provided below):</w:t>
      </w:r>
    </w:p>
    <w:p>
      <w:pPr>
        <w:spacing w:after="0" w:line="170" w:lineRule="exact"/>
        <w:rPr>
          <w:sz w:val="20"/>
          <w:szCs w:val="20"/>
          <w:color w:val="auto"/>
        </w:rPr>
      </w:pPr>
    </w:p>
    <w:p>
      <w:pPr>
        <w:ind w:left="660" w:right="4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breach of the Proprietary Information and Inventions Agreement between you and the Company, as determined in the sole discretion of the Board;</w:t>
      </w:r>
    </w:p>
    <w:p>
      <w:pPr>
        <w:spacing w:after="0" w:line="1"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Conviction of, or a plea of “guilty” or “no contest” to a felony, or a plea of “guilty” or “no contest” to a lesser included offense in exchange for withdrawal of a felony indictment or felony charge by indictment, in each case whether arising under the laws of the United States or any state thereof;</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gross or willful misconduct, dishonesty or fraud in performance of your duties;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satisfactorily meet the material duties and obligations of your employment resulting from your bad faith;</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Violations of applicable policies, laws, rules or regulations that expose the Company to public disgrace or disrepute, material damages or material liability; or</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breach by you of your employment agreement, any ancillary agreement, or any other Company policy.</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purposes of your employment, “Good Reason” shall mean one or more of the following, as determined in the reasonable discretion of the Board without your written consent, provided that you have given the Company notice within thirty (30) days of the initial occurrence of the event that is alleged to constitute Good Reason, such breach remains uncured in the thirty (30) day period after such notice, and you terminate your employment no later than ten (10) days after the cure period has expired. The Company shall not take any position that a resignation by Executive for Good Reason fails to constitute an involuntary separation from service for purposes of Section 409A:</w:t>
      </w:r>
    </w:p>
    <w:p>
      <w:pPr>
        <w:spacing w:after="0" w:line="188" w:lineRule="exact"/>
        <w:rPr>
          <w:sz w:val="20"/>
          <w:szCs w:val="20"/>
          <w:color w:val="auto"/>
        </w:rPr>
      </w:pPr>
    </w:p>
    <w:p>
      <w:pPr>
        <w:ind w:left="660" w:right="18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reduction of your base salary and bonus that diminishes the aggregate value of your compensation except to the extent that the base salary and bonus of all other officers of the Company is similarly reduced;</w:t>
      </w:r>
    </w:p>
    <w:p>
      <w:pPr>
        <w:spacing w:after="0" w:line="1" w:lineRule="exact"/>
        <w:rPr>
          <w:rFonts w:ascii="Arial" w:cs="Arial" w:eastAsia="Arial" w:hAnsi="Arial"/>
          <w:sz w:val="18"/>
          <w:szCs w:val="18"/>
          <w:color w:val="auto"/>
        </w:rPr>
      </w:pPr>
    </w:p>
    <w:p>
      <w:pPr>
        <w:jc w:val="both"/>
        <w:ind w:left="660" w:right="400" w:hanging="328"/>
        <w:spacing w:after="0" w:line="26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change in your position, title or reporting relationship with the Company that diminishes in any material respect your authority, duties or responsibilities, provided, however, that a change in your authority, duties or responsibilities solely due to the Company becoming a division, subsidiary or other similar part of a larger organization shall not by itself constitute Good Reason; or</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relocation of your principal place of employment that would result in an increase in your one-way commute by more than 30 miles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other terms of the Employment Agreement, including bonus and any other compensatory arrangements, shall remain unchanged and in full force and effect.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Aterian,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Porcelli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Christopher Porcelli, General Counsel and Head of People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Joseph A. Risico</w:t>
      </w:r>
    </w:p>
    <w:p>
      <w:pPr>
        <w:sectPr>
          <w:pgSz w:w="11900" w:h="16838" w:orient="portrait"/>
          <w:cols w:equalWidth="0" w:num="1">
            <w:col w:w="11240"/>
          </w:cols>
          <w:pgMar w:left="320" w:top="121" w:right="339" w:bottom="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color w:val="auto"/>
        </w:rPr>
        <w:t>Joseph A. Risico</w:t>
      </w:r>
    </w:p>
    <w:p>
      <w:pPr>
        <w:sectPr>
          <w:pgSz w:w="11900" w:h="16838" w:orient="portrait"/>
          <w:cols w:equalWidth="0" w:num="1">
            <w:col w:w="10139"/>
          </w:cols>
          <w:pgMar w:left="320" w:top="125" w:right="1440" w:bottom="1440" w:gutter="0" w:footer="0" w:header="0"/>
        </w:sectPr>
      </w:pPr>
    </w:p>
    <w:bookmarkStart w:id="57" w:name="page58"/>
    <w:bookmarkEnd w:id="57"/>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85950" cy="6254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59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 only to arturo@aterian.io)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Amendments to your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Arty,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will amend your employment arrangements with Aterian, Inc. (the “Company”) as set forth in that letter agreement dated September 18, 2017 between you and the Company, as amended from time to time (collectively, the “Employment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agree that, beginning September 13, 2023, your annual salary will be $325,000.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also agree to the following, in all cases contingent upon your execution and delivery to the Company of a release agreement in a form proposed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such release becoming effective:</w:t>
      </w:r>
    </w:p>
    <w:p>
      <w:pPr>
        <w:spacing w:after="0" w:line="9" w:lineRule="exact"/>
        <w:rPr>
          <w:sz w:val="20"/>
          <w:szCs w:val="20"/>
          <w:color w:val="auto"/>
        </w:rPr>
      </w:pPr>
    </w:p>
    <w:p>
      <w:pPr>
        <w:ind w:left="1300" w:right="80" w:hanging="320"/>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Severance on salary for 12 month following a termination of your employment by the Company except for Cause, payable in accordance with the Company’s normal payroll practices (such period, the “Severance Period”)</w:t>
      </w:r>
    </w:p>
    <w:p>
      <w:pPr>
        <w:ind w:left="1300" w:right="20" w:hanging="320"/>
        <w:spacing w:after="0" w:line="250" w:lineRule="auto"/>
        <w:tabs>
          <w:tab w:leader="none" w:pos="13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COBRA benefits protection following a termination of your employment by the Company except for Cause until the earlier of (i) the end of the Severance Period and (ii) the date you first commence employment with another company.</w:t>
      </w:r>
    </w:p>
    <w:p>
      <w:pPr>
        <w:ind w:left="1300" w:hanging="320"/>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Acceleration of vesting of all equity of the Company following a termination of your employment by the Company except for Cause</w:t>
      </w:r>
    </w:p>
    <w:p>
      <w:pPr>
        <w:spacing w:after="0" w:line="20" w:lineRule="exact"/>
        <w:rPr>
          <w:rFonts w:ascii="Arial" w:cs="Arial" w:eastAsia="Arial" w:hAnsi="Arial"/>
          <w:sz w:val="17"/>
          <w:szCs w:val="17"/>
          <w:color w:val="auto"/>
        </w:rPr>
      </w:pPr>
    </w:p>
    <w:p>
      <w:pPr>
        <w:jc w:val="both"/>
        <w:ind w:left="1300" w:right="420" w:hanging="320"/>
        <w:spacing w:after="0" w:line="277"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Double trigger change in control provision providing for the above listed benefits 1-3 in the event of a resignation for Good Reason within 12 months following a Change in Control (as defined in the Company’s 2019 Equity Plan, as amended). For the avoidance of doubt, such benefits are also owed following a termination following a Change in Control except for cause.</w:t>
      </w:r>
    </w:p>
    <w:p>
      <w:pPr>
        <w:spacing w:after="0" w:line="1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purposes of your employment, “Cause” shall mean one or more of the following, as determined in the reasonable discretion of the Board of Directors (the “Board”) of the Company (unless otherwise provided below):</w:t>
      </w:r>
    </w:p>
    <w:p>
      <w:pPr>
        <w:spacing w:after="0" w:line="1" w:lineRule="exact"/>
        <w:rPr>
          <w:sz w:val="20"/>
          <w:szCs w:val="20"/>
          <w:color w:val="auto"/>
        </w:rPr>
      </w:pPr>
    </w:p>
    <w:p>
      <w:pPr>
        <w:ind w:left="660" w:right="4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material breach of the Proprietary Information and Inventions Agreement between you and the Company, as determined in the sole discretion of the Board;</w:t>
      </w:r>
    </w:p>
    <w:p>
      <w:pPr>
        <w:jc w:val="both"/>
        <w:ind w:left="660" w:right="30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Conviction of, or a plea of “guilty” or “no contest” to a felony, or a plea of “guilty” or “no contest” to a lesser included offense in exchange for withdrawal of a felony indictment or felony charge by indictment, in each case whether arising under the laws of the United States or any state thereof;</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gross or willful misconduct, dishonesty or fraud in performance of your duties;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satisfactorily meet the material duties and obligations of your employment resulting from your bad faith;</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Violations of applicable policies, laws, rules or regulations that expose the Company to public disgrace or disrepute, material damages or material liability; or</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Material breach by you of your employment agreement, any ancillary agreement, or any other Company policy.</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purposes of your employment, “Good Reason” shall mean one or more of the following, as determined in the reasonable discretion of the Board without your written consent, provided that you have given the Company notice within thirty (30) days of the initial occurrence of the event that is alleged to constitute Good Reason, such breach remains uncured in the thirty (30) day period after such notice, and you terminate your employment no later than ten (10) days after the cure period has expired. The Company shall not take any position that a resignation by Executive for Good Reason fails to constitute an involuntary separation from service for purposes of Section 409A:</w:t>
      </w:r>
    </w:p>
    <w:p>
      <w:pPr>
        <w:spacing w:after="0" w:line="188" w:lineRule="exact"/>
        <w:rPr>
          <w:sz w:val="20"/>
          <w:szCs w:val="20"/>
          <w:color w:val="auto"/>
        </w:rPr>
      </w:pPr>
    </w:p>
    <w:p>
      <w:pPr>
        <w:ind w:left="660" w:right="18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reduction of your base salary and bonus that diminishes the aggregate value of your compensation except to the extent that the base salary and bonus of all other officers of the Company is similarly reduced;</w:t>
      </w:r>
    </w:p>
    <w:p>
      <w:pPr>
        <w:spacing w:after="0" w:line="1" w:lineRule="exact"/>
        <w:rPr>
          <w:rFonts w:ascii="Arial" w:cs="Arial" w:eastAsia="Arial" w:hAnsi="Arial"/>
          <w:sz w:val="18"/>
          <w:szCs w:val="18"/>
          <w:color w:val="auto"/>
        </w:rPr>
      </w:pPr>
    </w:p>
    <w:p>
      <w:pPr>
        <w:jc w:val="both"/>
        <w:ind w:left="660" w:right="400" w:hanging="328"/>
        <w:spacing w:after="0" w:line="26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change in your position, title or reporting relationship with the Company that diminishes in any material respect your authority, duties or responsibilities, provided, however, that a change in your authority, duties or responsibilities solely due to the Company becoming a division, subsidiary or other similar part of a larger organization shall not by itself constitute Good Reason; or</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relocation of your principal place of employment that would result in an increase in your one-way commute by more than 30 miles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other terms of the Employment Agreement, including bonus and any other compensatory arrangements, shall remain unchanged and in full force and effect.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Aterian,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Porcelli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Christopher Porcelli, General Counsel and Head of People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ectPr>
          <w:pgSz w:w="11900" w:h="16869" w:orient="portrait"/>
          <w:cols w:equalWidth="0" w:num="1">
            <w:col w:w="11240"/>
          </w:cols>
          <w:pgMar w:left="320" w:top="121" w:right="339" w:bottom="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A. Risico, certify that:</w:t>
      </w:r>
    </w:p>
    <w:p>
      <w:pPr>
        <w:spacing w:after="0" w:line="225" w:lineRule="exact"/>
        <w:rPr>
          <w:sz w:val="20"/>
          <w:szCs w:val="20"/>
          <w:color w:val="auto"/>
        </w:rPr>
      </w:pPr>
    </w:p>
    <w:p>
      <w:pPr>
        <w:ind w:left="600" w:hanging="178"/>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Aterian, Inc.;</w:t>
      </w:r>
    </w:p>
    <w:p>
      <w:pPr>
        <w:spacing w:after="0" w:line="225" w:lineRule="exact"/>
        <w:rPr>
          <w:rFonts w:ascii="Arial" w:cs="Arial" w:eastAsia="Arial" w:hAnsi="Arial"/>
          <w:sz w:val="18"/>
          <w:szCs w:val="18"/>
          <w:color w:val="auto"/>
        </w:rPr>
      </w:pPr>
    </w:p>
    <w:p>
      <w:pPr>
        <w:ind w:left="420" w:right="180" w:firstLine="2"/>
        <w:spacing w:after="0" w:line="263"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140" w:firstLine="2"/>
        <w:spacing w:after="0" w:line="308"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20" w:right="340" w:firstLine="2"/>
        <w:spacing w:after="0" w:line="263"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60" w:hanging="6"/>
        <w:spacing w:after="0" w:line="263" w:lineRule="auto"/>
        <w:tabs>
          <w:tab w:leader="none" w:pos="103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60" w:right="400" w:hanging="6"/>
        <w:spacing w:after="0" w:line="263"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60" w:right="520" w:hanging="6"/>
        <w:spacing w:after="0" w:line="342" w:lineRule="auto"/>
        <w:tabs>
          <w:tab w:leader="none" w:pos="103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60" w:right="180" w:hanging="6"/>
        <w:spacing w:after="0" w:line="263"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60" w:firstLine="2"/>
        <w:spacing w:after="0" w:line="308"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60" w:right="740" w:hanging="6"/>
        <w:spacing w:after="0" w:line="342" w:lineRule="auto"/>
        <w:tabs>
          <w:tab w:leader="none" w:pos="103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60" w:right="420" w:hanging="6"/>
        <w:spacing w:after="0" w:line="277"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Joseph A. Risico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A. Risico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(Co-Principal Executive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Arturo Rodriguez, certify that:</w:t>
      </w:r>
    </w:p>
    <w:p>
      <w:pPr>
        <w:spacing w:after="0" w:line="225" w:lineRule="exact"/>
        <w:rPr>
          <w:sz w:val="20"/>
          <w:szCs w:val="20"/>
          <w:color w:val="auto"/>
        </w:rPr>
      </w:pPr>
    </w:p>
    <w:p>
      <w:pPr>
        <w:ind w:left="600" w:hanging="178"/>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Aterian, Inc.;</w:t>
      </w:r>
    </w:p>
    <w:p>
      <w:pPr>
        <w:spacing w:after="0" w:line="225" w:lineRule="exact"/>
        <w:rPr>
          <w:rFonts w:ascii="Arial" w:cs="Arial" w:eastAsia="Arial" w:hAnsi="Arial"/>
          <w:sz w:val="18"/>
          <w:szCs w:val="18"/>
          <w:color w:val="auto"/>
        </w:rPr>
      </w:pPr>
    </w:p>
    <w:p>
      <w:pPr>
        <w:ind w:left="420" w:right="180" w:firstLine="2"/>
        <w:spacing w:after="0" w:line="263"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140" w:firstLine="2"/>
        <w:spacing w:after="0" w:line="308"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20" w:right="340" w:firstLine="2"/>
        <w:spacing w:after="0" w:line="263"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60" w:hanging="6"/>
        <w:spacing w:after="0" w:line="263" w:lineRule="auto"/>
        <w:tabs>
          <w:tab w:leader="none" w:pos="103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60" w:right="400" w:hanging="6"/>
        <w:spacing w:after="0" w:line="263"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60" w:right="520" w:hanging="6"/>
        <w:spacing w:after="0" w:line="342" w:lineRule="auto"/>
        <w:tabs>
          <w:tab w:leader="none" w:pos="103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60" w:right="180" w:hanging="6"/>
        <w:spacing w:after="0" w:line="263"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60" w:firstLine="2"/>
        <w:spacing w:after="0" w:line="308"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60" w:right="740" w:hanging="6"/>
        <w:spacing w:after="0" w:line="342" w:lineRule="auto"/>
        <w:tabs>
          <w:tab w:leader="none" w:pos="103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60" w:right="420" w:hanging="6"/>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(Co-Principal Executive and Financial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Arturo Rodriguez, certify that:</w:t>
      </w:r>
    </w:p>
    <w:p>
      <w:pPr>
        <w:spacing w:after="0" w:line="225" w:lineRule="exact"/>
        <w:rPr>
          <w:sz w:val="20"/>
          <w:szCs w:val="20"/>
          <w:color w:val="auto"/>
        </w:rPr>
      </w:pPr>
    </w:p>
    <w:p>
      <w:pPr>
        <w:ind w:left="600" w:hanging="17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Aterian, Inc.;</w:t>
      </w:r>
    </w:p>
    <w:p>
      <w:pPr>
        <w:spacing w:after="0" w:line="225" w:lineRule="exact"/>
        <w:rPr>
          <w:rFonts w:ascii="Arial" w:cs="Arial" w:eastAsia="Arial" w:hAnsi="Arial"/>
          <w:sz w:val="18"/>
          <w:szCs w:val="18"/>
          <w:color w:val="auto"/>
        </w:rPr>
      </w:pPr>
    </w:p>
    <w:p>
      <w:pPr>
        <w:ind w:left="420" w:right="180" w:firstLine="2"/>
        <w:spacing w:after="0" w:line="263"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140" w:firstLine="2"/>
        <w:spacing w:after="0" w:line="308"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20" w:right="340" w:firstLine="2"/>
        <w:spacing w:after="0" w:line="263"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60" w:hanging="6"/>
        <w:spacing w:after="0" w:line="263" w:lineRule="auto"/>
        <w:tabs>
          <w:tab w:leader="none" w:pos="10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60" w:right="400" w:hanging="6"/>
        <w:spacing w:after="0" w:line="263"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60" w:right="520" w:hanging="6"/>
        <w:spacing w:after="0" w:line="342" w:lineRule="auto"/>
        <w:tabs>
          <w:tab w:leader="none" w:pos="103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60" w:right="180" w:hanging="6"/>
        <w:spacing w:after="0" w:line="263"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60" w:firstLine="2"/>
        <w:spacing w:after="0" w:line="308"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60" w:right="740" w:hanging="6"/>
        <w:spacing w:after="0" w:line="342" w:lineRule="auto"/>
        <w:tabs>
          <w:tab w:leader="none" w:pos="103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60" w:right="420" w:hanging="6"/>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(Co-Principal Executive and Financial Officer)</w:t>
      </w:r>
    </w:p>
    <w:p>
      <w:pPr>
        <w:sectPr>
          <w:pgSz w:w="11900" w:h="16838" w:orient="portrait"/>
          <w:cols w:equalWidth="0" w:num="1">
            <w:col w:w="11240"/>
          </w:cols>
          <w:pgMar w:left="320" w:top="121" w:right="339" w:bottom="1440" w:gutter="0" w:footer="0" w:header="0"/>
        </w:sectPr>
      </w:pPr>
    </w:p>
    <w:bookmarkStart w:id="62" w:name="page63"/>
    <w:bookmarkEnd w:id="62"/>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firstLine="414"/>
        <w:spacing w:after="0" w:line="263" w:lineRule="auto"/>
        <w:rPr>
          <w:sz w:val="20"/>
          <w:szCs w:val="20"/>
          <w:color w:val="auto"/>
        </w:rPr>
      </w:pPr>
      <w:r>
        <w:rPr>
          <w:rFonts w:ascii="Arial" w:cs="Arial" w:eastAsia="Arial" w:hAnsi="Arial"/>
          <w:sz w:val="18"/>
          <w:szCs w:val="18"/>
          <w:color w:val="auto"/>
        </w:rPr>
        <w:t>In connection with the Quarterly Report on Form 10-Q of Aterian, Inc. (the “Company”) for the period ended September 30, 2023 as filed with the Securities and Exchange Commission on the date hereof (the “Report”), the undersigned hereby certify, pursuant to 18 U.S.C. Section 1350, as adopted pursuant to Section 906 of the Sarbanes-Oxley Act of 2002, to their knowledge that:</w:t>
      </w:r>
    </w:p>
    <w:p>
      <w:pPr>
        <w:spacing w:after="0" w:line="184" w:lineRule="exact"/>
        <w:rPr>
          <w:sz w:val="20"/>
          <w:szCs w:val="20"/>
          <w:color w:val="auto"/>
        </w:rPr>
      </w:pPr>
    </w:p>
    <w:p>
      <w:pPr>
        <w:ind w:left="680" w:hanging="258"/>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80" w:hanging="258"/>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 Joseph A. Risico</w:t>
            </w:r>
          </w:p>
        </w:tc>
        <w:tc>
          <w:tcPr>
            <w:tcW w:w="5840" w:type="dxa"/>
            <w:vAlign w:val="bottom"/>
            <w:gridSpan w:val="2"/>
          </w:tcPr>
          <w:p>
            <w:pPr>
              <w:ind w:left="460"/>
              <w:spacing w:after="0"/>
              <w:rPr>
                <w:sz w:val="20"/>
                <w:szCs w:val="20"/>
                <w:color w:val="auto"/>
              </w:rPr>
            </w:pPr>
            <w:r>
              <w:rPr>
                <w:rFonts w:ascii="Arial" w:cs="Arial" w:eastAsia="Arial" w:hAnsi="Arial"/>
                <w:sz w:val="18"/>
                <w:szCs w:val="18"/>
                <w:color w:val="auto"/>
              </w:rPr>
              <w:t>/s / Arturo Rodriguez</w:t>
            </w: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A. Risico</w:t>
            </w:r>
          </w:p>
        </w:tc>
        <w:tc>
          <w:tcPr>
            <w:tcW w:w="46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Arturo Rodriguez</w:t>
            </w:r>
          </w:p>
        </w:tc>
      </w:tr>
      <w:tr>
        <w:trPr>
          <w:trHeight w:val="216"/>
        </w:trPr>
        <w:tc>
          <w:tcPr>
            <w:tcW w:w="5400" w:type="dxa"/>
            <w:vAlign w:val="bottom"/>
          </w:tcPr>
          <w:p>
            <w:pPr>
              <w:spacing w:after="0"/>
              <w:rPr>
                <w:sz w:val="20"/>
                <w:szCs w:val="20"/>
                <w:color w:val="auto"/>
              </w:rPr>
            </w:pPr>
            <w:r>
              <w:rPr>
                <w:rFonts w:ascii="Arial" w:cs="Arial" w:eastAsia="Arial" w:hAnsi="Arial"/>
                <w:sz w:val="18"/>
                <w:szCs w:val="18"/>
                <w:i w:val="1"/>
                <w:iCs w:val="1"/>
                <w:color w:val="auto"/>
              </w:rPr>
              <w:t>Co-Chief Executive Officer</w:t>
            </w:r>
          </w:p>
        </w:tc>
        <w:tc>
          <w:tcPr>
            <w:tcW w:w="5840" w:type="dxa"/>
            <w:vAlign w:val="bottom"/>
            <w:gridSpan w:val="2"/>
          </w:tcPr>
          <w:p>
            <w:pPr>
              <w:ind w:left="460"/>
              <w:spacing w:after="0"/>
              <w:rPr>
                <w:sz w:val="20"/>
                <w:szCs w:val="20"/>
                <w:color w:val="auto"/>
              </w:rPr>
            </w:pPr>
            <w:r>
              <w:rPr>
                <w:rFonts w:ascii="Arial" w:cs="Arial" w:eastAsia="Arial" w:hAnsi="Arial"/>
                <w:sz w:val="18"/>
                <w:szCs w:val="18"/>
                <w:i w:val="1"/>
                <w:iCs w:val="1"/>
                <w:color w:val="auto"/>
              </w:rPr>
              <w:t>Co-Chief Executive Officer and Chief Financial Officer</w:t>
            </w:r>
          </w:p>
        </w:tc>
      </w:tr>
      <w:tr>
        <w:trPr>
          <w:trHeight w:val="216"/>
        </w:trPr>
        <w:tc>
          <w:tcPr>
            <w:tcW w:w="5400" w:type="dxa"/>
            <w:vAlign w:val="bottom"/>
          </w:tcPr>
          <w:p>
            <w:pPr>
              <w:spacing w:after="0"/>
              <w:rPr>
                <w:sz w:val="20"/>
                <w:szCs w:val="20"/>
                <w:color w:val="auto"/>
              </w:rPr>
            </w:pPr>
            <w:r>
              <w:rPr>
                <w:rFonts w:ascii="Arial" w:cs="Arial" w:eastAsia="Arial" w:hAnsi="Arial"/>
                <w:sz w:val="18"/>
                <w:szCs w:val="18"/>
                <w:i w:val="1"/>
                <w:iCs w:val="1"/>
                <w:color w:val="auto"/>
              </w:rPr>
              <w:t>(Co-Principal Executive Officer)</w:t>
            </w:r>
          </w:p>
        </w:tc>
        <w:tc>
          <w:tcPr>
            <w:tcW w:w="5840" w:type="dxa"/>
            <w:vAlign w:val="bottom"/>
            <w:gridSpan w:val="2"/>
          </w:tcPr>
          <w:p>
            <w:pPr>
              <w:ind w:left="460"/>
              <w:spacing w:after="0"/>
              <w:rPr>
                <w:sz w:val="20"/>
                <w:szCs w:val="20"/>
                <w:color w:val="auto"/>
              </w:rPr>
            </w:pPr>
            <w:r>
              <w:rPr>
                <w:rFonts w:ascii="Arial" w:cs="Arial" w:eastAsia="Arial" w:hAnsi="Arial"/>
                <w:sz w:val="18"/>
                <w:szCs w:val="18"/>
                <w:i w:val="1"/>
                <w:iCs w:val="1"/>
                <w:color w:val="auto"/>
              </w:rPr>
              <w:t>(Co-Principal Executive and Financial Officer)</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November 8, 2023</w:t>
            </w:r>
          </w:p>
        </w:tc>
        <w:tc>
          <w:tcPr>
            <w:tcW w:w="5840" w:type="dxa"/>
            <w:vAlign w:val="bottom"/>
            <w:gridSpan w:val="2"/>
          </w:tcPr>
          <w:p>
            <w:pPr>
              <w:ind w:left="460"/>
              <w:spacing w:after="0"/>
              <w:rPr>
                <w:sz w:val="20"/>
                <w:szCs w:val="20"/>
                <w:color w:val="auto"/>
              </w:rPr>
            </w:pPr>
            <w:r>
              <w:rPr>
                <w:rFonts w:ascii="Arial" w:cs="Arial" w:eastAsia="Arial" w:hAnsi="Arial"/>
                <w:sz w:val="18"/>
                <w:szCs w:val="18"/>
                <w:color w:val="auto"/>
              </w:rPr>
              <w:t>November 8, 2023</w:t>
            </w:r>
          </w:p>
        </w:tc>
      </w:tr>
    </w:tbl>
    <w:p>
      <w:pPr>
        <w:spacing w:after="0" w:line="202"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1."/>
      <w:numFmt w:val="decimal"/>
      <w:start w:val="3"/>
    </w:lvl>
  </w:abstractNum>
  <w:abstractNum w:abstractNumId="7">
    <w:nsid w:val="2443A858"/>
    <w:multiLevelType w:val="hybridMultilevel"/>
    <w:lvl w:ilvl="0">
      <w:lvlJc w:val="left"/>
      <w:lvlText w:val="%1."/>
      <w:numFmt w:val="decimal"/>
      <w:start w:val="4"/>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1."/>
      <w:numFmt w:val="decimal"/>
      <w:start w:val="7"/>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lvl w:ilvl="1">
      <w:lvlJc w:val="left"/>
      <w:lvlText w:val="%2"/>
      <w:numFmt w:val="decimal"/>
      <w:start w:val="104"/>
    </w:lvl>
  </w:abstractNum>
  <w:abstractNum w:abstractNumId="26">
    <w:nsid w:val="6CEAF087"/>
    <w:multiLevelType w:val="hybridMultilevel"/>
    <w:lvl w:ilvl="0">
      <w:lvlJc w:val="left"/>
      <w:lvlText w:val="**"/>
      <w:numFmt w:val="bullet"/>
      <w:start w:val="1"/>
    </w:lvl>
    <w:lvl w:ilvl="1">
      <w:lvlJc w:val="left"/>
      <w:lvlText w:val="%2"/>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2023-11-08T16:50:12Z</dcterms:created>
  <dcterms:modified xsi:type="dcterms:W3CDTF">2023-11-08T16:50:12Z</dcterms:modified>
</cp:coreProperties>
</file>