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47625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4"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65405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3920" w:right="2100" w:hanging="3912"/>
        <w:spacing w:after="0" w:line="277" w:lineRule="auto"/>
        <w:tabs>
          <w:tab w:leader="none" w:pos="364"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year-ended December 31, 2022</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ind w:left="360" w:hanging="352"/>
        <w:spacing w:after="0" w:line="180" w:lineRule="auto"/>
        <w:tabs>
          <w:tab w:leader="none" w:pos="360" w:val="left"/>
        </w:tabs>
        <w:numPr>
          <w:ilvl w:val="0"/>
          <w:numId w:val="2"/>
        </w:numPr>
        <w:rPr>
          <w:rFonts w:ascii="MS PGothic" w:cs="MS PGothic" w:eastAsia="MS PGothic" w:hAnsi="MS PGothic"/>
          <w:sz w:val="7"/>
          <w:szCs w:val="7"/>
          <w:color w:val="auto"/>
        </w:rPr>
      </w:pPr>
      <w:r>
        <w:rPr>
          <w:rFonts w:ascii="Arial" w:cs="Arial" w:eastAsia="Arial" w:hAnsi="Arial"/>
          <w:sz w:val="8"/>
          <w:szCs w:val="8"/>
          <w:b w:val="1"/>
          <w:bCs w:val="1"/>
          <w:color w:val="auto"/>
        </w:rPr>
        <w:t>TRANSITION REPORT PURSUANT TO SECTION 13 OR 15(d) OF THE SECURITIES EXCHANGE ACT OF 1934 FOR THE</w:t>
      </w:r>
    </w:p>
    <w:p>
      <w:pPr>
        <w:spacing w:after="0" w:line="196" w:lineRule="exact"/>
        <w:rPr>
          <w:sz w:val="24"/>
          <w:szCs w:val="24"/>
          <w:color w:val="auto"/>
        </w:rPr>
      </w:pPr>
    </w:p>
    <w:p>
      <w:pPr>
        <w:ind w:left="380"/>
        <w:spacing w:after="0"/>
        <w:tabs>
          <w:tab w:leader="none" w:pos="38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001-38937</w:t>
      </w:r>
    </w:p>
    <w:p>
      <w:pPr>
        <w:spacing w:after="0" w:line="56"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Aterian, Inc.</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38735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jc w:val="center"/>
              <w:ind w:left="2989"/>
              <w:spacing w:after="0"/>
              <w:rPr>
                <w:sz w:val="20"/>
                <w:szCs w:val="20"/>
                <w:color w:val="auto"/>
              </w:rPr>
            </w:pPr>
            <w:r>
              <w:rPr>
                <w:rFonts w:ascii="Arial" w:cs="Arial" w:eastAsia="Arial" w:hAnsi="Arial"/>
                <w:sz w:val="13"/>
                <w:szCs w:val="13"/>
                <w:b w:val="1"/>
                <w:bCs w:val="1"/>
                <w:color w:val="auto"/>
                <w:w w:val="94"/>
              </w:rPr>
              <w:t>Delaware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20" w:type="dxa"/>
            <w:vAlign w:val="bottom"/>
            <w:gridSpan w:val="2"/>
          </w:tcPr>
          <w:p>
            <w:pPr>
              <w:jc w:val="center"/>
              <w:ind w:right="2908"/>
              <w:spacing w:after="0"/>
              <w:rPr>
                <w:sz w:val="20"/>
                <w:szCs w:val="20"/>
                <w:color w:val="auto"/>
              </w:rPr>
            </w:pPr>
            <w:r>
              <w:rPr>
                <w:rFonts w:ascii="Arial" w:cs="Arial" w:eastAsia="Arial" w:hAnsi="Arial"/>
                <w:sz w:val="13"/>
                <w:szCs w:val="13"/>
                <w:b w:val="1"/>
                <w:bCs w:val="1"/>
                <w:color w:val="auto"/>
                <w:w w:val="95"/>
              </w:rPr>
              <w:t>83-1739858</w:t>
            </w:r>
          </w:p>
        </w:tc>
        <w:tc>
          <w:tcPr>
            <w:tcW w:w="0" w:type="dxa"/>
            <w:vAlign w:val="bottom"/>
          </w:tcPr>
          <w:p>
            <w:pPr>
              <w:spacing w:after="0"/>
              <w:rPr>
                <w:sz w:val="1"/>
                <w:szCs w:val="1"/>
                <w:color w:val="auto"/>
              </w:rPr>
            </w:pPr>
          </w:p>
        </w:tc>
      </w:tr>
      <w:tr>
        <w:trPr>
          <w:trHeight w:val="149"/>
        </w:trPr>
        <w:tc>
          <w:tcPr>
            <w:tcW w:w="6920" w:type="dxa"/>
            <w:vAlign w:val="bottom"/>
            <w:gridSpan w:val="6"/>
          </w:tcPr>
          <w:p>
            <w:pPr>
              <w:jc w:val="center"/>
              <w:ind w:left="329"/>
              <w:spacing w:after="0"/>
              <w:rPr>
                <w:sz w:val="20"/>
                <w:szCs w:val="20"/>
                <w:color w:val="auto"/>
              </w:rPr>
            </w:pPr>
            <w:r>
              <w:rPr>
                <w:rFonts w:ascii="Arial" w:cs="Arial" w:eastAsia="Arial" w:hAnsi="Arial"/>
                <w:sz w:val="13"/>
                <w:szCs w:val="13"/>
                <w:b w:val="1"/>
                <w:bCs w:val="1"/>
                <w:color w:val="auto"/>
                <w:w w:val="94"/>
              </w:rPr>
              <w:t>(State or other jurisdiction of</w:t>
            </w:r>
          </w:p>
        </w:tc>
        <w:tc>
          <w:tcPr>
            <w:tcW w:w="60" w:type="dxa"/>
            <w:vAlign w:val="bottom"/>
          </w:tcPr>
          <w:p>
            <w:pPr>
              <w:spacing w:after="0"/>
              <w:rPr>
                <w:sz w:val="12"/>
                <w:szCs w:val="12"/>
                <w:color w:val="auto"/>
              </w:rPr>
            </w:pPr>
          </w:p>
        </w:tc>
        <w:tc>
          <w:tcPr>
            <w:tcW w:w="4260" w:type="dxa"/>
            <w:vAlign w:val="bottom"/>
          </w:tcPr>
          <w:p>
            <w:pPr>
              <w:jc w:val="center"/>
              <w:ind w:right="2968"/>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6920" w:type="dxa"/>
            <w:vAlign w:val="bottom"/>
            <w:gridSpan w:val="6"/>
          </w:tcPr>
          <w:p>
            <w:pPr>
              <w:jc w:val="center"/>
              <w:ind w:left="329"/>
              <w:spacing w:after="0"/>
              <w:rPr>
                <w:sz w:val="20"/>
                <w:szCs w:val="20"/>
                <w:color w:val="auto"/>
              </w:rPr>
            </w:pPr>
            <w:r>
              <w:rPr>
                <w:rFonts w:ascii="Arial" w:cs="Arial" w:eastAsia="Arial" w:hAnsi="Arial"/>
                <w:sz w:val="13"/>
                <w:szCs w:val="13"/>
                <w:b w:val="1"/>
                <w:bCs w:val="1"/>
                <w:color w:val="auto"/>
                <w:w w:val="94"/>
              </w:rPr>
              <w:t>incorporation or organization)</w:t>
            </w:r>
          </w:p>
        </w:tc>
        <w:tc>
          <w:tcPr>
            <w:tcW w:w="4320" w:type="dxa"/>
            <w:vAlign w:val="bottom"/>
            <w:gridSpan w:val="2"/>
          </w:tcPr>
          <w:p>
            <w:pPr>
              <w:jc w:val="center"/>
              <w:ind w:right="2908"/>
              <w:spacing w:after="0"/>
              <w:rPr>
                <w:sz w:val="20"/>
                <w:szCs w:val="20"/>
                <w:color w:val="auto"/>
              </w:rPr>
            </w:pPr>
            <w:r>
              <w:rPr>
                <w:rFonts w:ascii="Arial" w:cs="Arial" w:eastAsia="Arial" w:hAnsi="Arial"/>
                <w:sz w:val="13"/>
                <w:szCs w:val="13"/>
                <w:b w:val="1"/>
                <w:bCs w:val="1"/>
                <w:color w:val="auto"/>
                <w:w w:val="97"/>
              </w:rPr>
              <w:t>Identification Number)</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37 East 18th Street, 7th Floor</w:t>
            </w:r>
          </w:p>
        </w:tc>
        <w:tc>
          <w:tcPr>
            <w:tcW w:w="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8"/>
              </w:rPr>
              <w:t>New York, NY 10003</w:t>
            </w:r>
          </w:p>
        </w:tc>
        <w:tc>
          <w:tcPr>
            <w:tcW w:w="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2640" w:type="dxa"/>
            <w:vAlign w:val="bottom"/>
            <w:gridSpan w:val="5"/>
          </w:tcPr>
          <w:p>
            <w:pPr>
              <w:jc w:val="center"/>
              <w:spacing w:after="0"/>
              <w:rPr>
                <w:sz w:val="20"/>
                <w:szCs w:val="20"/>
                <w:color w:val="auto"/>
              </w:rPr>
            </w:pPr>
            <w:r>
              <w:rPr>
                <w:rFonts w:ascii="Arial" w:cs="Arial" w:eastAsia="Arial" w:hAnsi="Arial"/>
                <w:sz w:val="12"/>
                <w:szCs w:val="12"/>
                <w:b w:val="1"/>
                <w:bCs w:val="1"/>
                <w:color w:val="auto"/>
                <w:w w:val="85"/>
              </w:rPr>
              <w:t>(Address of principal executive offices and zip code)</w:t>
            </w:r>
          </w:p>
        </w:tc>
        <w:tc>
          <w:tcPr>
            <w:tcW w:w="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4280" w:type="dxa"/>
            <w:vAlign w:val="bottom"/>
          </w:tcPr>
          <w:p>
            <w:pPr>
              <w:spacing w:after="0"/>
              <w:rPr>
                <w:sz w:val="24"/>
                <w:szCs w:val="24"/>
                <w:color w:val="auto"/>
              </w:rPr>
            </w:pPr>
          </w:p>
        </w:tc>
        <w:tc>
          <w:tcPr>
            <w:tcW w:w="2460" w:type="dxa"/>
            <w:vAlign w:val="bottom"/>
            <w:gridSpan w:val="3"/>
          </w:tcPr>
          <w:p>
            <w:pPr>
              <w:jc w:val="center"/>
              <w:ind w:left="119"/>
              <w:spacing w:after="0"/>
              <w:rPr>
                <w:sz w:val="20"/>
                <w:szCs w:val="20"/>
                <w:color w:val="auto"/>
              </w:rPr>
            </w:pPr>
            <w:r>
              <w:rPr>
                <w:rFonts w:ascii="Arial" w:cs="Arial" w:eastAsia="Arial" w:hAnsi="Arial"/>
                <w:sz w:val="13"/>
                <w:szCs w:val="13"/>
                <w:b w:val="1"/>
                <w:bCs w:val="1"/>
                <w:color w:val="auto"/>
                <w:w w:val="94"/>
              </w:rPr>
              <w:t>(347) 676-1681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280" w:type="dxa"/>
            <w:vAlign w:val="bottom"/>
          </w:tcPr>
          <w:p>
            <w:pPr>
              <w:spacing w:after="0"/>
              <w:rPr>
                <w:sz w:val="13"/>
                <w:szCs w:val="13"/>
                <w:color w:val="auto"/>
              </w:rPr>
            </w:pPr>
          </w:p>
        </w:tc>
        <w:tc>
          <w:tcPr>
            <w:tcW w:w="6960" w:type="dxa"/>
            <w:vAlign w:val="bottom"/>
            <w:gridSpan w:val="7"/>
          </w:tcPr>
          <w:p>
            <w:pPr>
              <w:jc w:val="center"/>
              <w:ind w:right="4208"/>
              <w:spacing w:after="0"/>
              <w:rPr>
                <w:sz w:val="20"/>
                <w:szCs w:val="20"/>
                <w:color w:val="auto"/>
              </w:rPr>
            </w:pPr>
            <w:r>
              <w:rPr>
                <w:rFonts w:ascii="Arial" w:cs="Arial" w:eastAsia="Arial" w:hAnsi="Arial"/>
                <w:sz w:val="12"/>
                <w:szCs w:val="12"/>
                <w:b w:val="1"/>
                <w:bCs w:val="1"/>
                <w:color w:val="auto"/>
                <w:w w:val="86"/>
              </w:rPr>
              <w:t>(Registrant’s telephone number, including area code)</w:t>
            </w:r>
          </w:p>
        </w:tc>
        <w:tc>
          <w:tcPr>
            <w:tcW w:w="0" w:type="dxa"/>
            <w:vAlign w:val="bottom"/>
          </w:tcPr>
          <w:p>
            <w:pPr>
              <w:spacing w:after="0"/>
              <w:rPr>
                <w:sz w:val="1"/>
                <w:szCs w:val="1"/>
                <w:color w:val="auto"/>
              </w:rPr>
            </w:pPr>
          </w:p>
        </w:tc>
      </w:tr>
      <w:tr>
        <w:trPr>
          <w:trHeight w:val="168"/>
        </w:trPr>
        <w:tc>
          <w:tcPr>
            <w:tcW w:w="4280" w:type="dxa"/>
            <w:vAlign w:val="bottom"/>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8"/>
        </w:trPr>
        <w:tc>
          <w:tcPr>
            <w:tcW w:w="4280" w:type="dxa"/>
            <w:vAlign w:val="bottom"/>
          </w:tcPr>
          <w:p>
            <w:pPr>
              <w:jc w:val="center"/>
              <w:spacing w:after="0"/>
              <w:rPr>
                <w:sz w:val="20"/>
                <w:szCs w:val="20"/>
                <w:color w:val="auto"/>
              </w:rPr>
            </w:pPr>
            <w:r>
              <w:rPr>
                <w:rFonts w:ascii="Arial" w:cs="Arial" w:eastAsia="Arial" w:hAnsi="Arial"/>
                <w:sz w:val="15"/>
                <w:szCs w:val="15"/>
                <w:color w:val="auto"/>
                <w:w w:val="91"/>
              </w:rPr>
              <w:t>Common stock, par value $0.0001 per share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3"/>
          </w:tcPr>
          <w:p>
            <w:pPr>
              <w:jc w:val="center"/>
              <w:ind w:right="160"/>
              <w:spacing w:after="0"/>
              <w:rPr>
                <w:sz w:val="20"/>
                <w:szCs w:val="20"/>
                <w:color w:val="auto"/>
              </w:rPr>
            </w:pPr>
            <w:r>
              <w:rPr>
                <w:rFonts w:ascii="Arial" w:cs="Arial" w:eastAsia="Arial" w:hAnsi="Arial"/>
                <w:sz w:val="15"/>
                <w:szCs w:val="15"/>
                <w:color w:val="auto"/>
                <w:w w:val="94"/>
              </w:rPr>
              <w:t>ATER</w:t>
            </w:r>
          </w:p>
        </w:tc>
        <w:tc>
          <w:tcPr>
            <w:tcW w:w="60" w:type="dxa"/>
            <w:vAlign w:val="bottom"/>
          </w:tcPr>
          <w:p>
            <w:pPr>
              <w:spacing w:after="0"/>
              <w:rPr>
                <w:sz w:val="16"/>
                <w:szCs w:val="16"/>
                <w:color w:val="auto"/>
              </w:rPr>
            </w:pPr>
          </w:p>
        </w:tc>
        <w:tc>
          <w:tcPr>
            <w:tcW w:w="4260" w:type="dxa"/>
            <w:vAlign w:val="bottom"/>
          </w:tcPr>
          <w:p>
            <w:pPr>
              <w:ind w:left="1140"/>
              <w:spacing w:after="0"/>
              <w:rPr>
                <w:sz w:val="20"/>
                <w:szCs w:val="20"/>
                <w:color w:val="auto"/>
              </w:rPr>
            </w:pPr>
            <w:r>
              <w:rPr>
                <w:rFonts w:ascii="Arial" w:cs="Arial" w:eastAsia="Arial" w:hAnsi="Arial"/>
                <w:sz w:val="15"/>
                <w:szCs w:val="15"/>
                <w:color w:val="auto"/>
              </w:rPr>
              <w:t>The Nasdaq Stock Market LLC</w:t>
            </w:r>
          </w:p>
        </w:tc>
        <w:tc>
          <w:tcPr>
            <w:tcW w:w="0" w:type="dxa"/>
            <w:vAlign w:val="bottom"/>
          </w:tcPr>
          <w:p>
            <w:pPr>
              <w:spacing w:after="0"/>
              <w:rPr>
                <w:sz w:val="1"/>
                <w:szCs w:val="1"/>
                <w:color w:val="auto"/>
              </w:rPr>
            </w:pPr>
          </w:p>
        </w:tc>
      </w:tr>
    </w:tbl>
    <w:p>
      <w:pPr>
        <w:spacing w:after="0" w:line="1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7" w:lineRule="exact"/>
        <w:rPr>
          <w:sz w:val="24"/>
          <w:szCs w:val="24"/>
          <w:color w:val="auto"/>
        </w:rPr>
      </w:pPr>
    </w:p>
    <w:p>
      <w:pPr>
        <w:ind w:right="3560"/>
        <w:spacing w:after="0" w:line="18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4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540"/>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99"/>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99"/>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26"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5" w:lineRule="exact"/>
        <w:rPr>
          <w:sz w:val="24"/>
          <w:szCs w:val="24"/>
          <w:color w:val="auto"/>
        </w:rPr>
      </w:pPr>
    </w:p>
    <w:p>
      <w:pPr>
        <w:ind w:right="300"/>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right="100"/>
        <w:spacing w:after="0" w:line="25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Capital Market on June 30, 2022 (the last trading day of the registrant’s second fiscal quarter of 2022), was approximately $142.1 million.</w:t>
      </w:r>
    </w:p>
    <w:p>
      <w:pPr>
        <w:spacing w:after="0"/>
        <w:rPr>
          <w:sz w:val="20"/>
          <w:szCs w:val="20"/>
          <w:color w:val="auto"/>
        </w:rPr>
      </w:pPr>
      <w:r>
        <w:rPr>
          <w:rFonts w:ascii="Arial" w:cs="Arial" w:eastAsia="Arial" w:hAnsi="Arial"/>
          <w:sz w:val="14"/>
          <w:szCs w:val="14"/>
          <w:color w:val="auto"/>
        </w:rPr>
        <w:t>The number of shares of Registrant’s Common Stock outstanding as of March 13, 2023 was 81,000,989.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ATERIAN,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3143885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7"/>
          </w:tcPr>
          <w:p>
            <w:pPr>
              <w:ind w:left="40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465"/>
        </w:trPr>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21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0"/>
        </w:trPr>
        <w:tc>
          <w:tcPr>
            <w:tcW w:w="1140" w:type="dxa"/>
            <w:vAlign w:val="bottom"/>
          </w:tcPr>
          <w:p>
            <w:pPr>
              <w:ind w:left="120"/>
              <w:spacing w:after="0" w:line="189" w:lineRule="exact"/>
              <w:rPr>
                <w:sz w:val="20"/>
                <w:szCs w:val="20"/>
                <w:color w:val="auto"/>
              </w:rPr>
            </w:pPr>
            <w:r>
              <w:rPr>
                <w:rFonts w:ascii="Arial" w:cs="Arial" w:eastAsia="Arial" w:hAnsi="Arial"/>
                <w:sz w:val="18"/>
                <w:szCs w:val="18"/>
                <w:color w:val="auto"/>
              </w:rPr>
              <w:t>Item 1.</w:t>
            </w:r>
          </w:p>
        </w:tc>
        <w:tc>
          <w:tcPr>
            <w:tcW w:w="9280" w:type="dxa"/>
            <w:vAlign w:val="bottom"/>
            <w:gridSpan w:val="21"/>
          </w:tcPr>
          <w:p>
            <w:pPr>
              <w:spacing w:after="0" w:line="189" w:lineRule="exact"/>
              <w:rPr>
                <w:sz w:val="20"/>
                <w:szCs w:val="20"/>
                <w:color w:val="auto"/>
              </w:rPr>
            </w:pPr>
            <w:r>
              <w:rPr>
                <w:rFonts w:ascii="Arial" w:cs="Arial" w:eastAsia="Arial" w:hAnsi="Arial"/>
                <w:sz w:val="18"/>
                <w:szCs w:val="18"/>
                <w:color w:val="0000FF"/>
              </w:rPr>
              <w:t>Business</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Properties</w:t>
            </w:r>
          </w:p>
        </w:tc>
        <w:tc>
          <w:tcPr>
            <w:tcW w:w="20" w:type="dxa"/>
            <w:vAlign w:val="bottom"/>
            <w:tcBorders>
              <w:bottom w:val="single" w:sz="8" w:color="0000EE"/>
            </w:tcBorders>
          </w:tcPr>
          <w:p>
            <w:pPr>
              <w:spacing w:after="0"/>
              <w:rPr>
                <w:sz w:val="18"/>
                <w:szCs w:val="18"/>
                <w:color w:val="auto"/>
              </w:rPr>
            </w:pPr>
          </w:p>
        </w:tc>
        <w:tc>
          <w:tcPr>
            <w:tcW w:w="852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20" w:type="dxa"/>
            <w:vAlign w:val="bottom"/>
            <w:tcBorders>
              <w:bottom w:val="single" w:sz="8" w:color="0000EE"/>
            </w:tcBorders>
          </w:tcPr>
          <w:p>
            <w:pPr>
              <w:spacing w:after="0"/>
              <w:rPr>
                <w:sz w:val="18"/>
                <w:szCs w:val="18"/>
                <w:color w:val="auto"/>
              </w:rPr>
            </w:pPr>
          </w:p>
        </w:tc>
        <w:tc>
          <w:tcPr>
            <w:tcW w:w="792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4.</w:t>
            </w:r>
          </w:p>
        </w:tc>
        <w:tc>
          <w:tcPr>
            <w:tcW w:w="928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8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0"/>
        </w:trPr>
        <w:tc>
          <w:tcPr>
            <w:tcW w:w="1140" w:type="dxa"/>
            <w:vAlign w:val="bottom"/>
          </w:tcPr>
          <w:p>
            <w:pPr>
              <w:ind w:left="120"/>
              <w:spacing w:after="0" w:line="189"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20"/>
          </w:tcPr>
          <w:p>
            <w:pPr>
              <w:spacing w:after="0" w:line="189" w:lineRule="exact"/>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6.</w:t>
            </w:r>
          </w:p>
        </w:tc>
        <w:tc>
          <w:tcPr>
            <w:tcW w:w="6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Reserved</w:t>
            </w:r>
          </w:p>
        </w:tc>
        <w:tc>
          <w:tcPr>
            <w:tcW w:w="20" w:type="dxa"/>
            <w:vAlign w:val="bottom"/>
            <w:tcBorders>
              <w:bottom w:val="single" w:sz="8" w:color="0000EE"/>
            </w:tcBorders>
          </w:tcPr>
          <w:p>
            <w:pPr>
              <w:spacing w:after="0"/>
              <w:rPr>
                <w:sz w:val="18"/>
                <w:szCs w:val="18"/>
                <w:color w:val="auto"/>
              </w:rPr>
            </w:pPr>
          </w:p>
        </w:tc>
        <w:tc>
          <w:tcPr>
            <w:tcW w:w="8580" w:type="dxa"/>
            <w:vAlign w:val="bottom"/>
            <w:gridSpan w:val="1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2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20" w:type="dxa"/>
            <w:vAlign w:val="bottom"/>
            <w:tcBorders>
              <w:bottom w:val="single" w:sz="8" w:color="0000EE"/>
            </w:tcBorders>
          </w:tcPr>
          <w:p>
            <w:pPr>
              <w:spacing w:after="0"/>
              <w:rPr>
                <w:sz w:val="18"/>
                <w:szCs w:val="18"/>
                <w:color w:val="auto"/>
              </w:rPr>
            </w:pPr>
          </w:p>
        </w:tc>
        <w:tc>
          <w:tcPr>
            <w:tcW w:w="592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9.</w:t>
            </w:r>
          </w:p>
        </w:tc>
        <w:tc>
          <w:tcPr>
            <w:tcW w:w="9280" w:type="dxa"/>
            <w:vAlign w:val="bottom"/>
            <w:gridSpan w:val="21"/>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8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0"/>
        </w:trPr>
        <w:tc>
          <w:tcPr>
            <w:tcW w:w="1140" w:type="dxa"/>
            <w:vAlign w:val="bottom"/>
          </w:tcPr>
          <w:p>
            <w:pPr>
              <w:ind w:left="120"/>
              <w:spacing w:after="0" w:line="189"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5"/>
          </w:tcPr>
          <w:p>
            <w:pPr>
              <w:spacing w:after="0" w:line="189" w:lineRule="exact"/>
              <w:rPr>
                <w:sz w:val="20"/>
                <w:szCs w:val="20"/>
                <w:color w:val="auto"/>
              </w:rPr>
            </w:pPr>
            <w:r>
              <w:rPr>
                <w:rFonts w:ascii="Arial" w:cs="Arial" w:eastAsia="Arial" w:hAnsi="Arial"/>
                <w:sz w:val="18"/>
                <w:szCs w:val="18"/>
                <w:color w:val="0000FF"/>
                <w:w w:val="90"/>
              </w:rPr>
              <w:t>Directors, Executive Officers and Corporate Governance</w:t>
            </w:r>
          </w:p>
        </w:tc>
        <w:tc>
          <w:tcPr>
            <w:tcW w:w="5180" w:type="dxa"/>
            <w:vAlign w:val="bottom"/>
            <w:gridSpan w:val="6"/>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70</w:t>
            </w: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11.</w:t>
            </w:r>
          </w:p>
        </w:tc>
        <w:tc>
          <w:tcPr>
            <w:tcW w:w="9280" w:type="dxa"/>
            <w:vAlign w:val="bottom"/>
            <w:gridSpan w:val="21"/>
          </w:tcPr>
          <w:p>
            <w:pPr>
              <w:spacing w:after="0"/>
              <w:rPr>
                <w:sz w:val="20"/>
                <w:szCs w:val="20"/>
                <w:color w:val="auto"/>
              </w:rPr>
            </w:pPr>
            <w:r>
              <w:rPr>
                <w:rFonts w:ascii="Arial" w:cs="Arial" w:eastAsia="Arial" w:hAnsi="Arial"/>
                <w:sz w:val="18"/>
                <w:szCs w:val="18"/>
                <w:color w:val="0000FF"/>
              </w:rPr>
              <w:t>Executive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114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12.</w:t>
            </w:r>
          </w:p>
        </w:tc>
        <w:tc>
          <w:tcPr>
            <w:tcW w:w="928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1820" w:type="dxa"/>
            <w:vAlign w:val="bottom"/>
            <w:tcBorders>
              <w:top w:val="single" w:sz="8" w:color="0000FF"/>
            </w:tcBorders>
            <w:gridSpan w:val="3"/>
          </w:tcPr>
          <w:p>
            <w:pPr>
              <w:spacing w:after="0"/>
              <w:rPr>
                <w:sz w:val="18"/>
                <w:szCs w:val="18"/>
                <w:color w:val="auto"/>
              </w:rPr>
            </w:pPr>
          </w:p>
        </w:tc>
        <w:tc>
          <w:tcPr>
            <w:tcW w:w="200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14.</w:t>
            </w:r>
          </w:p>
        </w:tc>
        <w:tc>
          <w:tcPr>
            <w:tcW w:w="9280" w:type="dxa"/>
            <w:vAlign w:val="bottom"/>
            <w:gridSpan w:val="21"/>
          </w:tcPr>
          <w:p>
            <w:pPr>
              <w:spacing w:after="0"/>
              <w:rPr>
                <w:sz w:val="20"/>
                <w:szCs w:val="20"/>
                <w:color w:val="auto"/>
              </w:rPr>
            </w:pPr>
            <w:r>
              <w:rPr>
                <w:rFonts w:ascii="Arial" w:cs="Arial" w:eastAsia="Arial" w:hAnsi="Arial"/>
                <w:sz w:val="18"/>
                <w:szCs w:val="18"/>
                <w:color w:val="0000FF"/>
              </w:rPr>
              <w:t>Principal Accounting Fees and Services</w:t>
            </w: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8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0"/>
        </w:trPr>
        <w:tc>
          <w:tcPr>
            <w:tcW w:w="1140" w:type="dxa"/>
            <w:vAlign w:val="bottom"/>
          </w:tcPr>
          <w:p>
            <w:pPr>
              <w:ind w:left="120"/>
              <w:spacing w:after="0" w:line="189" w:lineRule="exact"/>
              <w:rPr>
                <w:sz w:val="20"/>
                <w:szCs w:val="20"/>
                <w:color w:val="auto"/>
              </w:rPr>
            </w:pPr>
            <w:r>
              <w:rPr>
                <w:rFonts w:ascii="Arial" w:cs="Arial" w:eastAsia="Arial" w:hAnsi="Arial"/>
                <w:sz w:val="18"/>
                <w:szCs w:val="18"/>
                <w:color w:val="auto"/>
              </w:rPr>
              <w:t>Item 15.</w:t>
            </w:r>
          </w:p>
        </w:tc>
        <w:tc>
          <w:tcPr>
            <w:tcW w:w="9280" w:type="dxa"/>
            <w:vAlign w:val="bottom"/>
            <w:gridSpan w:val="21"/>
          </w:tcPr>
          <w:p>
            <w:pPr>
              <w:spacing w:after="0" w:line="189" w:lineRule="exact"/>
              <w:rPr>
                <w:sz w:val="20"/>
                <w:szCs w:val="20"/>
                <w:color w:val="auto"/>
              </w:rPr>
            </w:pPr>
            <w:r>
              <w:rPr>
                <w:rFonts w:ascii="Arial" w:cs="Arial" w:eastAsia="Arial" w:hAnsi="Arial"/>
                <w:sz w:val="18"/>
                <w:szCs w:val="18"/>
                <w:color w:val="0000FF"/>
              </w:rPr>
              <w:t>Exhibits, Financial Statement Schedules</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81</w:t>
            </w: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2"/>
              </w:rPr>
              <w:t>Form 10-K Summary</w:t>
            </w:r>
          </w:p>
        </w:tc>
        <w:tc>
          <w:tcPr>
            <w:tcW w:w="1340" w:type="dxa"/>
            <w:vAlign w:val="bottom"/>
            <w:tcBorders>
              <w:top w:val="single" w:sz="8" w:color="0000FF"/>
            </w:tcBorders>
            <w:gridSpan w:val="4"/>
          </w:tcPr>
          <w:p>
            <w:pPr>
              <w:spacing w:after="0"/>
              <w:rPr>
                <w:sz w:val="18"/>
                <w:szCs w:val="18"/>
                <w:color w:val="auto"/>
              </w:rPr>
            </w:pPr>
          </w:p>
        </w:tc>
        <w:tc>
          <w:tcPr>
            <w:tcW w:w="638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2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spacing w:after="0" w:line="2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Annual Report on Form 10-K (this “Annual Report”)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We have based the forward-looking statements contained in this Annual Report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of this Annual Report entitled “Risk Factors” and elsewhere in this Annual Report. Moreover, we operate in a highly competitive, dynamic and challenging environment. New risks and uncertainties emerge from time to time, and it is not possible for us to predict all risks and uncertainties that could have an impact on the forward-looking statements contained in this Annual Report.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new information or the occurrence of unanticipated events, except as required by law.</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Aterian, Inc. and its subsidiaries (“Aterian”, the “Company”, “we”, “us”, and “our”), is a technology-enabled consumer product company that uses “data science” (which includes but is not limited to, machine learning, natural language processing, and data analytics) to design, develop, market and sell products. We predominantly operate through online retail channels such as Amazon.com (“Amazon”) and Walmart, Inc. ("Walmart").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and operate fifteen brands which sell products in multiple categories, including home and kitchen appliances, kitchenware, heating, cooling and air quality appliances (dehumidifiers, humidifiers and air conditioners), health and beauty products and essential oils. Our fifteen brands are hOmeLabs; Vremi, Squatty Potty; Xtava; RIF6; Aussie Health; Holonix; Truweo; Mueller; Pursteam; Pohl and Schmitt; Spiralizer; Healing Solutions; Photo Paper Direct and Step and Go.</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allow us to scale, we have invested in building our own proprietary data science based software technology platform, known as AIMEE. AIMEE, our “Artificial Intelligence Marketplace Ecommerce Engine” enables our team to manage our business more efficiently by injecting technology into processes that would otherwise have to be executed manually. AIMEE combines large quantities of data, data science and other automation algorithms, at scale, to allow rapid opportunity identification and automated online sales and marketing of consumer products.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AIMEE sources data from various e-commerce platforms, the internet and publicly available data, allowing us to estimate and determine trends, performance and consumer sentiment on products and searches within e-commerce platforms. This functionality, and other data sources, allow us to help determine which products to develop, market and sell on e-commerce marketplaces. In addition, AIMEE is also connected, through application program interfaces (“APIs”), to multiple e-commerce platforms. This allows us to automate the purchase of marketing, automate various parts of our fulfillment and logistics operations and to automate pricing changes on product listings. We generate revenue primarily through the online sales of our various consumer products with substantially all of our sales being made through the Amazon U.S. marketplace.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the sections contained within this Annual Report entitled “Management’s Discussion and Analysis of Financial Condition and Results of Operations” and “Risk Factors” for further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Corporate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were incorporated in Delaware under the name Mohawk Group Holdings, Inc. in March 2018 and we changed our name to Aterian, Inc. in April 2021. As of December 31, 2022, we have multiple operating subsidiaries and we conduct material aspects of our business in the U.S., the Philippines, Poland and China.</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Our principal executive offices are located at 37 East 18th Street, 7th Floor, New York, NY 10003. Our website address is </w:t>
      </w:r>
      <w:r>
        <w:rPr>
          <w:rFonts w:ascii="Arial" w:cs="Arial" w:eastAsia="Arial" w:hAnsi="Arial"/>
          <w:sz w:val="16"/>
          <w:szCs w:val="16"/>
          <w:i w:val="1"/>
          <w:iCs w:val="1"/>
          <w:color w:val="auto"/>
        </w:rPr>
        <w:t>www.aterian.io.</w:t>
      </w:r>
      <w:r>
        <w:rPr>
          <w:rFonts w:ascii="Arial" w:cs="Arial" w:eastAsia="Arial" w:hAnsi="Arial"/>
          <w:sz w:val="16"/>
          <w:szCs w:val="16"/>
          <w:color w:val="auto"/>
        </w:rPr>
        <w:t xml:space="preserve"> We do not incorporate the information on, or accessible through, our website into this Annual Report, and you should not consider any information on, or accessible through, our website as part of this Annual Report. We have included our website address in this Annual Report solely as an inactive textual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AIMEE, our proprietary technology, is a cloud-based modular platform incorporating a multi-tenant architecture. AIMEE connects to multiple e-commerce platforms and other internet based sources through application program interfaces (“APIs”) in order to ingest data.</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its core, AIMEE ingests data used in product research, analysis and performance and provides the automation of numerous sales, marketing and fulfillment tasks and functions. AIMEE helps us automate and manage the life-cycle of our consumer product portfolio and provides us with the ability to scale our business efficiently. AIMEE, along with our people, allows us to perform the following key business functions:</w:t>
      </w:r>
    </w:p>
    <w:p>
      <w:pPr>
        <w:spacing w:after="0" w:line="56"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specific product and market opportunities;</w:t>
      </w:r>
    </w:p>
    <w:p>
      <w:pPr>
        <w:spacing w:after="0" w:line="2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and manage certain online marketing strategies;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automate portions of the fulfillment processes;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 inventory visibility; and</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 individual product operational and financial performance.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We continue to develop AIMEE’s capabilities. This includes forecasting, inventory management, online marketing and other aspects, which require human judgment and oversight. At its core, AIMEE is designed to intelligently automate many of our business tasks and provides us with the ability to scale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pursue growth from our existing product portfolio and from new product launches, we also intend to pursue growth through strategic acquisitions of brands that we believe will integrate well with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primarily on a combination of trade secrets, trademarks, employee and third-party nondisclosure agreements and licensing arrangements (including open source software) to protect our intellectual property. We generally do not pursue patent applications as a means of protecting our intellectual property. We have applied to register or have registered certain of our trademarks in the U.S. and other jurisdictions, and we will pursue additional trademark registrations to the extent we believe they would be beneficial and cost-effective.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customers are mainly individual online consumers who purchase our products primarily on Amazon US, and to a lesser extent on our owned and operated websites and other marketplaces, such as Walmart. In 2021, approximately 93% of our revenue was through the Amazon sales platform and in 2022, 89% of our revenue was through the Amazon sales platform.</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cooling and air quality products, the sales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sales and marketing strategy and approach is driven by our people, who substantially leverage AIMEE. AIMEE is being developed to allow price automatization, media buying and search engine optimization leveraging our proprietary technology software and algorithms we have built into AIMEE. We believe this automation will bring significant competitive advantages for our products. For our SKUs, our advertising investment is focused on online channels and e-commerce platforms. Currently our primary focus on advertising spend is online across Amazon, Google and Facebook.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Manufacturing &amp; Logistics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2022, we purchased substantially all of our finished products from suppliers in China. We do not maintain long-term purchase contracts with suppliers and operate mainly on a purchase order basis. We negotiate purchases from our foreign suppliers in U.S. dollars. We purchased our inventory from approximately 77 suppliers, one of which represented more than 10% of purchases during the year ended December 31, 2022. While we believe the loss of any one supplier would not have a long-term material adverse effect on our business due to the availability of other suppliers, the loss of a supplier could, in the short term, materially and adversely impact our business.</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principal raw materials used by our third-party suppliers to manufacture our products are plastic, glass, steel, copper, aluminum and packaging materials. We believe adequate quantities of raw materials are available from various suppliers.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a combination of Amazon warehouses, other third-party warehouse and logistics partners to fulfill direct-to-consumer orders, through agreements or terms of services. In addition to fulfillment by Amazon warehouses, we use geographically distributed third-party warehouses in the U.S. to deliver orders within one to two days through ground shipment to most customers.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consumer goods and e-commerce markets are highly competitive and dynamic. We compete primarily against numerous third-party brands and sellers on marketplaces for each of our products. Competition is based on price, product features and quality, strong ratings and reviews, effective marketing, visibility and location on the online shelf and supply chain excellence, which is mostly the ability to deliver products to customers in one to two days. In certain instances, we compete directly with our third party suppliers who sell their own brands directly to customers, including with respect to certain of our material products such as dehumidifiers.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Matters/Governmental Regulations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a variety of U.S. federal, state and local laws and international laws, including but not limited to those governing the processing of payments, consumer protection, the privacy of consumer information and other laws regarding unfair and deceptive trade practices. We are also subject to various environmental laws, rules and regulations, such as California’s Proposition 65.</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products sold by us are also subject to regulation by U.S. governmental agencies, including the U.S. Consumer Product Safety Commission, the Federal Trade Commission, United States Food and Drug Administration, the U.S. Environmental Protection Agency, the U.S. Department of Energy and similar state and international regulatory authorities, such as the California Energy Commission. We do not estimate any significant capital expenditures for environmental control matters either in the current fiscal year or in the near future.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regulations relating to our supply chain. For example, the California Transparency in Supply Chains Act requires retail sellers that do business in California to disclose their efforts to eradicate slavery and human trafficking in their supply chains. As part of our vendor qualification process, we review suppliers’ operations for compliance with applicable labor and workplace standards and other applicable laws, including laws prohibiting child labor, forced labor and unsafe working conditions.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portion of our products are currently manufactured in China, which may result in additional costs, if laws related to international trade result in additional tariffs on our products.</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have not suffered any material restrictions from doing business in the past due to government regulations, significant impediments may arise in the future as we expand product offerings.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dispose of or donate obsolete inventory in compliance with applicable laws and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w:t>
      </w:r>
    </w:p>
    <w:p>
      <w:pPr>
        <w:spacing w:after="0" w:line="22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The human capital objectives we focus on in managing our business include attracting, developing, and retaining key personnel. We believe our management team has the experience necessary to effectively implement our growth strategy and continue to drive stockholder value. We provide competitive compensation, which includes a focus on stock-based compensation, and benefits to attract and retain key personnel, while also providing a safe, inclusive and respectful workplace. As of December 31, 2022, we had 178 full-time employees, and 64 independent contractors. As of December 31, 2022, our employees and contractors are based in offices, shared workspaces and remote work locations in the U.S., China, the U.K., the Philippines, and in Poland. We also contract with 33 consultants, in Ukraine, Serbia, Israel, France, Costa Rica, and Canada.</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historically operated at a loss and we may never achieve or sustain profitability or positive cash flows. Further we and our independent registered public accounting firm have expressed substantial doubt about our ability to continue as a going concern.</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historically operated at a loss and experienced losses after tax of $236.0 million and $196.3 million in the years ended December 31, 2021 and 2022, respectively. In addition, our costs may increase in future periods, which could negatively affect our future operating results and ability to achieve and sustain profitability. For example, we may need to continue to expend substantial financial and other resources on the ideation, sourcing and development of products, our technology infrastructure, research and development, including the development of new features for our AIMEE software platform,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profitability. Even if we do, there can be no assurance that we will be able to maintain or increase profitability on a quarterly or annual basis. Failure to achieve or sustain profitability could have a material adverse effect on our business.</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growth strategy has resulted in operating losses and negative cash flows from operations that raised substantial doubt about our ability to continue as a going concern. Our independent registered public accounting firm included an explanatory paragraph in its report on our financial statements as of and for the Year-ended December 31, 2022,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delay the development of our software,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are unable to compete effectively, our market share and revenue could be diminished which may delay or otherwise hinder our efforts to achieve or maintain profitability.</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cannot assure you that our products will continue to compete favorably or that we will be successful in the face of increasing competition from new products and enhancements introduced by existing competitors or new companies entering the markets in which we operate. We sell our products primarily on marketplaces and primarily on Amazon in the U.S. Unlike traditional brick and mortar retailers, the consumer who is shopping on marketplaces has a significant number of competing products to select from as there are limited barriers to entry. In addition, the Internet facilitates competitive entry and comparison shopping, which enhances the ability of new and existing businesses to compete against us. A number of our current and potential competitors have greater resources, longer histories, and/or greater brand recognition. As a result, they may be able to secure better terms from vendors and devote more resources to technology, infrastructure, fulfillment, and marketing then we may be able to. In addition, some of our competitors aggressively discount their products in order to gain market share, which has resulted in pricing pressures, reduced profit margins and lost market share. Further, social proof for products sold on marketplaces in the form of product ratings and reviews is highly important to our success. In certain instances we have been unable to maintain such social proof, and we may be unable to maintain such social proof in the future, or competitors may be able to attain better social proof for their products which could have a material impact on our operating results.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certain significant products in our portfolio such as air conditioners and most of our dehumidifiers, we compete directly with our contract manufacturer who sells its own competing private label products on the marketplaces we sell and who has a lower cost structure and significantly better R&amp;D capabilities. As a result of competition, our product offerings, whether in new or existing markets, may not be successful, we may fail to gain or may lose business, and we may be required to increase our marketing spending or lower prices, either of which could materially impact our operating results.</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our technology platform, AIMEE, to compete effectively in the markets we operate, but the effectiveness of AIMEE and our other technology may require significant investments which we may be unable to make or which may be unsuccessful.</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projections are highly subjective in nature and our future financial results could vary significantly from our projections and also from quarter-to-quarter.</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provide financial projections to our shareholders, lenders, investment community, and other stakeholders and these projections are highly subjective. Our quarterly revenue and other operating results have varied in the past and are likely to continue to vary significantly from quarter-to-quarter in the future. It is difficult for us to accurately predict the demand for many of our products, or the amount and timing of our future revenue and operating results. Our projections are based on management’s best estimate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7"/>
          <w:szCs w:val="17"/>
          <w:color w:val="auto"/>
        </w:rPr>
        <w:t>of sales using historical sales data and other relevant information available at the time. These projections are highly subjective since product sales can fluctuate substantially. Additionally, changes in consumer demand, transportation, supplier lead times, costs and availability, raw material costs and availability, and other factors could make our inventory management and sales forecasting more difficult. Further, we base our expense levels and investment plans on sales estimates. A significant portion of our expenses and investments are fixed, and we are not able to adjust our spending quickly if our sales are less than expected. Due to these and other factors described elsewhere in this section, our future operating results could vary materially from our projections and from quarter-to-quarter. Further, we believe that quarter-to-quarter comparisons of our operating results are not necessarily meaningful. Moreover, our operating results may not meet the expectations of our equity research analysts or investors. If this occurs, the trading price of our common stock could fall substantially, either suddenly or over time.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sensitive to the strength of the United States consumer market and any weakness in this market or changes in consumer preferences could adversely affect our business.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strength of the U.S. economy has a significant impact on our performance. We are dependent on discretionary spending, which is affected by, among other things, unemployment rates, economic and political conditions worldwide, consumer confidence, energy and gasoline prices, interest and mortgage rates, the level of consumer debt and taxation, and financial markets, which are all outside of our control. A continuing softening of demand, whether caused by changes in customer preferences or a weakening of the U.S. or global economies, may result in decreased revenue. We believe we have sustained a decline in the sales of our products due to the factors mentioned above, and any continued economic downturn in the U.S could materially and adversely affect our business, operating results and financial condition.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products is highly seasonal and dependent on weather conditions which could result in significant variations in our inventory levels and operating results.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Weather and other conditions can materially impact the demand for our products. Demand for our cooling, and air quality products primarily occurs during the summer months and demand for our kitchen appliances and accessories primarily occurs during the fall and holiday season. Natural disasters (such as wildfires, hurricanes and ice storms), public health crises (such as pandemics and epidemics), or an unusually mild or short summer season may result in unanticipated material fluctuations in consumer demand. These factors could have a material adverse effect on our business, operating results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inventory effectively, our operating results and financial condition could be adversely affected.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past, we have not always accurately forecasted consumer demand for our products resulting in inventory shortages, excess inventory write offs and lower gross margins. We are exposed to significant inventory risks that may adversely affect our operating results and financial condition as a result of seasonality, new product launches, rapid changes in product cycles and pricing, defective merchandise, changes in customer demand and consumer spending patterns, changes in consumer tastes with respect to our products, spoilage, adverse actions taken by marketplaces to remove our products, and other factors. Demand for products can change significantly between the time inventory is ordered and the date of sale. In addition, when we begin selling a new product, it may be difficult to establish vendor relationships, determine appropriate product or component selection, and accurately forecast demand. We carry a broad selection of products and also carry significant inventory levels of certain products, such as cooling, and air quality products and kitchen appliances, and at times we are unable to sell our products in sufficient quantities or to meet demand during the relevant selling seasons. Any one of the inventory risk factors set forth above may adversely affect our operating results and financial condition.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Increased costs of raw materials, energy, labor, transportation and platform fees charged by marketplaces may adversely affect our business, operating results and financial condition.</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Significant increases in the cost and reductions in the availability of raw materials, energy, labor, transportation, and increases in tariffs and platform fees charged by marketplaces have negatively impacted our business, operating results and financial condition. Our contract manufacturers purchase significant amounts of metals and plastics to manufacture our products. In addition, they also purchase significant amounts of electricity to supply the energy required in their production processes. Global political instabilities such as the Russian invasion of Ukraine and tensions between China and Taiwan and other factors may result in higher metal, plastic, electric, transportation and product costs, or could impair our ability to obtain products at marketable rates or at all. We are heavily dependent on inbound sea, rail and truck freight. Disruptions in the global supply chain and freight networks, has, and may continue to limit inbound and outbound shipment capacity and increase our cost of goods sold and certain operating expenses. Further, the marketplaces on which we sell our products charge fees for selling, storage, advertising and fulfillment, all of which have historically increased and we expect will continue to increase. The cost of raw materials, energy, labor, transportation, and the platform fees charged by marketplaces in the aggregate, represents a significant portion of our cost of goods sold and certain other operating expenses, which are not within our control and we may not be able to pass on to our customers. Our business, operating results and financial condition could be adversely affected by future increases in any of these costs. Additionally, the loss or disruption of essential manufacturing and supply elements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jc w:val="both"/>
        <w:spacing w:after="0" w:line="301" w:lineRule="auto"/>
        <w:rPr>
          <w:sz w:val="20"/>
          <w:szCs w:val="20"/>
          <w:color w:val="auto"/>
        </w:rPr>
      </w:pPr>
      <w:r>
        <w:rPr>
          <w:rFonts w:ascii="Arial" w:cs="Arial" w:eastAsia="Arial" w:hAnsi="Arial"/>
          <w:sz w:val="16"/>
          <w:szCs w:val="16"/>
          <w:color w:val="auto"/>
        </w:rPr>
        <w:t>such as raw materials or other finished product components, restricted transportation or increased freight costs, reduced workforce, or other manufacturing and distribution disruption could adversely impact our ability to meet our customers’ needs. Furthermore, it is not practical for us to mitigate our exposure to, nor are we able to accurately project the possible effect of foreign currency exchange rate fluctuations on our operating results due to our constantly changing exposure to various foreign currencies and the difficulty in predicting fluctuations in foreign currency exchange rates relative to the U.S. Dollar.</w:t>
      </w:r>
    </w:p>
    <w:p>
      <w:pPr>
        <w:spacing w:after="0" w:line="156" w:lineRule="exact"/>
        <w:rPr>
          <w:sz w:val="20"/>
          <w:szCs w:val="20"/>
          <w:color w:val="auto"/>
        </w:rPr>
      </w:pPr>
    </w:p>
    <w:p>
      <w:pPr>
        <w:ind w:right="380"/>
        <w:spacing w:after="0" w:line="307" w:lineRule="auto"/>
        <w:rPr>
          <w:sz w:val="20"/>
          <w:szCs w:val="20"/>
          <w:color w:val="auto"/>
        </w:rPr>
      </w:pPr>
      <w:r>
        <w:rPr>
          <w:rFonts w:ascii="Arial" w:cs="Arial" w:eastAsia="Arial" w:hAnsi="Arial"/>
          <w:sz w:val="17"/>
          <w:szCs w:val="17"/>
          <w:b w:val="1"/>
          <w:bCs w:val="1"/>
          <w:i w:val="1"/>
          <w:iCs w:val="1"/>
          <w:color w:val="auto"/>
        </w:rPr>
        <w:t>We depend on third-party suppliers for all of our products, most of which are located in Asia, and any inability or delay in obtaining products from such suppliers could have a material adverse effect on our business, operating results and financial condition.</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dependent on third-party suppliers such as contract manufacturers and third-party logistics providers and carriers for the manufacturing and distribution of our products and any disruption to our supply chain, even for a relatively short period of time, could cause a loss of revenue, which could adversely affect our business, operating results and financial condition. Our ability to select reliable suppliers that provide timely deliveries of quality products will impact our success in meeting customer demand. Further, for a number of our significant products, we only have a single-source of supply (such as for certain dehumidifiers) and in general we do not have enforceable contracts with our contract manufacturers covering costs and production. Any supplier’s inability or unwillingness to timely deliver products that meet desired specifications or any unanticipated changes in suppliers could be disruptive and costly and it is unlikely that we will be able to effect alternative arrangements on a timely basis, or in the case of manufacturing certain of our significant products, at all. Any significant failure by us to obtain quality products, in sufficient quantities, on a timely basis, and at an affordable cost or any significant delays or interruptions of supply would have a material adverse effect on our business, operating results and financial condition.</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most of our product suppliers are based in China, our business is subject to additional risks including, among others: currency fluctuations; labor unrest; potential political, economic and social instability, including the repercussions of the conflict in Ukraine and tensions between China and Taiwan; restrictions on transfers of funds; import duties and quotas; changes in domestic and international customs and tariffs, including embargoes and customs restrictions; uncertainties involving the costs to transport and warehouse products due to the dynamic nature of the global supply chain; unexpected changes in regulatory environments; regulatory issues involved in dealing with foreign suppliers and in exporting and importing products. The foregoing factors could have a material adverse effect on our business, operating results and financial condition.</w:t>
      </w:r>
    </w:p>
    <w:p>
      <w:pPr>
        <w:spacing w:after="0" w:line="176" w:lineRule="exact"/>
        <w:rPr>
          <w:sz w:val="20"/>
          <w:szCs w:val="20"/>
          <w:color w:val="auto"/>
        </w:rPr>
      </w:pPr>
    </w:p>
    <w:p>
      <w:pPr>
        <w:ind w:right="300"/>
        <w:spacing w:after="0" w:line="341" w:lineRule="auto"/>
        <w:rPr>
          <w:sz w:val="20"/>
          <w:szCs w:val="20"/>
          <w:color w:val="auto"/>
        </w:rPr>
      </w:pPr>
      <w:r>
        <w:rPr>
          <w:rFonts w:ascii="Arial" w:cs="Arial" w:eastAsia="Arial" w:hAnsi="Arial"/>
          <w:sz w:val="16"/>
          <w:szCs w:val="16"/>
          <w:b w:val="1"/>
          <w:bCs w:val="1"/>
          <w:i w:val="1"/>
          <w:iCs w:val="1"/>
          <w:color w:val="auto"/>
        </w:rPr>
        <w:t>A significant majority of our revenue results from sales of products on Amazon’s U.S. Marketplace and any change, limitation, or restriction on our ability to operate on Amazon’s platform could have a material adverse impact on our business, operating results and financial condition.</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substantial percentage of our revenue is from sales of products on Amazon’s U.S. marketplace and we are subject to Amazon’s terms of service (“ToS”) and various other Amazon seller policies that apply to third parties who sell products on Amazon’s marketplace. Amazon has the right to terminate or suspend our ability to sell on its platform at any time and for any reason. Amazon may also take other actions against us such as suspending or terminating our seller accounts or product listings and withholding payments owed to us indefinitely. From time to time in the past, we have experienced such adverse actions for products we have launched and products we have acquired and, we can provide no assurance that we will be able to comply with Amazon's ToS. Further, in the event any of our seller accounts or product listings are suspended for noncompliance, our reinstatement efforts may take significant time and attention or could fail, which could have a material adverse effect on our business, operating results and financial condition.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Amazon has made, and we expect will continue to make, changes to its platform that could require us to change the manner in which we operate, limit our ability to successfully launch new products or increase our costs to operate. Such changes and the efforts required to maintain compliance therewith could have an adverse effect on our business, operating results and financial condition. Examples of past changes from Amazon have included platform fee increases (i.e., storage, advertising, fulfillment and selling commissions), inventory warehouse limitations, and restrictions on certain sales and marketing activities. Any change, limitation or restriction on our ability to sell on Amazon’s platform, even if temporary, could have a material impact on our business, operating results and financial condition.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services provided by Amazon’s fulfillment platform, including its Prime badge program, in which Amazon guarantees expedited shipping of products we sell to the consumer, an important factor in the consumer’s buying decision. Further, Amazon allows us to fulfill from our own third-party warehouses directly to customers under the same Prime badge guarantee. Amazon may at any time decide to discontinue allowing us to fulfill sales of our products directly from our warehouse network or limit our ability to advertise on our product listings that such products will receive expedited shipping under its Prime badge program. Any such inability or limitation, could have a material impact on our business, results of operations, and financial condition.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b w:val="1"/>
          <w:bCs w:val="1"/>
          <w:i w:val="1"/>
          <w:iCs w:val="1"/>
          <w:color w:val="auto"/>
        </w:rPr>
        <w:t>Our Credit Facility contains various restrictions and covenants that could limit our operating flexibility and we may be unable to refinance or repay our Credit Facility. We also rely on credit export insurance for our vendors in China, the unavailability of which could have a material adverse impact on our business, operating results and financial condition.</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2021, we obtained a revolving credit facility from Midcap Funding IV Trust (the “Credit Facility”). Our Credit Facility contains covenants and other restrictions that, among other things, requires us to satisfy certain liquidity and borrowing availability tests, restricts our ability to execute M&amp;A transactions and to incur additional indebtedness. These restrictions and covenants, and those in other future financing arrangements, may limit our ability to respond to market conditions, to provide for capital investment needs or to take advantage of business opportunities.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guarantee that we will be available to repay or refinance our Credit Facility. Further, at any time, if we violate the terms of the Credit Facility, we may not be able to obtain a waiver from our lender under satisfactory terms, or at all, which would limit our operating flexibility and/or liquidity and which could have a material adverse effect on our business, operating results and financial condition.</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the availability of export credit insurance from the China Export &amp; Credit Insurance Corporation (“Sinosure”), a Chinese state-owned enterprise, that provides export credit insurance to our contract manufacturers. From time to time, our contract manufacturers have experienced reductions in the availability of such credit from Sinosure as a result of our failure to timely pay them. While we currently believe our contract manufacturers have insurance at levels that we believe are sufficient to fund our operations, there can be no assurance that such insurance will be available at levels we require for our business, or at all, whether or not we make timely payments to our vendors, which would have a material adverse effect on our business, operating results and financial condition.</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has cash deposits at financial institutions in excess of the insured amount of $0.3 million by the Federal Deposit Insurance Corporation.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efforts to grow our business through new products, services, technologies, and geographic expansion may not be successful and may place a significant strain on our management and, operational, financial and other resources.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long-term success depends on our ability to develop and commercialize a continuing stream of new products and services, to expand geographically and to continue development of our technology platform. We have entered and expect to continue to enter new product, service and geographic markets for which we have limited or no experience. For example, we have recently started to expand into Europe. In part we rely on Amazon’s global reviews program for success in our international expansion. If that program were to be limited, reduced or discontinued, our international expansion would be negatively affected. Our efforts to grow our business place significant strain on our management, personnel, operations, systems, financial resources, and internal financial control and reporting functions, among other things. We face the risk that we will be unable to disrupt incumbents and that our competitors will introduce new and better products and services that compete with us. There are numerous uncertainties inherent in successfully developing and commercializing new products and services on a continuing basis and new product launches or services may not deliver expected growth in sales or operating results. Any new product or service that we develop and market may not be introduced in a timely or cost-effective manner, may contain defects, errors, quality or other issues, or may not achieve the market acceptance necessary to generate sufficient revenue or may never become profitable. If we are unable to develop and introduce a continuing stream of competitive new products and services, it may have an adverse effect on our business, operating results and financial condition. Our failure to successfully execute on our growth initiatives can negatively impact our financial results and financial condition. To date, we have been unsuccessful in offering our services to third-party brands and while we expect to continue to offer our services there can be no assurance that we will be successful.</w:t>
      </w:r>
    </w:p>
    <w:p>
      <w:pPr>
        <w:spacing w:after="0" w:line="386" w:lineRule="exact"/>
        <w:rPr>
          <w:sz w:val="20"/>
          <w:szCs w:val="20"/>
          <w:color w:val="auto"/>
        </w:rPr>
      </w:pPr>
    </w:p>
    <w:p>
      <w:pPr>
        <w:jc w:val="both"/>
        <w:spacing w:after="0" w:line="380" w:lineRule="auto"/>
        <w:rPr>
          <w:sz w:val="20"/>
          <w:szCs w:val="20"/>
          <w:color w:val="auto"/>
        </w:rPr>
      </w:pPr>
      <w:r>
        <w:rPr>
          <w:rFonts w:ascii="Arial" w:cs="Arial" w:eastAsia="Arial" w:hAnsi="Arial"/>
          <w:sz w:val="15"/>
          <w:szCs w:val="15"/>
          <w:b w:val="1"/>
          <w:bCs w:val="1"/>
          <w:i w:val="1"/>
          <w:iCs w:val="1"/>
          <w:color w:val="auto"/>
        </w:rPr>
        <w:t>We may be unsuccessful in making and integrating acquisitions or in maintaining or growing the financial performance of any acquired businesses which may adversely affect our business and operating results and could impact the price of our common stock and result in dilution to shareholders.</w:t>
      </w:r>
    </w:p>
    <w:p>
      <w:pPr>
        <w:spacing w:after="0" w:line="1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Acquisitions are an important aspect of our growth strategy and we expect to continue to pursue brand and other strategic acquisitions. We have acquired a number of companies, and we may in the future acquire or invest in or enter into joint ventures with additional companies. Such acquisitions have in the past required, and in the future may require, the attention of management in integrating those businesses including increased attention to managing the supply chain of certain acquisitions. The market for acquisitions has historically been highly competitive. Our growth strategy may be adversely affected if we face increased competition for or fail to identify suitable acquisition targets. In addition, pursuing or completing any such acquisitions could divert management’s attention, and otherwise disrupt our operations and adversely affect our operating results and financial condition. Any acquisition, if not favorably received by consumers, shareholders, analysts, and others in the investment community, could have a material adverse effect on the price of our common stock. In addition, any acquisition involves numerous risks, including: failing to identify problems during due diligence, liabilities or other shortcomings or challenges that could cause a target to under perform post-closing; difficulties in the assimilation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the operations, technologies, products, and personnel associated with the acquisition and unanticipated expenses related to such integration; challenges in integrating distribution channels; diversion of management's attention from other business concerns; difficulties in transitioning and preserving customer, contractor, supplier, and other important third-party relationships; challenges realizing anticipated cost savings, synergies and other benefits; the potential impairment of tangible and intangible assets and goodwill; risks of entering markets in which we have no or limited experience; risks associated with subsequent losses including potential unknown liabilities associated with a company we acquire; and problems retaining key personnel. We provide no assurances that we will be able to complete any acquisitions or that any acquired businesses will experience the same or better level of financial performance as prior to the acquisition.</w:t>
      </w:r>
    </w:p>
    <w:p>
      <w:pPr>
        <w:spacing w:after="0" w:line="193"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In order to complete any future acquisitions, we may need to use our cash on hand, and we will likely need to raise additional equity or incur or assume debt, any of which could harm our business, only be available on unfavorable terms, if at all, and result in additional dilution to our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attract, retain or motivate key personnel which could harm our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future success depends on our continuing ability to attract, motivate and retain well qualified employees. Competition for well-qualified employees in all aspects of our business is intense globally. The loss of one or more of our key personnel or our inability to promptly identify a suitable successor to a key role, including through a succession plan, could have an adverse effect on our business. Each of our executive officers, key technical personnel and other employees could terminate their employment relationship with us at any time. Moreover, we rely on stock-based compensation as a method to attract, retain and motivate our employees. If our common stock continues to be volatile or depressed, we may be unable to attract, retain and motivate employees, and if this occurs, it could have a material adverse effect on our business, operating results and financial condition. We do not currently maintain key-person life insurance policies on any member of our senior management team and other key employees.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$216.4 million net operating loss carryforwards as of December 31, 2022, which have a full valuation allowance against them. In general, under Section 382 of the Internal Revenue Code of 1986, as amended (the “Code”), a corporation that undergoes an ownership change, which is generally defined as a greater than 50-percentage-point cumulative change by value in the equity ownership of certain stockholders over a rolling three-year period, is subject to limitations on its ability to utilize its pre-change net operating losses (“NOLs”) to offset post-change taxable income. Our existing NOLs may be subject to limitations arising from previous ownership changes, and if we undergo an ownership change, our ability to utilize NOLs could be further limited by Section 382 of the Code and similar state provisions. Future changes in our stock ownership, some of which may be outside of our control, could result in an ownership change under Section 382 of the Code. Furthermore, our ability to utilize NOLs of companies that we may acquire in the future may be subject to limitations. There is also a risk that due to regulatory changes, such as limitations on the use of NOLs, our existing NOLs could expire, decrease in value or otherwise be unavailable to offset future income tax liabilities. For example, the Tax Cuts and Jobs Act resulted in a reduction in the economic benefit of the NOLs and other deferred tax assets available to us. For these reasons, we may not be able to realize a tax benefit from the use of our NOLs, even if we attain profitability. We have not performed a detailed analysis to determine whether an ownership change under Section 382 of the Code has occurred. The effect of a Section 382 ownership change would be the imposition of an annual limitation on the use of net operating loss carryforwards attributable to periods before the change. Any limitation may result in expiration of all, or a portion of the NOLs or other tax attributes, such as research and development credit carryforwards, before utilization.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Information and Cyber Security</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rely on data provided by third parties and any loss, reduction in access or increased costs related thereto of which could have a material adverse effect on our business.</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our technology in various aspects of our business including for new product launches, forecasting, fulfillment and the automation of sales and marketing of our products, among other things. Our ability to successfully use our technology depends to a large extent on our ability to analyze and utilize data, including search engine results, provided by unaffiliated third parties, primarily, Google and Amazon. In the future, these third parties could change their data sharing policies, including making them more restrictive or expensive, or could alter their algorithms, any of which could result in the loss of, or significant impairment to, our ability to collect and analyze useful data. These third parties could also interpret our, or our service providers’, data collection policies or practices as being inconsistent with their policies, which could result in the loss of our ability to collect and use this data.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operating results and financial condition could be adversely impacted if our information technology systems or those of third-parties become subject to a data security breach, are disrupted or cease to operate effectively.</w:t>
      </w:r>
    </w:p>
    <w:p>
      <w:pPr>
        <w:spacing w:after="0" w:line="16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rely heavily on information technology systems to operate our business and we collect, maintain, transmit and store sensitive data including data about our consumers. We also engage and rely upon third parties who engage in the same activities on our behalf. Accordingly, it is vital to maintain constant operation of these systems and to maintain cybersecurity. Our systems and those of third parties that we use in our operations are vulnerable to security risks, including from viruses and worms, phishing attacks, social engineering, hacking, distributed denial-of-service attacks, ransomware, and similar disruptions from the unauthorized tampering with our servers and computer systems or those of third parties that we use in our operations, which could lead to interruptions, delays, loss of critical and sensitive data, and loss of consumer confidence. In addition, insider actors-malicious or otherwise-could cause technical disruptions and/or confidential data leakage. In addition, if a ransomware attack or other cybersecurity incident occurs, either internally or at our third-party technology service providers, we could be prevented from accessing our data or systems, which may cause interruptions or delays in our business operations, cause us to incur material remediation costs, and could subject us to demands to pay a ransom or damage our reputation. Our failure to prevent or mitigate data loss, theft, misuse, or other security breaches or vulnerabilities affecting our or our vendors’ technology and systems, could: expose us or our customers to a risk of loss, disclosure, or misuse of such information; result in litigation, fines, liability, or regulatory action (including under laws related to privacy, data use, data protection, data security, network security, and consumer protection); deter customers from using our stores to buy our products; and harm our business, operating results, financial condition and reputation. We use third party technology and systems for a variety of reasons, including, without limitation, encryption and authentication technology, employee email, content delivery to customers, back-office support, hosting, payment processing and other functions. Despite our security efforts, some of our systems have experienced past security breaches, and, although they did not have a material adverse effect on our operations or financial results, there can be no assurance that future incidents, which we expect to have, will not have material adverse effects on our business, operating results or financial condition. For example on April 25, 2022, we were alerted by a payment processor of a potential data security incident regarding one of our UK websites. This has not resulted in nor do we believe this will result in a material impact on our business. In addition, because the techniques, tools and tactics used in cyber-attacks frequently change and may be difficult to detect for periods of time, we may face difficulties in anticipating and implementing adequate preventative measures or fully mitigating harms after such an attack. It is possible for security vulnerabilities to remain undetected for an extended time period, up to and including several years as was the case in the prior non-material security breach identified in April 2022. The Company’s adoption of remote working, initially driven by the pandemic, may also introduce additional threats or disruptions to our information technology networks and infrastructure. Although we have developed systems and processes that are designed to protect customer data and prevent such incidents, including systems and processes designed to reduce the impact of a security breach at a third-party vendor or customer, such measures cannot provide absolute security and may fail to operate as intended or be circumvented. In addition, our insurance may not provide sufficient coverage to compensate for related losses.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we use open source software in our proprietary software AIMEE, and our other sophisticated information technologies and systems, and we expect to continue to use open source software in the future. In addition to risks related to license requirements, use of certain open source software can lead to greater risks than use of third-party commercial software, as open source licensors generally do not provide warranties, indemnities or other contractual protections with respect to the software (for example, non-infringement or functionality). Our use of open source software may also present additional security risks because the source code for open source software is publicly available, which may make it easier for hackers and other third parties to determine how to breach our sites and systems that rely on open source software.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information technology systems and those of our third parties may be vulnerable from time to time to damage, interruptions and other technical malfunctions including but not limited to breaches, human error, power outages, telecommunication or utility failures, systems failures, natural disasters or other catastrophic events. In addition, growth in our transaction volume or surges in online traffic place additional demands on our systems and could cause or exacerbate slowdowns or interruptions. If any such systems are damaged, or fail to function properly, we may have to make monetary investments to repair or replace the systems and could endure delays in operations. From time to time, we have experienced disruptions to our systems and we expect to continue to experience disruptions. Any material disruption or slowdown of such systems, including the failure to successfully upgrade systems, could have a material impact on many aspects of our operations including our ability to operate on e-commerce marketplaces. Such a loss or delay could have a material adverse impact on our business, operating results and financial condition. Our systems are not fully redundant and our disaster recovery planning may not be sufficient.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Relating to the Litigation and Government Regulation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litigation, government investigations, product liability and recalls, and other proceedings may adversely affect our business, operating results and financial condition.</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from time to time, involved in various claims, litigation matters and regulatory proceedings that could have a material adverse effect on us. These matters may include personal injury and other tort claims, deceptive trade practice disputes, intellectual property disputes, product recalls, contract disputes, employment and tax matters and other proceedings and litigation, including class actions lawsuits. It is not possible to predict the outcome of pending or future litigation and any such claims, with or without merit, could be time consuming and expensive, and may require the Company to incur substantial costs and divert the resources of management.</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face exposure to product liability and other claims in the event that one of our products is alleged to have resulted in property damage, bodily injury or other adverse effects. In addition, if we are required to, or voluntarily, repair, replace or refund one or more of our products, it could have a material impact on our business, operating results, financial condition and reputation.</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22222"/>
        </w:rPr>
        <w:t>In the summer of 2021, the Company received informal notice from a third-party alleging patent infringement with respect to certain transfer paper products sold by the Company. While the Company does not believe it is infringing any active patents of the third party and intends to defend itself vigorously, there can be no assurances that the Company will obtain a satisfactory outcome.</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22222"/>
        </w:rPr>
        <w:t>In February 2022, the Company received a notice disputing the Company’s calculation of the earn-out payment to be paid to the prior owners of a transfer paper business acquired by the Company. While the Company believes its calculations are accurate and intends to vigorously defend itself, there can be no assurances that the Company will obtain a satisfactory outcome without unnecessary expense of money, resources or attention of management.</w:t>
      </w:r>
    </w:p>
    <w:p>
      <w:pPr>
        <w:spacing w:after="0" w:line="1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and financial condition. In addition, it is possible that a resolution of any claim, including as a result of a settlement, could require us to make substantial future payments, prevent us from offering certain products or services, or require us to change our business practices each of which could have a material adverse effect on our business, operating results and financial condition.</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must successfully manage compliance with current and expanding laws and regulations, as well as manage new and pending legal and regulatory matters in the U.S. and abroad.</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subject in the ordinary course of our business, in the U.S. and elsewhere, to many statutes, ordinances, rules and regulations that, if violated by us or the third parties we work with, could have a material adverse effect on our business, operating results and financial condition. These laws and regulations include but are not limited to accounting and financial reporting, advertising, anti-bribery and anti corruption, consumer protection, data security and privacy, electronic commerce, employment, intellectual property, product liability, and trade (including tariffs). In addition, increasing governmental and societal attention to environmental, social and governance (ESG) matters, including expanding mandatory and voluntary reporting, diligence and disclosure on topics such as climate change, waste production, water usage, human capital, labor and risk oversight, could expand the nature, scope and complexity of matters that we are required to control, assess and report, each of which can be challenging given our reliance on third party suppliers. These and other rapidly changing laws, regulations, policies and related interpretations as well as increased enforcement actions by various governmental and regulatory agencies, create challenges for us, including our compliance and ethics programs, may alter the environment in which we do business and may increase the ongoing costs of compliance, which could adversely impact our business, operating results and financial condition. If we are unable to continue to meet these challenges and to comply with all laws, regulations, policies and related interpretations, it could negatively impact our reputation and our business, operating results and financial condition. Additionally, we may in the future be subject to inquiries, investigations, claims, proceedings and requests for information from governmental agencies or private parties, the adverse outcomes of which could harm our business. Failure to successfully manage these new or pending regulatory and legal matters and to resolve such matters without significant liability or damage to our reputation may materially adversely impact our operating results and financial condition. Furthermore, if new legal or regulatory matters result in fines or costs in excess of the amounts accrued to date, that may also materially impact our operating results and financial position.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U.S. government trade actions could have a material adverse effect on our business, financial position, and results of operation.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 the past several years, the U.S. government has taken a number of trade actions that impact or could impact our operations, including imposing tariffs on certain goods imported into the United States. As the majority of our products are imported into the United States from China, many of our products are subject to the tariffs imposed under Section 301 of U.S. trade law that have been applied to separate lists of Chinese goods imported into the United States, beginning during the Trump Administration and continuing in the Biden Administration. A number of lawsuits and other legal challenges with respect to the Section 301 tariff actions have been filed and remain pending, which could result in changes to the tariffs. To date, the Biden Administration has effectively maintained and has continued to defend and to enforce these particular trade actions. We are continually evaluating the impact of the current and any possible new tariffs on our supply chain, costs and sales and are considering strategies to mitigate such impact, including reviewing sourcing options, filing requests for exclusion from the tariffs for certain product lines and working with our suppliers. We can provide no assurance that any strategies we implement to mitigate the impact of such tariffs or other trade actions will be successful. Given the uncertainty regarding the scope and duration of these trade actions by the U.S. government or other countries, as well as the potential for additional trade actions, the impact on our operations and results remains uncertain.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Ownership of our Common Stock</w:t>
      </w:r>
    </w:p>
    <w:p>
      <w:pPr>
        <w:spacing w:after="0" w:line="215"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it more difficult to compare our performance with other public companies and make our common stock less attractive to investors.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and we take advantage of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we also take advantage of an extended transition period for complying with new or revised accounting standards. This may make comparison of our financial statements with those of another public company that has complied with such new or revised accounting standards difficult or impossible because of the potential differences in accounting standards used. We will lose our status as an emerging growth company no later than December 31, 2024.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fluctuate significantly.</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market price and trading volume of our common stock has at times experienced substantial price volatility. There has been, and we expect will continue to be, significant volatility in the market price and trading volume of our common stock. In certain instances these fluctuations have been unrelated or disproportionate to our operating performance and financial condition. In addition, the market price of our common stock may be, and we believe recently has been, significantly impacted by investors covering large short positions in our common stock. In addition, there are many other factors that have caused and may continue to cause the market price of our common stock to fluctuate, including: actual or anticipated variations in our quarterly operating results, or the operating results and financial condition of companies perceived to be similar to us; deterioration and decline in general economic, industry and/or market conditions; changes in estimates of our financial results or recommendations by equity research analysts, including any decision by equity research analysts to initiate or discontinue coverage; announcements by us or our competitors of significant acquisitions, strategic alliances or joint ventures; and changes in our capital structure, such as future issuances of securities or the incurrence of additional debt.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limited by our ability to raise the funding we need to support our growth or to maintain our existing business. Also such funding may be available only by diluting existing stockholders.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success of our business depends, in part, on our ability to invest significant resources in R&amp;D including for the development of our proprietary technology platform and for the development of new products and services. Our success also depends on our ability to grow through acquisitions. To support our business growth we will likely require additional funds to maintain, grow and respond to business challenges. Accordingly, from time to time we need to engage in equity or debt financings to secure additional funds. If we raise additional funds through issuances of equity or convertible debt securities, that would result in significant dilution to our existing stockholders, and any new equity securities we issue could have rights, preferences and privileges superior to those of holders of our common stock. Any debt we may incur may negatively impact our business, financial condition and operating results. We have in the past and may in the future incur debt that allows us to repay such debt using our common stock which could result in significant dilution. Further, we may not be able to obtain additional financing on terms favorable to us, or at all, whether due to issues related to the Company or unrelated to the Company including but not limited to bank failures. If we are unable to obtain adequate financing or financing on terms satisfactory to us, when we require it, our ability to grow or to respond to business challenges would be significantly limited, and our business could fail or our operating results and financial condition could be adversely affected.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jc w:val="both"/>
        <w:spacing w:after="0" w:line="256" w:lineRule="auto"/>
        <w:rPr>
          <w:sz w:val="20"/>
          <w:szCs w:val="20"/>
          <w:color w:val="auto"/>
        </w:rPr>
      </w:pPr>
      <w:r>
        <w:rPr>
          <w:rFonts w:ascii="Arial" w:cs="Arial" w:eastAsia="Arial" w:hAnsi="Arial"/>
          <w:sz w:val="18"/>
          <w:szCs w:val="18"/>
          <w:color w:val="auto"/>
        </w:rPr>
        <w:t>Any debt financing secured by us in the future could involve restrictive covenants relating to our capital-raising activities and other financial and operational matters, which may make it more difficult for us to obtain additional capital and to pursue business opportunities. In addition, we may not be able to continue to acquire the financing needed in order to pursue future acquisitions or similar transactions or we may not be able to raise sufficient equity or equity-like capital without first seeking stockholder approval, which could limit our ability to complete such financing, or to complete any related transaction on a timely basis.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insiders, or the perception that these sales may occur, may cause the market price of our common stock to decline.</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employees, directors and officers, and their affiliates, hold substantial amounts of shares of our common stock. Sales of a substantial number of such shares by these stockholders, or the perception that such sales will occur, may cause the market price of our common stock to decline. Other than our stock ownership guidelines and our restrictions on trading that arise under securities laws (or pursuant to our securities trading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 Our officers and directors periodically sell shares of common stock to cover tax liabilities from prior restricted stock awards.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and issuances of our capital stock, or the perception that such sales may occur, could cause our stock price to decline.</w:t>
      </w:r>
    </w:p>
    <w:p>
      <w:pPr>
        <w:spacing w:after="0" w:line="2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Future sales and issuances of our capital stock or rights to purchase our capital stock could result in substantial dilution to our existing stockholders. We may sell common stock, convertible securities and other debt or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 In addition, we issue to our employees equity awards under our equity incentive plans which could be material in amount.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existing stockholders sell a large number of shares of our common stock, or the public market perceives that those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of a continuing public market for you to resell our common stock.</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the date of this Annual Report, our stock has a minimum closing bid price below $1.00 per share. In general, Nasdaq’s continued listing requirements require, among other things, a minimum closing bid price requirement of $1.00 per share. If a company fails to meet the $1.00 minimum closing bid price requirement for 30 consecutive business days, Nasdaq will send a deficiency notice to the company, advising that it has been afforded a “compliance period” of 180 calendar days to regain compliance with the applicable requirements. In the future, if our common stock remains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limited liquidity for our stockholders due to thin trading; and the potential loss of confidence by investors, employees and other third parties who we do business with.</w:t>
      </w:r>
    </w:p>
    <w:p>
      <w:pPr>
        <w:spacing w:after="0" w:line="170"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Further, we may decide to effect a reverse split of our common stock which could impact the market price for our stock, limit our ability to raise capital while pursuing a reverse split or otherwise limit our ability to execute acquisition transactions and there is no assurance that the market price or trading volume for our common stock will not further decline after announcing or effecting such split.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our principal place of business and corporate headquarters was our New York office which is leased for a term of two years expiring April 2023 and has approximately 5,200 square feet of space. Our UK office is a building we own, our China office is leased for a term of three years expiring in May 2024 and our Poland office with approximately 5,000 square feet of space is leased through July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other offices are either shared workspaces or leases with a short-term commitment (month to month).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primarily with respect to the sale of our consumer products. We believe that there are no pending lawsuits or claims that, individually or in the aggregate, may have a material effect on our business, financial condition or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Capital Market under the symbol “ATER”.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there were approximately 167 holders of record of our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never declared or paid any cash dividends on our capital stock. We intend to retain any future earnings, if any, to finance the operation and expansion of our business, and do not anticipate paying any cash dividends in the foreseeable future. Any future determination to pay dividends will be made at the discretion of our board of directors or any authorized committee thereof after considering our financial condition, results of operations, capital requirements, business prospects and other factors our board of directors or such committee deems relevant, and subject to the restrictions contained in our current or future financing instruments. Pursuant to the Credit Agreement, dated as of December 22, 2021, with Midcap Funding IV Trust as Agent (“MidCap”) and the lenders party thereto, we are restricted from declaring any dividends or other distributions, subject to exceptions for certain of our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See Item 12 of Part III of this Annual Report regarding information about securities authorized for issuance under our equity compensation plans.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contains forward-looking statements that involve a number of risks, uncertainties and assumptions. Actual events or results may differ materially from our expectations. Important factors that could cause actual results to differ materially from those stated or implied by our forward-looking statements include, but are not limited to, those set forth in Part I, “Item 1A. Risk Factors” in this Annual Report. All forward-looking statements included in this Annual Report are based on information available to us as of the time we file this Annual Report and, except as required by law, we undertake no obligation to update publicly or revise any forward-looking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technology-enabled consumer products platform that uses “data science” (which includes but is not limited to, machine learning, natural language processing, and data analytics) to design, develop, market and sell products. Today, we predominantly operate through online retail channels such as Amazon.com (“Amazon”) and Walmart, Inc.</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Today, we own and operate brands that sell products in multiple categories, including home and kitchen appliances, kitchenware, cooling and air quality appliances (dehumidifiers, humidifiers and air conditioners), health and beauty products and essential oils. Our fifteen brands include, hOmeLabs; Vremi; Squatty Potty; Xtava; RIF6; Aussie Health; Holonix; Truweo; Mueller; Pursteam; Pohl and Schmitt; Spiralizer; Healing Solutions; Photo Paper Direct and Step and Go.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 and Product Mix</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Product mix can affect our gross profit and the variable portion of our sales and distribution expenses. The impact of the COVID-19 pandemic on the global supply chain, the unpredictability of container availability, space on vessels and shipping lead times, as well as associated manufacturing lead time, led us to secure more inventory upfront which affected our business and operating results in 2022. Having more inventory on hand not only impacts our working capital but also requires us to increase our storage capacity, through our warehouse network, which of itself has a capital impact.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direct revenue can be impacted by the timing and the season in which products are launched as well as the impact of mergers and acquisitions.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Net Revenue—</w:t>
      </w:r>
      <w:r>
        <w:rPr>
          <w:rFonts w:ascii="Arial" w:cs="Arial" w:eastAsia="Arial" w:hAnsi="Arial"/>
          <w:sz w:val="18"/>
          <w:szCs w:val="18"/>
          <w:color w:val="auto"/>
        </w:rPr>
        <w:t>We derive our revenue from the sale of consumer products, primarily in the U.S. We sell products directly to consumers through online</w:t>
      </w:r>
      <w:r>
        <w:rPr>
          <w:rFonts w:ascii="Arial" w:cs="Arial" w:eastAsia="Arial" w:hAnsi="Arial"/>
          <w:sz w:val="18"/>
          <w:szCs w:val="18"/>
          <w:b w:val="1"/>
          <w:bCs w:val="1"/>
          <w:color w:val="auto"/>
        </w:rPr>
        <w:t xml:space="preserve"> </w:t>
      </w:r>
      <w:r>
        <w:rPr>
          <w:rFonts w:ascii="Arial" w:cs="Arial" w:eastAsia="Arial" w:hAnsi="Arial"/>
          <w:sz w:val="18"/>
          <w:szCs w:val="18"/>
          <w:color w:val="auto"/>
        </w:rPr>
        <w:t>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Cost of Goods Sold—</w:t>
      </w:r>
      <w:r>
        <w:rPr>
          <w:rFonts w:ascii="Arial" w:cs="Arial" w:eastAsia="Arial" w:hAnsi="Arial"/>
          <w:sz w:val="18"/>
          <w:szCs w:val="18"/>
          <w:color w:val="auto"/>
        </w:rPr>
        <w:t>Cost of goods sold consists of the book value of inventory sold to customers during the reporting period and the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step-up from acquisitions. Book value of inventory includes the amounts we pay manufacturers for product, tariffs and duties associated with transporting product across national borders, and freight costs associated with transporting the product from our manufacturers to our warehouses, as applicable. When circumstances dictate that we use net realizable value as the basis for recording inventory, we base our estimates on expected future selling prices, less expected disposal costs.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include compensation and employee benefits for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travel-related costs and fees paid to outside consultants related to the development of our intellectual property.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both"/>
        <w:spacing w:after="0" w:line="268" w:lineRule="auto"/>
        <w:rPr>
          <w:sz w:val="20"/>
          <w:szCs w:val="20"/>
          <w:color w:val="auto"/>
        </w:rPr>
      </w:pPr>
      <w:r>
        <w:rPr>
          <w:rFonts w:ascii="Arial" w:cs="Arial" w:eastAsia="Arial" w:hAnsi="Arial"/>
          <w:sz w:val="17"/>
          <w:szCs w:val="17"/>
          <w:b w:val="1"/>
          <w:bCs w:val="1"/>
          <w:color w:val="auto"/>
        </w:rPr>
        <w:t xml:space="preserve">Sales and Distribution Expenses— </w:t>
      </w:r>
      <w:r>
        <w:rPr>
          <w:rFonts w:ascii="Arial" w:cs="Arial" w:eastAsia="Arial" w:hAnsi="Arial"/>
          <w:sz w:val="17"/>
          <w:szCs w:val="17"/>
          <w:color w:val="auto"/>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continually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—General and administrative expenses include compensation and employee benefits for executive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administration, legal, and human resources, facility costs, insurance, travel, professional service fees and other general overhead costs, including the costs of being a public company.</w:t>
      </w:r>
    </w:p>
    <w:p>
      <w:pPr>
        <w:spacing w:after="0" w:line="17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Interest Expense, Net</w:t>
      </w:r>
      <w:r>
        <w:rPr>
          <w:rFonts w:ascii="Arial" w:cs="Arial" w:eastAsia="Arial" w:hAnsi="Arial"/>
          <w:sz w:val="16"/>
          <w:szCs w:val="16"/>
          <w:color w:val="auto"/>
        </w:rPr>
        <w:t>— Interest expense, net includes the interest cost from our credit facility and term loans, and includes amortization of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costs and debt discounts from our credit facility (the “Credit Facility”) with MidCap Funding IV Trust (“MidCap”) and our term loans in 2021 with High Trail Investments SA LLC (“High Trail SA”) and High Trail Investments ON LLC (“High Trail ON” and, together with High Trail SA, “High Trail”).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Years-Ended December 31, 2021 and 2022</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our results of operations for the years-ended December 31, 2021 and 2022, together with the changes in those items in dollars and percentage: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16"/>
              <w:spacing w:after="0"/>
              <w:rPr>
                <w:sz w:val="20"/>
                <w:szCs w:val="20"/>
                <w:color w:val="auto"/>
              </w:rPr>
            </w:pPr>
            <w:r>
              <w:rPr>
                <w:rFonts w:ascii="Arial" w:cs="Arial" w:eastAsia="Arial" w:hAnsi="Arial"/>
                <w:sz w:val="14"/>
                <w:szCs w:val="14"/>
                <w:b w:val="1"/>
                <w:bCs w:val="1"/>
                <w:color w:val="auto"/>
              </w:rPr>
              <w:t>Year-Ended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vMerge w:val="restart"/>
          </w:tcPr>
          <w:p>
            <w:pPr>
              <w:ind w:left="82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240" w:type="dxa"/>
            <w:vAlign w:val="bottom"/>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9"/>
          </w:tcPr>
          <w:p>
            <w:pPr>
              <w:jc w:val="right"/>
              <w:ind w:right="820"/>
              <w:spacing w:after="0"/>
              <w:rPr>
                <w:sz w:val="20"/>
                <w:szCs w:val="20"/>
                <w:color w:val="auto"/>
              </w:rPr>
            </w:pPr>
            <w:r>
              <w:rPr>
                <w:rFonts w:ascii="Arial" w:cs="Arial" w:eastAsia="Arial" w:hAnsi="Arial"/>
                <w:sz w:val="14"/>
                <w:szCs w:val="14"/>
                <w:color w:val="auto"/>
              </w:rPr>
              <w:t>(in thousands, except percentages)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247,767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221,170</w:t>
            </w: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(26,597 )</w:t>
            </w:r>
          </w:p>
        </w:tc>
        <w:tc>
          <w:tcPr>
            <w:tcW w:w="12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(10.7 )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125,904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115,652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(10,252 )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18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7"/>
              </w:rPr>
              <w:t>%</w:t>
            </w:r>
          </w:p>
        </w:tc>
        <w:tc>
          <w:tcPr>
            <w:tcW w:w="0" w:type="dxa"/>
            <w:vAlign w:val="bottom"/>
          </w:tcPr>
          <w:p>
            <w:pPr>
              <w:spacing w:after="0"/>
              <w:rPr>
                <w:sz w:val="1"/>
                <w:szCs w:val="1"/>
                <w:color w:val="auto"/>
              </w:rPr>
            </w:pPr>
          </w:p>
        </w:tc>
      </w:tr>
      <w:tr>
        <w:trPr>
          <w:trHeight w:val="236"/>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121,863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105,518</w:t>
            </w:r>
          </w:p>
        </w:tc>
        <w:tc>
          <w:tcPr>
            <w:tcW w:w="10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(16,345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distribution (1)</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127,369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121,139</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CECFF"/>
            </w:tcBorders>
            <w:shd w:val="clear" w:color="auto" w:fill="CCEC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(6,230 )</w:t>
            </w:r>
          </w:p>
        </w:tc>
        <w:tc>
          <w:tcPr>
            <w:tcW w:w="120" w:type="dxa"/>
            <w:vAlign w:val="bottom"/>
            <w:tcBorders>
              <w:right w:val="single" w:sz="8" w:color="CFF0FC"/>
            </w:tcBorders>
            <w:shd w:val="clear" w:color="auto" w:fill="CCEC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(4.9 )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Research and development (1)</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9,837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(3,825 )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(38.9 )</w:t>
            </w:r>
          </w:p>
        </w:tc>
        <w:tc>
          <w:tcPr>
            <w:tcW w:w="18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7"/>
              </w:rPr>
              <w:t>%</w:t>
            </w: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(1)</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45,099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CECFF"/>
            </w:tcBorders>
            <w:shd w:val="clear" w:color="auto" w:fill="CCEC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(6,860 )</w:t>
            </w:r>
          </w:p>
        </w:tc>
        <w:tc>
          <w:tcPr>
            <w:tcW w:w="120" w:type="dxa"/>
            <w:vAlign w:val="bottom"/>
            <w:tcBorders>
              <w:right w:val="single" w:sz="8" w:color="CFF0FC"/>
            </w:tcBorders>
            <w:shd w:val="clear" w:color="auto" w:fill="CCEC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(15.2 )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Impairment loss on goodwill</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120,409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120,409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 loss on intangibles</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CECFF"/>
            </w:tcBorders>
            <w:shd w:val="clear" w:color="auto" w:fill="CCEC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12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CEC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Settlement of a contingent earn-out liability</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(4,164 )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7"/>
              </w:rPr>
              <w:t>%</w:t>
            </w: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contingent earn-out liabilities</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(30,529 )</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(5,240 )</w:t>
            </w:r>
          </w:p>
        </w:tc>
        <w:tc>
          <w:tcPr>
            <w:tcW w:w="120" w:type="dxa"/>
            <w:vAlign w:val="bottom"/>
            <w:tcBorders>
              <w:right w:val="single" w:sz="8" w:color="CCECFF"/>
            </w:tcBorders>
            <w:shd w:val="clear" w:color="auto" w:fill="CCEC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25,289</w:t>
            </w:r>
          </w:p>
        </w:tc>
        <w:tc>
          <w:tcPr>
            <w:tcW w:w="12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CEC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36"/>
        </w:trPr>
        <w:tc>
          <w:tcPr>
            <w:tcW w:w="5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155,940</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283,677</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127,737</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CECFF"/>
            </w:tcBorders>
          </w:tcPr>
          <w:p>
            <w:pPr>
              <w:jc w:val="right"/>
              <w:spacing w:after="0"/>
              <w:rPr>
                <w:sz w:val="20"/>
                <w:szCs w:val="20"/>
                <w:color w:val="auto"/>
              </w:rPr>
            </w:pPr>
            <w:r>
              <w:rPr>
                <w:rFonts w:ascii="Arial" w:cs="Arial" w:eastAsia="Arial" w:hAnsi="Arial"/>
                <w:sz w:val="18"/>
                <w:szCs w:val="18"/>
                <w:b w:val="1"/>
                <w:bCs w:val="1"/>
                <w:i w:val="1"/>
                <w:iCs w:val="1"/>
                <w:color w:val="auto"/>
                <w:w w:val="87"/>
              </w:rPr>
              <w:t>%</w:t>
            </w:r>
          </w:p>
        </w:tc>
        <w:tc>
          <w:tcPr>
            <w:tcW w:w="0" w:type="dxa"/>
            <w:vAlign w:val="bottom"/>
          </w:tcPr>
          <w:p>
            <w:pPr>
              <w:spacing w:after="0"/>
              <w:rPr>
                <w:sz w:val="1"/>
                <w:szCs w:val="1"/>
                <w:color w:val="auto"/>
              </w:rPr>
            </w:pPr>
          </w:p>
        </w:tc>
      </w:tr>
      <w:tr>
        <w:trPr>
          <w:trHeight w:val="236"/>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(34,077</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(178,159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CECFF"/>
            </w:tcBorders>
            <w:shd w:val="clear" w:color="auto" w:fill="CCECFF"/>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(144,082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FF0FC"/>
            </w:tcBorders>
            <w:shd w:val="clear" w:color="auto" w:fill="CCECFF"/>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422.8</w:t>
            </w:r>
          </w:p>
        </w:tc>
        <w:tc>
          <w:tcPr>
            <w:tcW w:w="1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INTEREST EXPENSE—net</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12,655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(10,052 )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(79.4 )</w:t>
            </w:r>
          </w:p>
        </w:tc>
        <w:tc>
          <w:tcPr>
            <w:tcW w:w="18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7"/>
              </w:rPr>
              <w:t>%</w:t>
            </w: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EXTINGUISHMENT OF SELLER NOTE</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(2,012 )</w:t>
            </w:r>
          </w:p>
        </w:tc>
        <w:tc>
          <w:tcPr>
            <w:tcW w:w="120" w:type="dxa"/>
            <w:vAlign w:val="bottom"/>
            <w:tcBorders>
              <w:right w:val="single" w:sz="8" w:color="CCECFF"/>
            </w:tcBorders>
            <w:shd w:val="clear" w:color="auto" w:fill="CCEC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(2,012 )</w:t>
            </w:r>
          </w:p>
        </w:tc>
        <w:tc>
          <w:tcPr>
            <w:tcW w:w="120" w:type="dxa"/>
            <w:vAlign w:val="bottom"/>
            <w:tcBorders>
              <w:right w:val="single" w:sz="8" w:color="CFF0FC"/>
            </w:tcBorders>
            <w:shd w:val="clear" w:color="auto" w:fill="CCEC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LOSS ON INITIAL ISSUANCE OF EQUITY</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3,254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CFF"/>
            </w:tcBorders>
            <w:shd w:val="clear" w:color="auto" w:fill="CCEC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(3,254 )</w:t>
            </w:r>
          </w:p>
        </w:tc>
        <w:tc>
          <w:tcPr>
            <w:tcW w:w="120" w:type="dxa"/>
            <w:vAlign w:val="bottom"/>
            <w:tcBorders>
              <w:right w:val="single" w:sz="8" w:color="CFF0FC"/>
            </w:tcBorders>
            <w:shd w:val="clear" w:color="auto" w:fill="CCEC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138,859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(138,859 )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7"/>
              </w:rPr>
              <w:t>%</w:t>
            </w: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26,455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(470 )</w:t>
            </w:r>
          </w:p>
        </w:tc>
        <w:tc>
          <w:tcPr>
            <w:tcW w:w="120" w:type="dxa"/>
            <w:vAlign w:val="bottom"/>
            <w:tcBorders>
              <w:right w:val="single" w:sz="8" w:color="CCECFF"/>
            </w:tcBorders>
            <w:shd w:val="clear" w:color="auto" w:fill="CCEC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(26,925 )</w:t>
            </w:r>
          </w:p>
        </w:tc>
        <w:tc>
          <w:tcPr>
            <w:tcW w:w="120" w:type="dxa"/>
            <w:vAlign w:val="bottom"/>
            <w:tcBorders>
              <w:right w:val="single" w:sz="8" w:color="CFF0FC"/>
            </w:tcBorders>
            <w:shd w:val="clear" w:color="auto" w:fill="CCEC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(101.8 )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LOSS ON INITIAL ISSUANCE OF WARRANTS</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20,147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(20,147 )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7"/>
              </w:rPr>
              <w:t>%</w:t>
            </w: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(INCOME)—net</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(281 )</w:t>
            </w:r>
          </w:p>
        </w:tc>
        <w:tc>
          <w:tcPr>
            <w:tcW w:w="120" w:type="dxa"/>
            <w:vAlign w:val="bottom"/>
            <w:tcBorders>
              <w:right w:val="single" w:sz="8" w:color="CCECFF"/>
            </w:tcBorders>
            <w:shd w:val="clear" w:color="auto" w:fill="CCEC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(326 )</w:t>
            </w:r>
          </w:p>
        </w:tc>
        <w:tc>
          <w:tcPr>
            <w:tcW w:w="120" w:type="dxa"/>
            <w:vAlign w:val="bottom"/>
            <w:tcBorders>
              <w:right w:val="single" w:sz="8" w:color="CFF0FC"/>
            </w:tcBorders>
            <w:shd w:val="clear" w:color="auto" w:fill="CCEC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(728.9 )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CCECFF"/>
            </w:tcBorders>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(235,492 )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(196,668 )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(16.5 )</w:t>
            </w:r>
          </w:p>
        </w:tc>
        <w:tc>
          <w:tcPr>
            <w:tcW w:w="18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7"/>
              </w:rPr>
              <w:t>%</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CFF"/>
              <w:right w:val="single" w:sz="8" w:color="CCECFF"/>
            </w:tcBorders>
            <w:shd w:val="clear" w:color="auto" w:fill="CCECFF"/>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CFF"/>
              <w:right w:val="single" w:sz="8" w:color="CFF0FC"/>
            </w:tcBorders>
            <w:shd w:val="clear" w:color="auto" w:fill="CCECFF"/>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b w:val="1"/>
                <w:bCs w:val="1"/>
                <w:i w:val="1"/>
                <w:iCs w:val="1"/>
                <w:color w:val="auto"/>
                <w:w w:val="87"/>
                <w:shd w:val="clear" w:color="auto" w:fill="CCECFF"/>
              </w:rPr>
              <w:t>%</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(236,024 )</w:t>
            </w:r>
          </w:p>
        </w:tc>
        <w:tc>
          <w:tcPr>
            <w:tcW w:w="120" w:type="dxa"/>
            <w:vAlign w:val="bottom"/>
          </w:tcPr>
          <w:p>
            <w:pPr>
              <w:spacing w:after="0"/>
              <w:rPr>
                <w:sz w:val="20"/>
                <w:szCs w:val="20"/>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(196,292 )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39,732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(16.8 )</w:t>
            </w:r>
          </w:p>
        </w:tc>
        <w:tc>
          <w:tcPr>
            <w:tcW w:w="18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7"/>
              </w:rPr>
              <w:t>%</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w w:val="97"/>
              </w:rPr>
              <w:t>(1)  Amounts include stock-based compensation expense as follows:</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7"/>
          </w:tcPr>
          <w:p>
            <w:pPr>
              <w:jc w:val="right"/>
              <w:ind w:right="670"/>
              <w:spacing w:after="0"/>
              <w:rPr>
                <w:sz w:val="20"/>
                <w:szCs w:val="20"/>
                <w:color w:val="auto"/>
              </w:rPr>
            </w:pPr>
            <w:r>
              <w:rPr>
                <w:rFonts w:ascii="Arial" w:cs="Arial" w:eastAsia="Arial" w:hAnsi="Arial"/>
                <w:sz w:val="14"/>
                <w:szCs w:val="14"/>
                <w:b w:val="1"/>
                <w:bCs w:val="1"/>
                <w:color w:val="auto"/>
                <w:w w:val="97"/>
              </w:rPr>
              <w:t>Years-Ended December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4"/>
          </w:tcPr>
          <w:p>
            <w:pPr>
              <w:ind w:left="80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Amount</w:t>
            </w:r>
          </w:p>
        </w:tc>
        <w:tc>
          <w:tcPr>
            <w:tcW w:w="240" w:type="dxa"/>
            <w:vAlign w:val="bottom"/>
            <w:gridSpan w:val="2"/>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9"/>
          </w:tcPr>
          <w:p>
            <w:pPr>
              <w:ind w:left="60"/>
              <w:spacing w:after="0"/>
              <w:rPr>
                <w:sz w:val="20"/>
                <w:szCs w:val="20"/>
                <w:color w:val="auto"/>
              </w:rPr>
            </w:pPr>
            <w:r>
              <w:rPr>
                <w:rFonts w:ascii="Arial" w:cs="Arial" w:eastAsia="Arial" w:hAnsi="Arial"/>
                <w:sz w:val="14"/>
                <w:szCs w:val="14"/>
                <w:color w:val="auto"/>
              </w:rPr>
              <w:t>(in thousands, except percentages)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distribution expenses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6,809</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(1,795 )</w:t>
            </w:r>
          </w:p>
        </w:tc>
        <w:tc>
          <w:tcPr>
            <w:tcW w:w="12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tcBorders>
              <w:right w:val="single" w:sz="8" w:color="CCECFF"/>
            </w:tcBorders>
            <w:gridSpan w:val="2"/>
            <w:shd w:val="clear" w:color="auto" w:fill="CFF0FC"/>
          </w:tcPr>
          <w:p>
            <w:pPr>
              <w:jc w:val="right"/>
              <w:spacing w:after="0"/>
              <w:rPr>
                <w:sz w:val="20"/>
                <w:szCs w:val="20"/>
                <w:color w:val="auto"/>
              </w:rPr>
            </w:pPr>
            <w:r>
              <w:rPr>
                <w:rFonts w:ascii="Arial" w:cs="Arial" w:eastAsia="Arial" w:hAnsi="Arial"/>
                <w:sz w:val="18"/>
                <w:szCs w:val="18"/>
                <w:color w:val="auto"/>
              </w:rPr>
              <w:t>(26.4 )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4"/>
                <w:shd w:val="clear" w:color="auto" w:fill="CCECFF"/>
              </w:rPr>
              <w:t>%</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(3,468 )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(65.0 )</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16,839</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7,709</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(9,130 )</w:t>
            </w:r>
          </w:p>
        </w:tc>
        <w:tc>
          <w:tcPr>
            <w:tcW w:w="12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tcBorders>
              <w:right w:val="single" w:sz="8" w:color="CCECFF"/>
            </w:tcBorders>
            <w:gridSpan w:val="2"/>
            <w:shd w:val="clear" w:color="auto" w:fill="CFF0FC"/>
          </w:tcPr>
          <w:p>
            <w:pPr>
              <w:jc w:val="right"/>
              <w:spacing w:after="0"/>
              <w:rPr>
                <w:sz w:val="20"/>
                <w:szCs w:val="20"/>
                <w:color w:val="auto"/>
              </w:rPr>
            </w:pPr>
            <w:r>
              <w:rPr>
                <w:rFonts w:ascii="Arial" w:cs="Arial" w:eastAsia="Arial" w:hAnsi="Arial"/>
                <w:sz w:val="18"/>
                <w:szCs w:val="18"/>
                <w:color w:val="auto"/>
              </w:rPr>
              <w:t>(54.2 )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4"/>
                <w:shd w:val="clear" w:color="auto" w:fill="CCECFF"/>
              </w:rPr>
              <w:t>%</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CCECFF"/>
            </w:tcBorders>
            <w:shd w:val="clear" w:color="auto" w:fill="CFF0FC"/>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28,987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(14,393 )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(49.7 )</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2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-4091940</wp:posOffset>
            </wp:positionV>
            <wp:extent cx="768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-4091940</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-4091940</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-4091940</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-2533650</wp:posOffset>
            </wp:positionV>
            <wp:extent cx="768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-2533650</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-2533650</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-2533650</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-2208530</wp:posOffset>
            </wp:positionV>
            <wp:extent cx="7683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-2208530</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-2208530</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-2208530</wp:posOffset>
            </wp:positionV>
            <wp:extent cx="685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-1467485</wp:posOffset>
            </wp:positionV>
            <wp:extent cx="3759200" cy="320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59200" cy="32067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-684530</wp:posOffset>
            </wp:positionV>
            <wp:extent cx="7683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-684530</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-684530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6940550</wp:posOffset>
            </wp:positionH>
            <wp:positionV relativeFrom="paragraph">
              <wp:posOffset>-684530</wp:posOffset>
            </wp:positionV>
            <wp:extent cx="685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5"/>
          </w:tcPr>
          <w:p>
            <w:pPr>
              <w:jc w:val="center"/>
              <w:ind w:left="494"/>
              <w:spacing w:after="0"/>
              <w:rPr>
                <w:sz w:val="20"/>
                <w:szCs w:val="20"/>
                <w:color w:val="auto"/>
              </w:rPr>
            </w:pPr>
            <w:r>
              <w:rPr>
                <w:rFonts w:ascii="Arial" w:cs="Arial" w:eastAsia="Arial" w:hAnsi="Arial"/>
                <w:sz w:val="14"/>
                <w:szCs w:val="14"/>
                <w:b w:val="1"/>
                <w:bCs w:val="1"/>
                <w:color w:val="auto"/>
                <w:w w:val="92"/>
              </w:rPr>
              <w:t>Year-Ended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left="494"/>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7"/>
          </w:tcPr>
          <w:p>
            <w:pPr>
              <w:jc w:val="center"/>
              <w:ind w:right="390"/>
              <w:spacing w:after="0"/>
              <w:rPr>
                <w:sz w:val="20"/>
                <w:szCs w:val="20"/>
                <w:color w:val="auto"/>
              </w:rPr>
            </w:pPr>
            <w:r>
              <w:rPr>
                <w:rFonts w:ascii="Arial" w:cs="Arial" w:eastAsia="Arial" w:hAnsi="Arial"/>
                <w:sz w:val="14"/>
                <w:szCs w:val="14"/>
                <w:color w:val="auto"/>
                <w:w w:val="90"/>
              </w:rPr>
              <w:t>(in thousands, except percentages)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left w:val="single" w:sz="8" w:color="CCECFF"/>
            </w:tcBorders>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CFF"/>
          </w:tcPr>
          <w:p>
            <w:pPr>
              <w:spacing w:after="0"/>
              <w:rPr>
                <w:sz w:val="21"/>
                <w:szCs w:val="21"/>
                <w:color w:val="auto"/>
              </w:rPr>
            </w:pPr>
          </w:p>
        </w:tc>
        <w:tc>
          <w:tcPr>
            <w:tcW w:w="2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left w:val="single" w:sz="8" w:color="CCECFF"/>
            </w:tcBorders>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Sales and distribution</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left w:val="single" w:sz="8" w:color="CCECFF"/>
            </w:tcBorders>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left w:val="single" w:sz="8" w:color="CCECFF"/>
            </w:tcBorders>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Impairment loss on goodwill</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Impairment loss on intangibles</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2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Settlement of a contingent earn-out liability</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5"/>
              </w:rPr>
              <w:t>Change in fair value of contingent earn-out liabilities</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2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(12.3 )</w:t>
            </w: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(2.4 )</w:t>
            </w:r>
          </w:p>
        </w:tc>
        <w:tc>
          <w:tcPr>
            <w:tcW w:w="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CFF0FC"/>
            </w:tcBorders>
          </w:tcPr>
          <w:p>
            <w:pPr>
              <w:spacing w:after="0"/>
              <w:rPr>
                <w:sz w:val="20"/>
                <w:szCs w:val="20"/>
                <w:color w:val="auto"/>
              </w:rPr>
            </w:pPr>
          </w:p>
        </w:tc>
        <w:tc>
          <w:tcPr>
            <w:tcW w:w="980" w:type="dxa"/>
            <w:vAlign w:val="bottom"/>
            <w:tcBorders>
              <w:top w:val="single" w:sz="8" w:color="CFF0FC"/>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440" w:type="dxa"/>
            <w:vAlign w:val="bottom"/>
            <w:tcBorders>
              <w:top w:val="single" w:sz="8" w:color="CFF0FC"/>
            </w:tcBorders>
          </w:tcPr>
          <w:p>
            <w:pPr>
              <w:spacing w:after="0"/>
              <w:rPr>
                <w:sz w:val="20"/>
                <w:szCs w:val="20"/>
                <w:color w:val="auto"/>
              </w:rPr>
            </w:pPr>
          </w:p>
        </w:tc>
        <w:tc>
          <w:tcPr>
            <w:tcW w:w="10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top w:val="single" w:sz="8" w:color="CCECFF"/>
            </w:tcBorders>
          </w:tcPr>
          <w:p>
            <w:pPr>
              <w:spacing w:after="0"/>
              <w:rPr>
                <w:sz w:val="20"/>
                <w:szCs w:val="20"/>
                <w:color w:val="auto"/>
              </w:rPr>
            </w:pPr>
          </w:p>
        </w:tc>
        <w:tc>
          <w:tcPr>
            <w:tcW w:w="40" w:type="dxa"/>
            <w:vAlign w:val="bottom"/>
            <w:tcBorders>
              <w:top w:val="single" w:sz="8" w:color="CCECFF"/>
            </w:tcBorders>
          </w:tcPr>
          <w:p>
            <w:pPr>
              <w:spacing w:after="0"/>
              <w:rPr>
                <w:sz w:val="20"/>
                <w:szCs w:val="20"/>
                <w:color w:val="auto"/>
              </w:rPr>
            </w:pPr>
          </w:p>
        </w:tc>
        <w:tc>
          <w:tcPr>
            <w:tcW w:w="240" w:type="dxa"/>
            <w:vAlign w:val="bottom"/>
            <w:tcBorders>
              <w:top w:val="single" w:sz="8" w:color="CCEC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Borders>
              <w:top w:val="single" w:sz="8" w:color="CCECFF"/>
            </w:tcBorders>
          </w:tcPr>
          <w:p>
            <w:pPr>
              <w:spacing w:after="0"/>
              <w:rPr>
                <w:sz w:val="20"/>
                <w:szCs w:val="20"/>
                <w:color w:val="auto"/>
              </w:rPr>
            </w:pPr>
          </w:p>
        </w:tc>
        <w:tc>
          <w:tcPr>
            <w:tcW w:w="40" w:type="dxa"/>
            <w:vAlign w:val="bottom"/>
            <w:tcBorders>
              <w:top w:val="single" w:sz="8" w:color="CCECFF"/>
            </w:tcBorders>
          </w:tcPr>
          <w:p>
            <w:pPr>
              <w:spacing w:after="0"/>
              <w:rPr>
                <w:sz w:val="20"/>
                <w:szCs w:val="20"/>
                <w:color w:val="auto"/>
              </w:rPr>
            </w:pPr>
          </w:p>
        </w:tc>
        <w:tc>
          <w:tcPr>
            <w:tcW w:w="160" w:type="dxa"/>
            <w:vAlign w:val="bottom"/>
            <w:tcBorders>
              <w:top w:val="single" w:sz="8" w:color="CCECFF"/>
            </w:tcBorders>
          </w:tcPr>
          <w:p>
            <w:pPr>
              <w:spacing w:after="0"/>
              <w:rPr>
                <w:sz w:val="20"/>
                <w:szCs w:val="20"/>
                <w:color w:val="auto"/>
              </w:rPr>
            </w:pPr>
          </w:p>
        </w:tc>
        <w:tc>
          <w:tcPr>
            <w:tcW w:w="26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left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INTEREST EXPENSE—net</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8"/>
              </w:rPr>
              <w:t>GAIN ON EXTINGUISHMENT OF SELLER NOTE</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2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(0.9 )</w:t>
            </w:r>
          </w:p>
        </w:tc>
        <w:tc>
          <w:tcPr>
            <w:tcW w:w="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LOSS ON INITIAL ISSUANCE OF EQUITY</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left w:val="single" w:sz="8" w:color="CCECFF"/>
            </w:tcBorders>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LOSS ON EXTINGUISHMENT OF DEBT</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left w:val="single" w:sz="8" w:color="CCECFF"/>
            </w:tcBorders>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(0.2 )</w:t>
            </w:r>
          </w:p>
        </w:tc>
        <w:tc>
          <w:tcPr>
            <w:tcW w:w="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LOSS ON INITIAL ISSUANCE OF WARRANTS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EXPENSE (INCOME)—net</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2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(0.1 )</w:t>
            </w:r>
          </w:p>
        </w:tc>
        <w:tc>
          <w:tcPr>
            <w:tcW w:w="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(95.0 )</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(88.9 )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left w:val="single" w:sz="8" w:color="CCECFF"/>
            </w:tcBorders>
            <w:shd w:val="clear" w:color="auto" w:fill="CCECFF"/>
          </w:tcPr>
          <w:p>
            <w:pPr>
              <w:spacing w:after="0"/>
              <w:rPr>
                <w:sz w:val="21"/>
                <w:szCs w:val="21"/>
                <w:color w:val="auto"/>
              </w:rPr>
            </w:pPr>
          </w:p>
        </w:tc>
        <w:tc>
          <w:tcPr>
            <w:tcW w:w="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(0.2 )</w:t>
            </w:r>
          </w:p>
        </w:tc>
        <w:tc>
          <w:tcPr>
            <w:tcW w:w="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CFF"/>
          </w:tcPr>
          <w:p>
            <w:pPr>
              <w:spacing w:after="0" w:line="20" w:lineRule="exact"/>
              <w:rPr>
                <w:sz w:val="1"/>
                <w:szCs w:val="1"/>
                <w:color w:val="auto"/>
              </w:rPr>
            </w:pPr>
          </w:p>
        </w:tc>
        <w:tc>
          <w:tcPr>
            <w:tcW w:w="4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4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gridSpan w:val="4"/>
          </w:tcPr>
          <w:p>
            <w:pPr>
              <w:jc w:val="right"/>
              <w:spacing w:after="0" w:line="242" w:lineRule="exact"/>
              <w:rPr>
                <w:sz w:val="20"/>
                <w:szCs w:val="20"/>
                <w:color w:val="auto"/>
              </w:rPr>
            </w:pPr>
            <w:r>
              <w:rPr>
                <w:rFonts w:ascii="Arial" w:cs="Arial" w:eastAsia="Arial" w:hAnsi="Arial"/>
                <w:sz w:val="15"/>
                <w:szCs w:val="15"/>
                <w:color w:val="auto"/>
              </w:rPr>
              <w:t xml:space="preserve">(95.3 ) </w:t>
            </w:r>
            <w:r>
              <w:rPr>
                <w:rFonts w:ascii="Arial" w:cs="Arial" w:eastAsia="Arial" w:hAnsi="Arial"/>
                <w:sz w:val="28"/>
                <w:szCs w:val="28"/>
                <w:color w:val="auto"/>
                <w:vertAlign w:val="subscript"/>
              </w:rPr>
              <w:t>%</w:t>
            </w:r>
          </w:p>
        </w:tc>
        <w:tc>
          <w:tcPr>
            <w:tcW w:w="260" w:type="dxa"/>
            <w:vAlign w:val="bottom"/>
          </w:tcPr>
          <w:p>
            <w:pPr>
              <w:spacing w:after="0"/>
              <w:rPr>
                <w:sz w:val="21"/>
                <w:szCs w:val="21"/>
                <w:color w:val="auto"/>
              </w:rPr>
            </w:pPr>
          </w:p>
        </w:tc>
        <w:tc>
          <w:tcPr>
            <w:tcW w:w="1240" w:type="dxa"/>
            <w:vAlign w:val="bottom"/>
            <w:gridSpan w:val="4"/>
          </w:tcPr>
          <w:p>
            <w:pPr>
              <w:jc w:val="right"/>
              <w:spacing w:after="0" w:line="242" w:lineRule="exact"/>
              <w:rPr>
                <w:sz w:val="20"/>
                <w:szCs w:val="20"/>
                <w:color w:val="auto"/>
              </w:rPr>
            </w:pPr>
            <w:r>
              <w:rPr>
                <w:rFonts w:ascii="Arial" w:cs="Arial" w:eastAsia="Arial" w:hAnsi="Arial"/>
                <w:sz w:val="15"/>
                <w:szCs w:val="15"/>
                <w:color w:val="auto"/>
              </w:rPr>
              <w:t xml:space="preserve">(88.7 ) </w:t>
            </w:r>
            <w:r>
              <w:rPr>
                <w:rFonts w:ascii="Arial" w:cs="Arial" w:eastAsia="Arial" w:hAnsi="Arial"/>
                <w:sz w:val="28"/>
                <w:szCs w:val="28"/>
                <w:color w:val="auto"/>
                <w:vertAlign w:val="subscript"/>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Revenue</w:t>
            </w: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6220" w:type="dxa"/>
            <w:vAlign w:val="bottom"/>
            <w:gridSpan w:val="6"/>
          </w:tcPr>
          <w:p>
            <w:pPr>
              <w:spacing w:after="0"/>
              <w:rPr>
                <w:sz w:val="20"/>
                <w:szCs w:val="20"/>
                <w:color w:val="auto"/>
              </w:rPr>
            </w:pPr>
            <w:r>
              <w:rPr>
                <w:rFonts w:ascii="Arial" w:cs="Arial" w:eastAsia="Arial" w:hAnsi="Arial"/>
                <w:sz w:val="18"/>
                <w:szCs w:val="18"/>
                <w:color w:val="auto"/>
                <w:w w:val="93"/>
              </w:rPr>
              <w:t>The following table sets forth our net revenue disaggregated by product categories: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2"/>
              </w:rPr>
              <w:t>Year-Ended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5"/>
            <w:vMerge w:val="restart"/>
          </w:tcPr>
          <w:p>
            <w:pPr>
              <w:ind w:left="106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20" w:type="dxa"/>
            <w:vAlign w:val="bottom"/>
            <w:gridSpan w:val="8"/>
          </w:tcPr>
          <w:p>
            <w:pPr>
              <w:jc w:val="right"/>
              <w:ind w:right="840"/>
              <w:spacing w:after="0"/>
              <w:rPr>
                <w:sz w:val="20"/>
                <w:szCs w:val="20"/>
                <w:color w:val="auto"/>
              </w:rPr>
            </w:pPr>
            <w:r>
              <w:rPr>
                <w:rFonts w:ascii="Arial" w:cs="Arial" w:eastAsia="Arial" w:hAnsi="Arial"/>
                <w:sz w:val="14"/>
                <w:szCs w:val="14"/>
                <w:color w:val="auto"/>
                <w:w w:val="98"/>
              </w:rPr>
              <w:t>(in thousands, except percentages)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Direct</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235,817</w:t>
            </w:r>
          </w:p>
        </w:tc>
        <w:tc>
          <w:tcPr>
            <w:tcW w:w="7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214,168</w:t>
            </w:r>
          </w:p>
        </w:tc>
        <w:tc>
          <w:tcPr>
            <w:tcW w:w="100" w:type="dxa"/>
            <w:vAlign w:val="bottom"/>
            <w:shd w:val="clear" w:color="auto" w:fill="CFF0FC"/>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38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(21,649 )</w:t>
            </w:r>
          </w:p>
        </w:tc>
        <w:tc>
          <w:tcPr>
            <w:tcW w:w="4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40" w:type="dxa"/>
            <w:vAlign w:val="bottom"/>
            <w:gridSpan w:val="4"/>
            <w:shd w:val="clear" w:color="auto" w:fill="CCECFF"/>
          </w:tcPr>
          <w:p>
            <w:pPr>
              <w:jc w:val="right"/>
              <w:ind w:right="80"/>
              <w:spacing w:after="0"/>
              <w:rPr>
                <w:sz w:val="20"/>
                <w:szCs w:val="20"/>
                <w:color w:val="auto"/>
              </w:rPr>
            </w:pPr>
            <w:r>
              <w:rPr>
                <w:rFonts w:ascii="Arial" w:cs="Arial" w:eastAsia="Arial" w:hAnsi="Arial"/>
                <w:sz w:val="18"/>
                <w:szCs w:val="18"/>
                <w:color w:val="auto"/>
              </w:rPr>
              <w:t>(9.2 )</w:t>
            </w:r>
          </w:p>
        </w:tc>
        <w:tc>
          <w:tcPr>
            <w:tcW w:w="26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Wholesale</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11,950</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(4,948 )</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(41.4 )</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247,767</w:t>
            </w:r>
          </w:p>
        </w:tc>
        <w:tc>
          <w:tcPr>
            <w:tcW w:w="3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221,170</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CECFF"/>
            </w:tcBorders>
            <w:shd w:val="clear" w:color="auto" w:fill="CCECFF"/>
          </w:tcPr>
          <w:p>
            <w:pPr>
              <w:spacing w:after="0"/>
              <w:rPr>
                <w:sz w:val="24"/>
                <w:szCs w:val="24"/>
                <w:color w:val="auto"/>
              </w:rPr>
            </w:pPr>
          </w:p>
        </w:tc>
        <w:tc>
          <w:tcPr>
            <w:tcW w:w="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(26,597</w:t>
            </w:r>
          </w:p>
        </w:tc>
        <w:tc>
          <w:tcPr>
            <w:tcW w:w="100" w:type="dxa"/>
            <w:vAlign w:val="bottom"/>
            <w:tcBorders>
              <w:left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CCECFF"/>
            </w:tcBorders>
            <w:shd w:val="clear" w:color="auto" w:fill="CCECFF"/>
          </w:tcPr>
          <w:p>
            <w:pPr>
              <w:spacing w:after="0"/>
              <w:rPr>
                <w:sz w:val="24"/>
                <w:szCs w:val="24"/>
                <w:color w:val="auto"/>
              </w:rPr>
            </w:pPr>
          </w:p>
        </w:tc>
        <w:tc>
          <w:tcPr>
            <w:tcW w:w="1240" w:type="dxa"/>
            <w:vAlign w:val="bottom"/>
            <w:tcBorders>
              <w:bottom w:val="single" w:sz="8" w:color="CCECFF"/>
            </w:tcBorders>
            <w:gridSpan w:val="4"/>
            <w:shd w:val="clear" w:color="auto" w:fill="CCECFF"/>
          </w:tcPr>
          <w:p>
            <w:pPr>
              <w:jc w:val="right"/>
              <w:ind w:right="80"/>
              <w:spacing w:after="0"/>
              <w:rPr>
                <w:sz w:val="20"/>
                <w:szCs w:val="20"/>
                <w:color w:val="auto"/>
              </w:rPr>
            </w:pPr>
            <w:r>
              <w:rPr>
                <w:rFonts w:ascii="Arial" w:cs="Arial" w:eastAsia="Arial" w:hAnsi="Arial"/>
                <w:sz w:val="18"/>
                <w:szCs w:val="18"/>
                <w:color w:val="auto"/>
              </w:rPr>
              <w:t>(10.7 )</w:t>
            </w:r>
          </w:p>
        </w:tc>
        <w:tc>
          <w:tcPr>
            <w:tcW w:w="260" w:type="dxa"/>
            <w:vAlign w:val="bottom"/>
            <w:tcBorders>
              <w:bottom w:val="single" w:sz="8" w:color="CCECFF"/>
            </w:tcBorders>
            <w:shd w:val="clear" w:color="auto" w:fill="CCEC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628"/>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-4443095</wp:posOffset>
            </wp:positionV>
            <wp:extent cx="685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-4443095</wp:posOffset>
            </wp:positionV>
            <wp:extent cx="685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-2576830</wp:posOffset>
            </wp:positionV>
            <wp:extent cx="6858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-2576830</wp:posOffset>
            </wp:positionV>
            <wp:extent cx="685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-521970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-504825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-521970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-504825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-521970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-504825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both"/>
        <w:spacing w:after="0" w:line="291" w:lineRule="auto"/>
        <w:rPr>
          <w:sz w:val="20"/>
          <w:szCs w:val="20"/>
          <w:color w:val="auto"/>
        </w:rPr>
      </w:pPr>
      <w:r>
        <w:rPr>
          <w:rFonts w:ascii="Arial" w:cs="Arial" w:eastAsia="Arial" w:hAnsi="Arial"/>
          <w:sz w:val="16"/>
          <w:szCs w:val="16"/>
          <w:color w:val="auto"/>
        </w:rPr>
        <w:t>Net revenue decreased $26.6 million, or 10.7%, during the year-ended December 31, 2022 to $221.2 million, compared to $247.8 million for the year-ended December 31, 2021. The decrease in net revenue was primarily attributable to a decrease in direct net revenue of $21.6 million, or a 9.2% decrease. This was primarily due to softness in consumer demand partially offset by liquidation of higher priced excess inventory. Direct net revenue consists of both organic net revenue and net revenue from our mergers and acquisitions (“M&amp;A”). For the year-ended December 31, 2022, organic revenue was $201.9 million and revenue from our M&amp;A businesses was $11.5 million. For the year-ended December 31, 2021, organic revenue was $118.4 million and revenue from our M&amp;A businesses was $120.9 million. Our organic revenue increased by $83.5 million, or 70.5%, during the year-ended December 31, 2022, as compared to the year-ended December 31, 2021 as M&amp;A net revenue has moved into organic net revenue after one year from purchase.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saw a decrease in wholesale revenue of $5.0 million versus the prior year, primarily from a decrease in the sale of personal protective equipment (“PPE”) in the year-ended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2"/>
              </w:rPr>
              <w:t>Year-Ended December 31,</w:t>
            </w:r>
          </w:p>
        </w:tc>
        <w:tc>
          <w:tcPr>
            <w:tcW w:w="102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4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(in</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w w:val="77"/>
              </w:rPr>
              <w:t>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Heating, cooling and air quality</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73,685</w:t>
            </w:r>
          </w:p>
        </w:tc>
        <w:tc>
          <w:tcPr>
            <w:tcW w:w="9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Kitchen appliances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43,180</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Health and beauty</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15,579</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Personal protective equipment</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6,073</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Cookware, kitchen tools and gadgets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22,933</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Home office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12,352</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Housewares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33,951</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Essential oils and related accessories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27,444</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12,570</w:t>
            </w:r>
          </w:p>
        </w:tc>
        <w:tc>
          <w:tcPr>
            <w:tcW w:w="2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247,767</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-187960</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Heating, cooling and air quality accounted for $67.8 million in net revenue for the year-ended December 31, 2022 compared to $73.7 million for the year-ended December 31, 2021. This decrease was primarily driven by reduced sales volume, which we attribute to reduced consumer demand from inflationary pressure on consumer spending and increased sales prices due to global supply chain disruptions offset by liquidation of higher priced inventory.</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Kitchen appliances accounted for $40.6 million in net revenue for the year-ended December 31, 2022 compared to $43.2 million in net revenue for the corresponding period in 2021, a decrease of $2.6 million. This decrease was primarily driven by reduced sales volume, which we attribute to reduced consumer demand from inflationary pressure on consumer spending, increased sales prices due to global supply chain disruption which has reduced our sales velocity offset by liquidation of higher priced inventory.</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Health and beauty accounted for $17.5 million in net revenue for the year-ended December 31, 2022 compared to $15.6 million in net revenue for the corresponding period in 2021, an increase of $1.9 million. The increase is primarily attributable to new products obtained through M&amp;A partially offset by reduced consumer demand.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Cookware, kitchen tools and gadgets accounted for $19.5 million in net revenue for the year-ended December 31, 2022 compared to $22.9 million in net revenue for the year-ended December 31, 2021. The decrease of $3.4 million is driven by reduced sales volume, which we attribute to reduced consumer demand from inflationary pressures on consumer spending, increased sales prices due to global supply chain disruption which has reduced our sales velocity offset by liquidation of higher priced inventory.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Housewares accounted for $33.0 million in net revenue for the year-ended December 31, 2022 compared to $34.0 in net revenue for the year-ended December 31, 2021. The decrease in revenue of $1.0 million is primarily attributable to reduced consumer demand partially offset by new products obtained through acquisitions.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Essential oils and related accessories accounted for $23.6 million in net revenue for year-ended December 31, 2022 compared to $27.4 million in net revenue for the year-ended December 31, 2021. The decrease in net revenue of $3.8 million is primarily driven by reduced sales volume, which we attribute to reduced consumer demand for inflationary pressure on consumer spending, increased sales prices due to global supply disruptions and inventory shorts due to manufacturing delays.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Year-Ended December 31,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3"/>
        </w:trPr>
        <w:tc>
          <w:tcPr>
            <w:tcW w:w="5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6"/>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4"/>
                <w:szCs w:val="14"/>
                <w:color w:val="auto"/>
              </w:rPr>
              <w:t>(in thousands, except percentages)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125,904</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115,652</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(10,252 )</w:t>
            </w:r>
          </w:p>
        </w:tc>
        <w:tc>
          <w:tcPr>
            <w:tcW w:w="3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(8.1 )</w:t>
            </w:r>
          </w:p>
        </w:tc>
        <w:tc>
          <w:tcPr>
            <w:tcW w:w="180" w:type="dxa"/>
            <w:vAlign w:val="bottom"/>
            <w:shd w:val="clear" w:color="auto" w:fill="CCECFF"/>
          </w:tcPr>
          <w:p>
            <w:pPr>
              <w:jc w:val="right"/>
              <w:spacing w:after="0"/>
              <w:rPr>
                <w:sz w:val="20"/>
                <w:szCs w:val="20"/>
                <w:color w:val="auto"/>
              </w:rPr>
            </w:pPr>
            <w:r>
              <w:rPr>
                <w:rFonts w:ascii="Arial" w:cs="Arial" w:eastAsia="Arial" w:hAnsi="Arial"/>
                <w:sz w:val="20"/>
                <w:szCs w:val="20"/>
                <w:color w:val="auto"/>
                <w:w w:val="89"/>
                <w:shd w:val="clear" w:color="auto" w:fill="CCECFF"/>
              </w:rPr>
              <w:t>%</w:t>
            </w:r>
          </w:p>
        </w:tc>
      </w:tr>
      <w:tr>
        <w:trPr>
          <w:trHeight w:val="247"/>
        </w:trPr>
        <w:tc>
          <w:tcPr>
            <w:tcW w:w="52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121,863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105,518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(16,345 )</w:t>
            </w:r>
          </w:p>
        </w:tc>
        <w:tc>
          <w:tcPr>
            <w:tcW w:w="3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(13.4 )</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r>
    </w:tbl>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goods sold decreased by $10.3 million from $125.9 million for the year-ended December 20, 2021 to $115.7 million for the year-ended December 21, 2022 primarily from reduced sales volume. The decrease in cost of goods sold is primarily attributable to the decrease of $45.5 million in cost of goods sold from our acquired businesses, as acquisitions move into organic after one year of purchase, partially offset by an increase in cost of goods sold of $29.5 million from our organic businesses.</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decreased from 49.2% for the year-ended December 31, 2021 to 47.7% for the year-ended December 31, 2022. The decrease in gross profit is primarily attributable to the impact of increased costs of supply chain and liquidation of high priced excess inventory. This is partially offset by product mix as our net revenue increased from our M&amp;A businesses, which have higher gross margin than our organic business gross margin. The majority of our M&amp;A businesses' net revenue tends to be from smaller products that have higher gross margins versus our organic business' net revenue, which tend to be oversized goods with lower gross margin. We expect to see impacts in our gross margin for the first half of 2023 due to our expectation of continued liquidation of high priced excess inventory partially offset by improving shipping container rates.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w w:val="97"/>
              </w:rPr>
              <w:t>Year-Ended December 31,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3"/>
        </w:trPr>
        <w:tc>
          <w:tcPr>
            <w:tcW w:w="5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6"/>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20"/>
              <w:spacing w:after="0"/>
              <w:rPr>
                <w:sz w:val="20"/>
                <w:szCs w:val="20"/>
                <w:color w:val="auto"/>
              </w:rPr>
            </w:pPr>
            <w:r>
              <w:rPr>
                <w:rFonts w:ascii="Arial" w:cs="Arial" w:eastAsia="Arial" w:hAnsi="Arial"/>
                <w:sz w:val="14"/>
                <w:szCs w:val="14"/>
                <w:color w:val="auto"/>
              </w:rPr>
              <w:t>(in thousands, except percentages)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127,369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121,139</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(6,230 )</w:t>
            </w:r>
          </w:p>
        </w:tc>
        <w:tc>
          <w:tcPr>
            <w:tcW w:w="3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(4.9 )</w:t>
            </w:r>
          </w:p>
        </w:tc>
        <w:tc>
          <w:tcPr>
            <w:tcW w:w="28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87"/>
              </w:rPr>
              <w:t>%</w:t>
            </w:r>
          </w:p>
        </w:tc>
      </w:tr>
    </w:tbl>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and distribution expenses which included e-commerce platform commissions, online advertising and logistics expenses (i.e., variable sales and distribution expense), decreased to $121.1 million for the year-ended December 31, 2022 from $127.4 million for the year-ended December 31, 2021. Although net revenue decreased year over year, our e-commerce platform commissions, online advertising, selling and logistics expenses were flat at $103.3 million for the year-ended December 31, 2022 and December 31, 2021. This is attributable to higher storage costs and fulfillment costs due to fuel surcharges, an increase in Amazon fees, and marketing investments in certain businesses.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sales and distribution fixed costs (e.g., salary and office expenses) decreased to $17.9 million for the year-ended December 31, 2022 from $24.1 million for the year-ended December 31, 2021 primarily due to approximately $4.1 million of bad debt reserve from our dispute with a certain PPE supplier which was recorded during the year-ended December 2021 and did not recur in 2022. Sales and distribution expenses for the year-ended December 31, 2022 included a decrease in stock-based compensation expense of $1.8 million.</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percentage of net revenue, sales and distribution expenses increased to 54.8% for the year-ended December 31, 2022 from 51.4% for the year-ended December 31, 2021. E-commerce platform commissions, online advertising, selling and logistic expenses included within sales and distribution expenses, as a percentage of net revenue, were 46.7% for the year-ended December 31, 2022 compared to 41.7% for the year-ended December 31, 2021. This rate increase is primarily attributable to product mix, an increase in storage costs, an increase in e-commerce platform service provider fulfillment fees, and an increase in last mile shipping costs, specifically for oversized goods, due to the demand on those third party providers' delivery network.</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w w:val="98"/>
              </w:rPr>
              <w:t>Year-Ended December 31,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9"/>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(in</w:t>
            </w:r>
          </w:p>
        </w:tc>
        <w:tc>
          <w:tcPr>
            <w:tcW w:w="1280" w:type="dxa"/>
            <w:vAlign w:val="bottom"/>
            <w:gridSpan w:val="3"/>
          </w:tcPr>
          <w:p>
            <w:pPr>
              <w:jc w:val="right"/>
              <w:ind w:right="139"/>
              <w:spacing w:after="0"/>
              <w:rPr>
                <w:sz w:val="20"/>
                <w:szCs w:val="20"/>
                <w:color w:val="auto"/>
              </w:rPr>
            </w:pPr>
            <w:r>
              <w:rPr>
                <w:rFonts w:ascii="Arial" w:cs="Arial" w:eastAsia="Arial" w:hAnsi="Arial"/>
                <w:sz w:val="14"/>
                <w:szCs w:val="14"/>
                <w:color w:val="auto"/>
                <w:w w:val="91"/>
              </w:rPr>
              <w:t>thousands, except</w:t>
            </w:r>
          </w:p>
        </w:tc>
        <w:tc>
          <w:tcPr>
            <w:tcW w:w="1200" w:type="dxa"/>
            <w:vAlign w:val="bottom"/>
            <w:gridSpan w:val="3"/>
          </w:tcPr>
          <w:p>
            <w:pPr>
              <w:jc w:val="center"/>
              <w:ind w:right="582"/>
              <w:spacing w:after="0"/>
              <w:rPr>
                <w:sz w:val="20"/>
                <w:szCs w:val="20"/>
                <w:color w:val="auto"/>
              </w:rPr>
            </w:pPr>
            <w:r>
              <w:rPr>
                <w:rFonts w:ascii="Arial" w:cs="Arial" w:eastAsia="Arial" w:hAnsi="Arial"/>
                <w:sz w:val="13"/>
                <w:szCs w:val="13"/>
                <w:color w:val="auto"/>
                <w:w w:val="71"/>
              </w:rPr>
              <w:t>percentages)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4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9,837</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6,012</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(3,825 )</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(38.9 )</w:t>
            </w:r>
          </w:p>
        </w:tc>
        <w:tc>
          <w:tcPr>
            <w:tcW w:w="3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87"/>
              </w:rPr>
              <w:t>%</w:t>
            </w:r>
          </w:p>
        </w:tc>
      </w:tr>
    </w:tbl>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research and development expenses was primarily attributable to a decrease in stock-based compensation expense of approximately $3.5 million.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w w:val="98"/>
              </w:rPr>
              <w:t>Year-Ended December 31,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(in</w:t>
            </w:r>
          </w:p>
        </w:tc>
        <w:tc>
          <w:tcPr>
            <w:tcW w:w="2980" w:type="dxa"/>
            <w:vAlign w:val="bottom"/>
            <w:gridSpan w:val="8"/>
          </w:tcPr>
          <w:p>
            <w:pPr>
              <w:ind w:left="40"/>
              <w:spacing w:after="0"/>
              <w:rPr>
                <w:sz w:val="20"/>
                <w:szCs w:val="20"/>
                <w:color w:val="auto"/>
              </w:rPr>
            </w:pPr>
            <w:r>
              <w:rPr>
                <w:rFonts w:ascii="Arial" w:cs="Arial" w:eastAsia="Arial" w:hAnsi="Arial"/>
                <w:sz w:val="14"/>
                <w:szCs w:val="14"/>
                <w:color w:val="auto"/>
              </w:rPr>
              <w:t>thousands, except percentages)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4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45,099</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(6,860 )</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(15.2 )</w:t>
            </w:r>
          </w:p>
        </w:tc>
        <w:tc>
          <w:tcPr>
            <w:tcW w:w="2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shd w:val="clear" w:color="auto" w:fill="CCECFF"/>
              </w:rPr>
              <w:t>%</w:t>
            </w:r>
          </w:p>
        </w:tc>
      </w:tr>
    </w:tbl>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general and administrative expenses was primarily due to a decrease in stock-based compensation expense of $9.2 million partially offset by an increase of $2.6 million related to legal settlement fees (See note 12 of Consolidated Financial Statements in this annual report on form 10-K) and $1.7 million in inventory donations.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 on Goodwill</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660" w:type="dxa"/>
            <w:vAlign w:val="bottom"/>
            <w:gridSpan w:val="7"/>
          </w:tcPr>
          <w:p>
            <w:pPr>
              <w:ind w:left="340"/>
              <w:spacing w:after="0"/>
              <w:rPr>
                <w:sz w:val="20"/>
                <w:szCs w:val="20"/>
                <w:color w:val="auto"/>
              </w:rPr>
            </w:pPr>
            <w:r>
              <w:rPr>
                <w:rFonts w:ascii="Arial" w:cs="Arial" w:eastAsia="Arial" w:hAnsi="Arial"/>
                <w:sz w:val="14"/>
                <w:szCs w:val="14"/>
                <w:b w:val="1"/>
                <w:bCs w:val="1"/>
                <w:color w:val="auto"/>
              </w:rPr>
              <w:t>Year-Ended December 31,</w:t>
            </w: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740" w:type="dxa"/>
            <w:vAlign w:val="bottom"/>
            <w:tcBorders>
              <w:top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0"/>
                <w:szCs w:val="20"/>
                <w:color w:val="auto"/>
              </w:rPr>
            </w:pPr>
            <w:r>
              <w:rPr>
                <w:rFonts w:ascii="Arial" w:cs="Arial" w:eastAsia="Arial" w:hAnsi="Arial"/>
                <w:sz w:val="8"/>
                <w:szCs w:val="8"/>
                <w:color w:val="auto"/>
                <w:w w:val="76"/>
              </w:rPr>
              <w:t>except</w:t>
            </w: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percentages)</w:t>
            </w: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jc w:val="right"/>
              <w:ind w:right="56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w w:val="97"/>
              </w:rPr>
              <w:t>(120,409 )  $</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(120,409 )</w:t>
            </w:r>
          </w:p>
        </w:tc>
        <w:tc>
          <w:tcPr>
            <w:tcW w:w="3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shd w:val="clear" w:color="auto" w:fill="CCECFF"/>
              </w:rPr>
              <w:t>%</w:t>
            </w:r>
          </w:p>
        </w:tc>
      </w:tr>
    </w:tbl>
    <w:p>
      <w:pPr>
        <w:spacing w:after="0" w:line="20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evaluated current economic conditions during 2022,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during 2022. Accordingly, we concluded a triggering event had occurred and performed interim goodwill impairment analyses during the three months ended March 31, 2022 and September 30, 2022 which resulted in impairment charges of $29.0 million and $90.9 million, respectively. There was no remaining goodwill on the balance sheet as of September 30, 2022.</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2022, the Company acquired Step and Go, a brand in the health and wellness category, for $0.7 million. As part of the purchase price allocation of the acquisition, $0.5 million was attributed to goodwill. As our market capitalization was further reduced below net assets as of December 31, 2022, an impairment loss on goodwill of $0.5 million was recorded for the three months ended December 31, 2022, which is included in impairment loss on goodwill in the Consolidated Statement of Operations for the year-ended December 31, 2022.</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these analyses, we recorded a total goodwill impairment charge of approximately $120.4 million for the year-ended December 31,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 on Intangibles</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04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Year-Ended December 31,</w:t>
            </w:r>
          </w:p>
        </w:tc>
        <w:tc>
          <w:tcPr>
            <w:tcW w:w="136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gridSpan w:val="6"/>
          </w:tcPr>
          <w:p>
            <w:pPr>
              <w:jc w:val="right"/>
              <w:ind w:right="20"/>
              <w:spacing w:after="0"/>
              <w:rPr>
                <w:sz w:val="20"/>
                <w:szCs w:val="20"/>
                <w:color w:val="auto"/>
              </w:rPr>
            </w:pPr>
            <w:r>
              <w:rPr>
                <w:rFonts w:ascii="Arial" w:cs="Arial" w:eastAsia="Arial" w:hAnsi="Arial"/>
                <w:sz w:val="14"/>
                <w:szCs w:val="14"/>
                <w:color w:val="auto"/>
              </w:rPr>
              <w:t>(in thousands, except percentages)</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4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Impairment loss on Intangibles</w:t>
            </w:r>
          </w:p>
        </w:tc>
        <w:tc>
          <w:tcPr>
            <w:tcW w:w="800" w:type="dxa"/>
            <w:vAlign w:val="bottom"/>
            <w:shd w:val="clear" w:color="auto" w:fill="CFF0FC"/>
          </w:tcPr>
          <w:p>
            <w:pPr>
              <w:jc w:val="right"/>
              <w:ind w:right="62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(3,118 )  $</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(3,118 )</w:t>
            </w:r>
          </w:p>
        </w:tc>
        <w:tc>
          <w:tcPr>
            <w:tcW w:w="3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(100.0 )</w:t>
            </w:r>
          </w:p>
        </w:tc>
        <w:tc>
          <w:tcPr>
            <w:tcW w:w="2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shd w:val="clear" w:color="auto" w:fill="CCECFF"/>
              </w:rPr>
              <w:t>%</w:t>
            </w:r>
          </w:p>
        </w:tc>
      </w:tr>
    </w:tbl>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Certain asset groups experienced a significant decrease in sales and contribution margin during 2022. This was considered an interim triggering event for the three months ended September 30, 2022. Based on the analysis of comparing the undiscounted cash flow to the carrying value of</w:t>
      </w:r>
    </w:p>
    <w:p>
      <w:pPr>
        <w:spacing w:after="0" w:line="1" w:lineRule="exact"/>
        <w:rPr>
          <w:sz w:val="20"/>
          <w:szCs w:val="20"/>
          <w:color w:val="auto"/>
        </w:rPr>
      </w:pPr>
    </w:p>
    <w:p>
      <w:pPr>
        <w:ind w:left="60" w:right="140"/>
        <w:spacing w:after="0" w:line="289" w:lineRule="auto"/>
        <w:rPr>
          <w:sz w:val="20"/>
          <w:szCs w:val="20"/>
          <w:color w:val="auto"/>
        </w:rPr>
      </w:pPr>
      <w:r>
        <w:rPr>
          <w:rFonts w:ascii="Arial" w:cs="Arial" w:eastAsia="Arial" w:hAnsi="Arial"/>
          <w:sz w:val="17"/>
          <w:szCs w:val="17"/>
          <w:color w:val="auto"/>
        </w:rPr>
        <w:t>the asset group, one group tested indicated that the assets may not be recoverable. For this asset group, we compared the fair value to the carrying amount of the asset group and recorded an intangible impairment charge of $3.1 million for the year-ended December 31, 2022.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 liabilities</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Year-Ended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(in</w:t>
            </w:r>
          </w:p>
        </w:tc>
        <w:tc>
          <w:tcPr>
            <w:tcW w:w="2960" w:type="dxa"/>
            <w:vAlign w:val="bottom"/>
            <w:gridSpan w:val="8"/>
          </w:tcPr>
          <w:p>
            <w:pPr>
              <w:ind w:left="20"/>
              <w:spacing w:after="0"/>
              <w:rPr>
                <w:sz w:val="20"/>
                <w:szCs w:val="20"/>
                <w:color w:val="auto"/>
              </w:rPr>
            </w:pPr>
            <w:r>
              <w:rPr>
                <w:rFonts w:ascii="Arial" w:cs="Arial" w:eastAsia="Arial" w:hAnsi="Arial"/>
                <w:sz w:val="14"/>
                <w:szCs w:val="14"/>
                <w:color w:val="auto"/>
              </w:rPr>
              <w:t>thousands, except percentages)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Settlement of a contingent earn-out liability</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(4,164 )</w:t>
            </w:r>
          </w:p>
        </w:tc>
        <w:tc>
          <w:tcPr>
            <w:tcW w:w="2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(100.0 )</w:t>
            </w:r>
          </w:p>
        </w:tc>
        <w:tc>
          <w:tcPr>
            <w:tcW w:w="22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8"/>
              <w:spacing w:after="0"/>
              <w:rPr>
                <w:sz w:val="20"/>
                <w:szCs w:val="20"/>
                <w:color w:val="auto"/>
              </w:rPr>
            </w:pPr>
            <w:r>
              <w:rPr>
                <w:rFonts w:ascii="Arial" w:cs="Arial" w:eastAsia="Arial" w:hAnsi="Arial"/>
                <w:sz w:val="18"/>
                <w:szCs w:val="18"/>
                <w:color w:val="auto"/>
              </w:rPr>
              <w:t>(30,529 )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(5,240 )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25,289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settlement of a contingent earn-out liability for the year-ended December 31, 2021 was due to the difference of fair value of the shares issued on the settlement date versus the fair value of the earn-out on the date of the settlement.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w w:val="98"/>
              </w:rPr>
              <w:t>Year-Ended December 31,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(in</w:t>
            </w:r>
          </w:p>
        </w:tc>
        <w:tc>
          <w:tcPr>
            <w:tcW w:w="2980" w:type="dxa"/>
            <w:vAlign w:val="bottom"/>
            <w:gridSpan w:val="8"/>
          </w:tcPr>
          <w:p>
            <w:pPr>
              <w:ind w:left="40"/>
              <w:spacing w:after="0"/>
              <w:rPr>
                <w:sz w:val="20"/>
                <w:szCs w:val="20"/>
                <w:color w:val="auto"/>
              </w:rPr>
            </w:pPr>
            <w:r>
              <w:rPr>
                <w:rFonts w:ascii="Arial" w:cs="Arial" w:eastAsia="Arial" w:hAnsi="Arial"/>
                <w:sz w:val="14"/>
                <w:szCs w:val="14"/>
                <w:color w:val="auto"/>
              </w:rPr>
              <w:t>thousands, except percentages)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4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12,655</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(10,052 )</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(79.4 )</w:t>
            </w:r>
          </w:p>
        </w:tc>
        <w:tc>
          <w:tcPr>
            <w:tcW w:w="2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shd w:val="clear" w:color="auto" w:fill="CCECFF"/>
              </w:rPr>
              <w:t>%</w:t>
            </w:r>
          </w:p>
        </w:tc>
      </w:tr>
    </w:tbl>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interest expense was primarily related to the payment in the High Trail loan in the prior period which had higher borrowings and interest rate compared to this current period which only includes our Midcap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seller note</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Year-Ended December 31,</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gridSpan w:val="6"/>
          </w:tcPr>
          <w:p>
            <w:pPr>
              <w:jc w:val="right"/>
              <w:ind w:right="20"/>
              <w:spacing w:after="0"/>
              <w:rPr>
                <w:sz w:val="20"/>
                <w:szCs w:val="20"/>
                <w:color w:val="auto"/>
              </w:rPr>
            </w:pPr>
            <w:r>
              <w:rPr>
                <w:rFonts w:ascii="Arial" w:cs="Arial" w:eastAsia="Arial" w:hAnsi="Arial"/>
                <w:sz w:val="14"/>
                <w:szCs w:val="14"/>
                <w:color w:val="auto"/>
                <w:w w:val="99"/>
              </w:rPr>
              <w:t>(in thousands, except percentages)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Gain on extinguishment of seller note</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2,012</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shd w:val="clear" w:color="auto" w:fill="CCECFF"/>
              </w:rPr>
              <w:t>%</w:t>
            </w:r>
          </w:p>
        </w:tc>
      </w:tr>
    </w:tbl>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gain on extinguishment of seller note during the year-ended December 31, 2022 was attributable to the settlement of the Truweo seller note, which resulted in a $2.0 million gain on extinguishment of seller note upon the extinguishment of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initial issuance of equity</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54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4"/>
                <w:szCs w:val="14"/>
                <w:b w:val="1"/>
                <w:bCs w:val="1"/>
                <w:color w:val="auto"/>
              </w:rPr>
              <w:t>Year-Ended December 31,</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r>
      <w:tr>
        <w:trPr>
          <w:trHeight w:val="169"/>
        </w:trPr>
        <w:tc>
          <w:tcPr>
            <w:tcW w:w="4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gridSpan w:val="6"/>
          </w:tcPr>
          <w:p>
            <w:pPr>
              <w:jc w:val="right"/>
              <w:ind w:right="20"/>
              <w:spacing w:after="0"/>
              <w:rPr>
                <w:sz w:val="20"/>
                <w:szCs w:val="20"/>
                <w:color w:val="auto"/>
              </w:rPr>
            </w:pPr>
            <w:r>
              <w:rPr>
                <w:rFonts w:ascii="Arial" w:cs="Arial" w:eastAsia="Arial" w:hAnsi="Arial"/>
                <w:sz w:val="14"/>
                <w:szCs w:val="14"/>
                <w:color w:val="auto"/>
                <w:w w:val="98"/>
              </w:rPr>
              <w:t>(in thousands, except percentages)</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initial issuance of equity</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18,669</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18,669</w:t>
            </w:r>
          </w:p>
        </w:tc>
        <w:tc>
          <w:tcPr>
            <w:tcW w:w="200" w:type="dxa"/>
            <w:vAlign w:val="bottom"/>
            <w:shd w:val="clear" w:color="auto" w:fill="CFF0FC"/>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100.0  %</w:t>
            </w:r>
          </w:p>
        </w:tc>
      </w:tr>
    </w:tbl>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loss on initial issuance of equity is attributable to the issuance of common shares and initial valuation of the prefunded warrants and common stock warrants from our March 2022 equity raise of $5.8 million in March 2022. Further, in September 2022, we recorded a charge related to the September 29, 2022 securities purchase agreement for common stock and associated warrants for the three months ended September 30, 2022 as we deemed the agreement non cancellable. The $12.8 million expense is derived from the anticipated fair-value of the issuances of equity attributable to the expected issuance of common shares and common stock warrants versus the anticipated proceeds to be received by us. We closed and issued the common stock and associated warrants on October 4, 2022.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liability</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6"/>
              </w:rPr>
              <w:t>Year-Ended December 31,</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ind w:left="640"/>
              <w:spacing w:after="0"/>
              <w:rPr>
                <w:sz w:val="20"/>
                <w:szCs w:val="20"/>
                <w:color w:val="auto"/>
              </w:rPr>
            </w:pPr>
            <w:r>
              <w:rPr>
                <w:rFonts w:ascii="Arial" w:cs="Arial" w:eastAsia="Arial" w:hAnsi="Arial"/>
                <w:sz w:val="14"/>
                <w:szCs w:val="14"/>
                <w:color w:val="auto"/>
                <w:w w:val="89"/>
              </w:rPr>
              <w:t>(in</w:t>
            </w:r>
          </w:p>
        </w:tc>
        <w:tc>
          <w:tcPr>
            <w:tcW w:w="3020" w:type="dxa"/>
            <w:vAlign w:val="bottom"/>
            <w:gridSpan w:val="8"/>
          </w:tcPr>
          <w:p>
            <w:pPr>
              <w:ind w:left="40"/>
              <w:spacing w:after="0"/>
              <w:rPr>
                <w:sz w:val="20"/>
                <w:szCs w:val="20"/>
                <w:color w:val="auto"/>
              </w:rPr>
            </w:pPr>
            <w:r>
              <w:rPr>
                <w:rFonts w:ascii="Arial" w:cs="Arial" w:eastAsia="Arial" w:hAnsi="Arial"/>
                <w:sz w:val="14"/>
                <w:szCs w:val="14"/>
                <w:color w:val="auto"/>
              </w:rPr>
              <w:t>thousands, except percentages)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Change in fair market value of derivative liability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3,254</w:t>
            </w:r>
          </w:p>
        </w:tc>
        <w:tc>
          <w:tcPr>
            <w:tcW w:w="100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(3,254 )</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-145415</wp:posOffset>
            </wp:positionV>
            <wp:extent cx="655891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8915" cy="154305"/>
                    </a:xfrm>
                    <a:prstGeom prst="rect">
                      <a:avLst/>
                    </a:prstGeom>
                    <a:noFill/>
                  </pic:spPr>
                </pic:pic>
              </a:graphicData>
            </a:graphic>
          </wp:anchor>
        </w:drawing>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 in fair market value of derivative liability during the year-ended December 31, 2021 is attributable to the term loan from High Trail as we fair-valued certain embedded derivatives within the term loan, primarily around default interest rates.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Year-Ended December 31,</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6"/>
          </w:tcPr>
          <w:p>
            <w:pPr>
              <w:jc w:val="right"/>
              <w:ind w:right="20"/>
              <w:spacing w:after="0"/>
              <w:rPr>
                <w:sz w:val="20"/>
                <w:szCs w:val="20"/>
                <w:color w:val="auto"/>
              </w:rPr>
            </w:pPr>
            <w:r>
              <w:rPr>
                <w:rFonts w:ascii="Arial" w:cs="Arial" w:eastAsia="Arial" w:hAnsi="Arial"/>
                <w:sz w:val="14"/>
                <w:szCs w:val="14"/>
                <w:color w:val="auto"/>
              </w:rPr>
              <w:t>(in thousands, except percentages)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4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138,859</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(138,859 )</w:t>
            </w:r>
          </w:p>
        </w:tc>
        <w:tc>
          <w:tcPr>
            <w:tcW w:w="32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(100.0 ) %</w:t>
            </w:r>
          </w:p>
        </w:tc>
      </w:tr>
    </w:tbl>
    <w:p>
      <w:pPr>
        <w:spacing w:after="0" w:line="2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loss on extinguishment of debt for the year-ended December 31, 2021 is attributable to the payment and termination of the December 2021 Note (as defined in Note 6 to our Consolidated Financial Statements included in this Annual Report), the February 2022 Note (as defined in Note 6 to our Consolidated Financial Statements included in this Annual Report) and our prior credit facility, which resulted in $29.8 million in loss on extinguishment of debt consisting of unamortized deferred finance costs, the extinguishment of the majority of the April 2022 Note loan, which resulted in $107.0 million in loss on extinguishment of debt and the extinguishment of the High Trail Note loan, which resulted in $2.1 million in loss on extinguishment of debt.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market value of warrant liability</w:t>
      </w:r>
    </w:p>
    <w:p>
      <w:pPr>
        <w:spacing w:after="0" w:line="257"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Year-Ended December 31,</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(in</w:t>
            </w:r>
          </w:p>
        </w:tc>
        <w:tc>
          <w:tcPr>
            <w:tcW w:w="1280" w:type="dxa"/>
            <w:vAlign w:val="bottom"/>
            <w:gridSpan w:val="3"/>
          </w:tcPr>
          <w:p>
            <w:pPr>
              <w:jc w:val="right"/>
              <w:ind w:right="130"/>
              <w:spacing w:after="0"/>
              <w:rPr>
                <w:sz w:val="20"/>
                <w:szCs w:val="20"/>
                <w:color w:val="auto"/>
              </w:rPr>
            </w:pPr>
            <w:r>
              <w:rPr>
                <w:rFonts w:ascii="Arial" w:cs="Arial" w:eastAsia="Arial" w:hAnsi="Arial"/>
                <w:sz w:val="14"/>
                <w:szCs w:val="14"/>
                <w:color w:val="auto"/>
                <w:w w:val="91"/>
              </w:rPr>
              <w:t>thousands, except</w:t>
            </w:r>
          </w:p>
        </w:tc>
        <w:tc>
          <w:tcPr>
            <w:tcW w:w="1220" w:type="dxa"/>
            <w:vAlign w:val="bottom"/>
            <w:gridSpan w:val="3"/>
          </w:tcPr>
          <w:p>
            <w:pPr>
              <w:jc w:val="center"/>
              <w:ind w:right="599"/>
              <w:spacing w:after="0"/>
              <w:rPr>
                <w:sz w:val="20"/>
                <w:szCs w:val="20"/>
                <w:color w:val="auto"/>
              </w:rPr>
            </w:pPr>
            <w:r>
              <w:rPr>
                <w:rFonts w:ascii="Arial" w:cs="Arial" w:eastAsia="Arial" w:hAnsi="Arial"/>
                <w:sz w:val="13"/>
                <w:szCs w:val="13"/>
                <w:color w:val="auto"/>
                <w:w w:val="71"/>
              </w:rPr>
              <w:t>percentages)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26,455</w:t>
            </w:r>
          </w:p>
        </w:tc>
        <w:tc>
          <w:tcPr>
            <w:tcW w:w="94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93"/>
              <w:spacing w:after="0"/>
              <w:rPr>
                <w:sz w:val="20"/>
                <w:szCs w:val="20"/>
                <w:color w:val="auto"/>
              </w:rPr>
            </w:pPr>
            <w:r>
              <w:rPr>
                <w:rFonts w:ascii="Arial" w:cs="Arial" w:eastAsia="Arial" w:hAnsi="Arial"/>
                <w:sz w:val="18"/>
                <w:szCs w:val="18"/>
                <w:color w:val="auto"/>
                <w:w w:val="84"/>
              </w:rPr>
              <w:t>(470 )</w:t>
            </w: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(26,925 )</w:t>
            </w:r>
          </w:p>
        </w:tc>
        <w:tc>
          <w:tcPr>
            <w:tcW w:w="2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(101.8 )</w:t>
            </w:r>
          </w:p>
        </w:tc>
        <w:tc>
          <w:tcPr>
            <w:tcW w:w="220" w:type="dxa"/>
            <w:vAlign w:val="bottom"/>
            <w:shd w:val="clear" w:color="auto" w:fill="CCECFF"/>
          </w:tcPr>
          <w:p>
            <w:pPr>
              <w:ind w:left="20"/>
              <w:spacing w:after="0"/>
              <w:rPr>
                <w:sz w:val="20"/>
                <w:szCs w:val="20"/>
                <w:color w:val="auto"/>
              </w:rPr>
            </w:pPr>
            <w:r>
              <w:rPr>
                <w:rFonts w:ascii="Arial" w:cs="Arial" w:eastAsia="Arial" w:hAnsi="Arial"/>
                <w:sz w:val="18"/>
                <w:szCs w:val="18"/>
                <w:color w:val="auto"/>
                <w:shd w:val="clear" w:color="auto" w:fill="CCECFF"/>
              </w:rPr>
              <w:t>%</w:t>
            </w: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Loss on initial issuance of warrants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20,147</w:t>
            </w:r>
          </w:p>
        </w:tc>
        <w:tc>
          <w:tcPr>
            <w:tcW w:w="9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93"/>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(20,147 )</w:t>
            </w:r>
          </w:p>
        </w:tc>
        <w:tc>
          <w:tcPr>
            <w:tcW w:w="2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(100.0 )</w:t>
            </w:r>
          </w:p>
        </w:tc>
        <w:tc>
          <w:tcPr>
            <w:tcW w:w="220" w:type="dxa"/>
            <w:vAlign w:val="bottom"/>
          </w:tcPr>
          <w:p>
            <w:pPr>
              <w:ind w:left="20"/>
              <w:spacing w:after="0"/>
              <w:rPr>
                <w:sz w:val="20"/>
                <w:szCs w:val="20"/>
                <w:color w:val="auto"/>
              </w:rPr>
            </w:pPr>
            <w:r>
              <w:rPr>
                <w:rFonts w:ascii="Arial" w:cs="Arial" w:eastAsia="Arial" w:hAnsi="Arial"/>
                <w:sz w:val="20"/>
                <w:szCs w:val="20"/>
                <w:color w:val="auto"/>
              </w:rPr>
              <w:t>%</w:t>
            </w:r>
          </w:p>
        </w:tc>
      </w:tr>
    </w:tbl>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fair market value of the warrant liability during the year-ended December 31, 2021 was attributable to the issuance of the warrants in connection with the December 2020 Note and the February 2021 Note and related change in the fair value of warrant liability. The change in fair market value of warrant liability during the year-ended December 31, 2022 was related to the change in fair market value of the warrant liabilities from the prefunded warrants and common stock warrants from our March 2022 equity raise.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on initial issuance of warrants for the year-ended December 31, 2021 was primarily driven by the increase of our share price since the original issuance of the warrants.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Years-Ended December 31, 2021 and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cash flows for the years-ended December 31, 2021 and 2022:</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(in</w:t>
            </w:r>
          </w:p>
        </w:tc>
        <w:tc>
          <w:tcPr>
            <w:tcW w:w="1240" w:type="dxa"/>
            <w:vAlign w:val="bottom"/>
            <w:gridSpan w:val="2"/>
          </w:tcPr>
          <w:p>
            <w:pPr>
              <w:jc w:val="right"/>
              <w:ind w:right="596"/>
              <w:spacing w:after="0"/>
              <w:rPr>
                <w:sz w:val="20"/>
                <w:szCs w:val="20"/>
                <w:color w:val="auto"/>
              </w:rPr>
            </w:pPr>
            <w:r>
              <w:rPr>
                <w:rFonts w:ascii="Arial" w:cs="Arial" w:eastAsia="Arial" w:hAnsi="Arial"/>
                <w:sz w:val="14"/>
                <w:szCs w:val="14"/>
                <w:color w:val="auto"/>
                <w:w w:val="77"/>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used by operating activities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w w:val="91"/>
              </w:rPr>
              <w:t>(41,969 )</w:t>
            </w: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1"/>
              </w:rPr>
              <w:t>(17,477 )</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960" w:type="dxa"/>
            <w:vAlign w:val="bottom"/>
          </w:tcPr>
          <w:p>
            <w:pPr>
              <w:spacing w:after="0"/>
              <w:rPr>
                <w:sz w:val="20"/>
                <w:szCs w:val="20"/>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8"/>
                <w:szCs w:val="18"/>
                <w:color w:val="auto"/>
                <w:w w:val="91"/>
              </w:rPr>
              <w:t>(44,905 )</w:t>
            </w:r>
          </w:p>
        </w:tc>
        <w:tc>
          <w:tcPr>
            <w:tcW w:w="9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(677 )</w:t>
            </w:r>
          </w:p>
        </w:tc>
      </w:tr>
      <w:tr>
        <w:trPr>
          <w:trHeight w:val="249"/>
        </w:trPr>
        <w:tc>
          <w:tcPr>
            <w:tcW w:w="7720" w:type="dxa"/>
            <w:vAlign w:val="bottom"/>
            <w:shd w:val="clear" w:color="auto" w:fill="CCEC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96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95,569</w:t>
            </w: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26,996</w:t>
            </w:r>
          </w:p>
        </w:tc>
        <w:tc>
          <w:tcPr>
            <w:tcW w:w="100" w:type="dxa"/>
            <w:vAlign w:val="bottom"/>
            <w:shd w:val="clear" w:color="auto" w:fill="CCEC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Effect of exchange rate on cash</w:t>
            </w:r>
          </w:p>
        </w:tc>
        <w:tc>
          <w:tcPr>
            <w:tcW w:w="960" w:type="dxa"/>
            <w:vAlign w:val="bottom"/>
          </w:tcPr>
          <w:p>
            <w:pPr>
              <w:spacing w:after="0"/>
              <w:rPr>
                <w:sz w:val="21"/>
                <w:szCs w:val="21"/>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8"/>
                <w:szCs w:val="18"/>
                <w:color w:val="auto"/>
              </w:rPr>
              <w:t>(477 )</w:t>
            </w:r>
          </w:p>
        </w:tc>
        <w:tc>
          <w:tcPr>
            <w:tcW w:w="9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(528 )</w:t>
            </w:r>
          </w:p>
        </w:tc>
      </w:tr>
      <w:tr>
        <w:trPr>
          <w:trHeight w:val="276"/>
        </w:trPr>
        <w:tc>
          <w:tcPr>
            <w:tcW w:w="77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Net change in and restricted cash for the period</w:t>
            </w:r>
          </w:p>
        </w:tc>
        <w:tc>
          <w:tcPr>
            <w:tcW w:w="960" w:type="dxa"/>
            <w:vAlign w:val="bottom"/>
            <w:tcBorders>
              <w:top w:val="single" w:sz="8" w:color="auto"/>
              <w:bottom w:val="single" w:sz="8" w:color="auto"/>
            </w:tcBorders>
            <w:shd w:val="clear" w:color="auto" w:fill="CCEC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8,218</w:t>
            </w:r>
          </w:p>
        </w:tc>
        <w:tc>
          <w:tcPr>
            <w:tcW w:w="280" w:type="dxa"/>
            <w:vAlign w:val="bottom"/>
            <w:tcBorders>
              <w:bottom w:val="single" w:sz="8" w:color="CCECFF"/>
            </w:tcBorders>
            <w:shd w:val="clear" w:color="auto" w:fill="CCECFF"/>
          </w:tcPr>
          <w:p>
            <w:pPr>
              <w:spacing w:after="0"/>
              <w:rPr>
                <w:sz w:val="24"/>
                <w:szCs w:val="24"/>
                <w:color w:val="auto"/>
              </w:rPr>
            </w:pPr>
          </w:p>
        </w:tc>
        <w:tc>
          <w:tcPr>
            <w:tcW w:w="960" w:type="dxa"/>
            <w:vAlign w:val="bottom"/>
            <w:tcBorders>
              <w:top w:val="single" w:sz="8" w:color="auto"/>
              <w:bottom w:val="single" w:sz="8" w:color="auto"/>
            </w:tcBorders>
            <w:shd w:val="clear" w:color="auto" w:fill="CCEC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8,314</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by operating activities was $42.0 million for the year-ended December 31, 2021, resulting from our net cash losses from operations of $24.4 million and cash usage from working capital of $17.6 million from changes in accounts receivable, purchase of inventory and insurance and payments of accounts payable.</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by operating activities was $17.5 million for the year-ended December 31, 2022, resulting from our net cash losses from operations of $37.2 million, offset by cash from working capital of $19.7 million from changes in accounts receivable, purchase of inventory and insurance and payments of accounts payable and accrued expenses. The reduction of inventory and accounts payable in 2022 relate to the decrease in inventory purchases in 2022 compared to 2021 and our efforts to normalize inventory levels by liquidating higher cost inventory. The decrease in accounts receivable year over year relates to a reduction in sales volume during the last month of the quarter, December 2021 versus December 2022, and timing from a significant wholesale receivable from 2021 collected in 2022.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cash used in investing activities of $44.9 million for the year-ended December 31, 2021 was primarily for the acquisition of the assets from Healing Solutions, LLC (“Healing Solutions”) for $15.3 million, the assets from Squatty Potty, LLC for $19.0 million and the acquisition of Photo Paper Direct Ltd. of $10.6 million.</w:t>
      </w:r>
    </w:p>
    <w:p>
      <w:pPr>
        <w:spacing w:after="0" w:line="183" w:lineRule="exact"/>
        <w:rPr>
          <w:sz w:val="20"/>
          <w:szCs w:val="20"/>
          <w:color w:val="auto"/>
        </w:rPr>
      </w:pPr>
    </w:p>
    <w:p>
      <w:pPr>
        <w:ind w:right="960"/>
        <w:spacing w:after="0" w:line="402" w:lineRule="auto"/>
        <w:rPr>
          <w:sz w:val="20"/>
          <w:szCs w:val="20"/>
          <w:color w:val="auto"/>
        </w:rPr>
      </w:pPr>
      <w:r>
        <w:rPr>
          <w:rFonts w:ascii="Arial" w:cs="Arial" w:eastAsia="Arial" w:hAnsi="Arial"/>
          <w:sz w:val="18"/>
          <w:szCs w:val="18"/>
          <w:color w:val="auto"/>
        </w:rPr>
        <w:t xml:space="preserve">Net cash used in investing activities for the year-ended December 31, 2022 was primarily from the acquisition of Step and Go for $0.6 million. </w:t>
      </w:r>
      <w:r>
        <w:rPr>
          <w:rFonts w:ascii="Arial" w:cs="Arial" w:eastAsia="Arial" w:hAnsi="Arial"/>
          <w:sz w:val="18"/>
          <w:szCs w:val="18"/>
          <w:i w:val="1"/>
          <w:iCs w:val="1"/>
          <w:color w:val="auto"/>
        </w:rPr>
        <w:t>Net Cash Provided by Financing Activities</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For the year-ended December 31, 2021, cash provided by financing activities of $95.6 million was primarily from proceeds from borrowings from the High Trail April 2022 Notes of $110.0 million, proceeds from cancellation of a warrant of $16.9 million and proceeds from an equity offering of $36.7 million, net, proceeds from exercise of stock options of $9.0 million, borrowings of $20.0 million of Midcap credit facility offset by repayments of the High Trail December 2021 Note and February 2022 Note of $59.5 million, repayments of the High Trail April 2022 Note of $10.1 million, repayments of the High Trail December 2022 Note of $27.5 million and $10.5 million of repayments of notes issued to certain sellers in connection with our M&amp;A activity.</w:t>
      </w:r>
    </w:p>
    <w:p>
      <w:pPr>
        <w:spacing w:after="0" w:line="16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year-ended December 31, 2022, cash provided by financing activities of $27.0 million was primarily from the net proceeds from the March and October 2022 equity raise of $46.8 million partially offset by the net repayment of borrowings from the Midcap credit facility of $12.2 million, the payment of earn-out to Squatty Potty of $4.0, and the repayment of note to Smash of $3.4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and negative cash flows for the foreseeable future until such time that we reach a scale of profitability to sustain our operations. In addition, our recent financial performance has been adversely impacted by the COVID-19 global pandemic and related global shipping disruption, in particular with respect to substantial increases in supply chain costs for shipping containers (See COVID-19 Pandemic and the Supply Chain below for additional details).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M&amp;A. While we believe we will eventually reach a scale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the accompanying Consolidated Financial Statements were issued (the “issuance date”), we evaluated the significance of the following adverse financial conditions in accordance with Accounting Standard Codification 205-40, Going Concern:</w:t>
      </w:r>
    </w:p>
    <w:p>
      <w:pPr>
        <w:spacing w:after="0" w:line="62" w:lineRule="exact"/>
        <w:rPr>
          <w:sz w:val="20"/>
          <w:szCs w:val="20"/>
          <w:color w:val="auto"/>
        </w:rPr>
      </w:pPr>
    </w:p>
    <w:p>
      <w:pPr>
        <w:jc w:val="both"/>
        <w:ind w:left="1020" w:hanging="504"/>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our inception, we have incurred significant losses and used cash flows from operations to fund our enterprise. In this regard, during the year ended December 31, 2022, we incurred a net loss of $196.3 million and used net cash flows in our operations of $17.5 million. In addition, as of December 31, 2022, we had unrestricted cash and cash equivalents of $43.6 million available to fund our operations, and an accumulated deficit of $625.3 million.</w:t>
      </w:r>
    </w:p>
    <w:p>
      <w:pPr>
        <w:spacing w:after="0" w:line="77" w:lineRule="exact"/>
        <w:rPr>
          <w:rFonts w:ascii="Arial" w:cs="Arial" w:eastAsia="Arial" w:hAnsi="Arial"/>
          <w:sz w:val="18"/>
          <w:szCs w:val="18"/>
          <w:color w:val="auto"/>
        </w:rPr>
      </w:pPr>
    </w:p>
    <w:p>
      <w:pPr>
        <w:jc w:val="both"/>
        <w:ind w:left="1020" w:hanging="504"/>
        <w:spacing w:after="0" w:line="25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remain in compliance with certain financial covenants required by the MidCap Credit facility. 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 We were in compliance with these financial covenants as of December 31, 2022, and expect to remain 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8" w:name="page29"/>
    <w:bookmarkEnd w:id="28"/>
    <w:p>
      <w:pPr>
        <w:jc w:val="both"/>
        <w:ind w:left="1020"/>
        <w:spacing w:after="0" w:line="291" w:lineRule="auto"/>
        <w:rPr>
          <w:sz w:val="20"/>
          <w:szCs w:val="20"/>
          <w:color w:val="auto"/>
        </w:rPr>
      </w:pPr>
      <w:r>
        <w:rPr>
          <w:rFonts w:ascii="Arial" w:cs="Arial" w:eastAsia="Arial" w:hAnsi="Arial"/>
          <w:sz w:val="16"/>
          <w:szCs w:val="16"/>
          <w:color w:val="auto"/>
        </w:rPr>
        <w:t>compliance through at least March 31, 2024. However, with our short history of forecasting our business during the ongoing COVID-19 global pandemic, the current record global inflation and related global supply chain disruptions, we can provide no assurances that we will remain in compliance with our financial covenants. Further, absent our ability to generate cash inflows from our operations or secure additional outside capital, we may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57" w:lineRule="exact"/>
        <w:rPr>
          <w:sz w:val="20"/>
          <w:szCs w:val="20"/>
          <w:color w:val="auto"/>
        </w:rPr>
      </w:pPr>
    </w:p>
    <w:p>
      <w:pPr>
        <w:jc w:val="both"/>
        <w:ind w:left="1020" w:hanging="504"/>
        <w:spacing w:after="0" w:line="25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the issuance date, we have no firm commitments to secure additional outside capital from lenders or investors. While we are continually exploring additional outside capital, specifically to fund our M&amp;A strategy, there can be no assurance we will be able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82" w:lineRule="exact"/>
        <w:rPr>
          <w:rFonts w:ascii="Arial" w:cs="Arial" w:eastAsia="Arial" w:hAnsi="Arial"/>
          <w:sz w:val="18"/>
          <w:szCs w:val="18"/>
          <w:color w:val="auto"/>
        </w:rPr>
      </w:pPr>
    </w:p>
    <w:p>
      <w:pPr>
        <w:jc w:val="both"/>
        <w:ind w:left="1020" w:hanging="504"/>
        <w:spacing w:after="0" w:line="271"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plan to continue to closely monitor our operating forecast, pursue our M&amp;A strategy, pursue additional sources of outside capital on terms that are acceptable to us, and secure a waiver or forbearance from MidCap if we are unable to remain in compliance with one or more of the covenants required by the MidCap Credit Facility. If some or all of our plans prove unsuccessful, we may need to implement short-term changes to our operating plan, such as delaying expenditures, reducing investments in new products, delaying the development of our software,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and Supply Chain</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2022, we were impacted by the COVID-19 pandemic and related global shipping disruptions. Together these led to substantial increases in supply chain costs, in particular shipping containers, which we rely on to import our goods, reduced the reliability and timely delivery of such shipping containers and substantially increased our last mile shipping costs on our oversized goods which are a material part of our business. The reduced reliability and delivery of such shipping containers forced us to spend more on premium shipping to ensure goods were delivered, and the lack of reliability and timely delivery has further down chain impacts such as taking longer for containers to be offloaded and returned. Further, the global shipping disruption led us to increase our inventory on-hand, including advance ordering and taking possession of inventory earlier than expected, impacting our working capital.</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party last mile shipping partners, such as UPS and FedEx, continue to increase the cost of delivering goods to the end consumers as their delivery networks continue to be adjusted following the onset of the COVID-19 pandemic. There remains significant uncertainty to consumer demand and buying habits as price increases related to raw materials, the importing of goods, including tariffs, and the cost of delivering goods to consumers has led to inflation across the U.S. and potentially reduced demand for our products.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consider the impact of COVID-19 and the related supply chain disruptions on the assumptions and estimates used when preparing our Consolidated Financial Statements including inventory valuation, and the impairment of long-lived assets. These assumptions and estimates may change. If economic conditions worsen beyond what is currently estimated by management, such future changes may have an adverse impact on our results of business, operations, financial results, and liquidity.</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MidCap Credit Facility – December 2021— </w:t>
      </w:r>
      <w:r>
        <w:rPr>
          <w:rFonts w:ascii="Arial" w:cs="Arial" w:eastAsia="Arial" w:hAnsi="Arial"/>
          <w:sz w:val="18"/>
          <w:szCs w:val="18"/>
          <w:color w:val="auto"/>
        </w:rPr>
        <w:t>On December 22, 2021, we entered into a Credit Facility with MidCap, pursuant to which, among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things, (i) 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200,000 shares of our common stock, in exchange for the Lenders extending loans and other extensions of credit to us under the Credit Facility.</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contains a financial covenant that requires us to maintain a minimum unrestricted cash balance of (a) $12.5 million during the period from February 1st through and including May 31st of each calendar year, and (b) $15.0 million at all other times. At its election, we may elect to comply with an alternative financial covenant that would require us to maintain a minimum borrowing availability under the credit facility of $10.0 million at all times. We currently do not anticipate electing the alternative financial covenant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over the next twelve months and are in compliance with the minimum liquidity covenant as of the date these Consolidated Financial Statements were issued.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outstanding balance on the MidCap credit facility as of December 30, 2021 and 2022 was $32.9 million and $21.1 million, respectively. The Company had $0.3 million of availability on the Midcap credit facility as of December 31, 2022.</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29, 2022, we entered into securities purchase agreements (the “September Purchase Agreements”) with certain accredited investors, pursuant to which, among other things, we agreed to sell and issue, in a registered direct offering (the “Registered Direct Offering”), an aggregate of 10,643,034 shares of Common Stock and accompanying warrants to purchase an aggregate of 10,643,034 shares of Common Stock. 10,526,368 of the shares and the accompanying warrants to purchase 10,526,368 shares of Common Stock were sold to certain accredited purchasers that are not affiliated with us at a combined offering price of $1.90 per share and accompanying warrant to purchase one share of Common Stock. The remaining 116,666 shares of Common Stock and the accompanying warrants to purchase 116,666 shares of Common Stock were sold to certain of our insiders, comprised of our President and Chief Executive Officer, Chief Financial Officer, Chief Legal Officer and Global Head of M&amp;A and Chief Technology Officer, at a combined offering price of $2.10 per share and accompanying warrant to purchase one share of Common Stock.</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Registered Direct Offering closed on October 4, 2022 and the Company issued and sold an aggregate of 10,643,034 shares of common stock to the Purchasers. The gross proceeds to us from the Registered Direct Offering were approximately $20.2 million, before deducting fees payable to the placement agent and other estimated offering expenses payable by us. We currently intend to use the net proceeds from the Registered Direct Offering for working capital purposes, the conduct of our business and other general corporate purposes, which may include acquisitions, investments in or licenses of complementary products, technologies or businesses.</w:t>
      </w:r>
    </w:p>
    <w:p>
      <w:pPr>
        <w:spacing w:after="0" w:line="2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ASC 815-40, the September Purchase Agreements represent a legally binding contract that meets the definition of a firm commitment and as such we recorded a derivative expense related to the offering of common stock (“forward contract”). Additionally, we recorded $12.8 million derivative expense derived from the excess of the fair-value</w:t>
      </w:r>
    </w:p>
    <w:p>
      <w:pPr>
        <w:spacing w:after="0" w:line="2" w:lineRule="exact"/>
        <w:rPr>
          <w:sz w:val="20"/>
          <w:szCs w:val="20"/>
          <w:color w:val="auto"/>
        </w:rPr>
      </w:pPr>
    </w:p>
    <w:p>
      <w:pPr>
        <w:jc w:val="both"/>
        <w:ind w:firstLine="48"/>
        <w:spacing w:after="0" w:line="260" w:lineRule="auto"/>
        <w:rPr>
          <w:sz w:val="20"/>
          <w:szCs w:val="20"/>
          <w:color w:val="auto"/>
        </w:rPr>
      </w:pPr>
      <w:r>
        <w:rPr>
          <w:rFonts w:ascii="Arial" w:cs="Arial" w:eastAsia="Arial" w:hAnsi="Arial"/>
          <w:sz w:val="18"/>
          <w:szCs w:val="18"/>
          <w:color w:val="auto"/>
        </w:rPr>
        <w:t>of the issuances of equity of common shares and common stock warrants over the anticipated proceeds to be received by us. This expense was recorded in loss on initial issuance of equity on the consolidated statement of operations for the year-ended December 31, 2022.</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Contingent earn-out liability considerations</w:t>
      </w:r>
      <w:r>
        <w:rPr>
          <w:rFonts w:ascii="Arial" w:cs="Arial" w:eastAsia="Arial" w:hAnsi="Arial"/>
          <w:sz w:val="18"/>
          <w:szCs w:val="18"/>
          <w:b w:val="1"/>
          <w:bCs w:val="1"/>
          <w:color w:val="auto"/>
        </w:rPr>
        <w:t>—</w:t>
      </w:r>
      <w:r>
        <w:rPr>
          <w:rFonts w:ascii="Arial" w:cs="Arial" w:eastAsia="Arial" w:hAnsi="Arial"/>
          <w:sz w:val="18"/>
          <w:szCs w:val="18"/>
          <w:color w:val="auto"/>
        </w:rPr>
        <w:t>As of December 1, 2020, the acquisition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assets of the e-commerce business under the brands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Mueller, Pursteam, Pohl and Schmitt and Spiralizer (the “Smash Assets”)</w:t>
      </w:r>
      <w:r>
        <w:rPr>
          <w:rFonts w:ascii="Arial" w:cs="Arial" w:eastAsia="Arial" w:hAnsi="Arial"/>
          <w:sz w:val="18"/>
          <w:szCs w:val="18"/>
          <w:color w:val="000000"/>
        </w:rPr>
        <w:t>, the initial fair value amount of the earn-out payment was appropriately $9.8</w:t>
      </w:r>
      <w:r>
        <w:rPr>
          <w:rFonts w:ascii="Arial" w:cs="Arial" w:eastAsia="Arial" w:hAnsi="Arial"/>
          <w:sz w:val="18"/>
          <w:szCs w:val="18"/>
          <w:color w:val="212529"/>
        </w:rPr>
        <w:t xml:space="preserve"> </w:t>
      </w:r>
      <w:r>
        <w:rPr>
          <w:rFonts w:ascii="Arial" w:cs="Arial" w:eastAsia="Arial" w:hAnsi="Arial"/>
          <w:sz w:val="18"/>
          <w:szCs w:val="18"/>
          <w:color w:val="000000"/>
        </w:rPr>
        <w:t>million. As of December 31, 2021, the fair value amount of the earn-out payment with respect to the Smash Assets was approximately $22.5 million representing a change of fair value impact of approximately $12.7 million. As of December 31, 2022, there was no remaining earn-out liability relating to Smash Assets as the earn-out threshold was not achieved.</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the acquisition of the certain assets of Healing Solutions (the “Healing Solutions Assets”), Healing Solutions was entitled to earn-out payments based on the achievement of certain contribution margin thresholds on certain products of the acquired business. If the earn-out consideration event occurs:</w:t>
      </w:r>
    </w:p>
    <w:p>
      <w:pPr>
        <w:spacing w:after="0" w:line="1" w:lineRule="exact"/>
        <w:rPr>
          <w:sz w:val="20"/>
          <w:szCs w:val="20"/>
          <w:color w:val="auto"/>
        </w:rPr>
      </w:pPr>
    </w:p>
    <w:p>
      <w:pPr>
        <w:jc w:val="both"/>
        <w:ind w:firstLine="8"/>
        <w:spacing w:after="0" w:line="291" w:lineRule="auto"/>
        <w:tabs>
          <w:tab w:leader="none" w:pos="223"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prior to the date that is nine months following the Closing Date, we were to issue 528,670 shares of our common stock to Healing Solutions; (ii) on or after the date that is nine months following the Closing Date but before the date that is 12 months following the Closing Date, we were to issue 396,502 shares of common stock to Healing Solutions; or (iii) on or after the date that is 12 months following the Closing Date but before the date that is 15 months following the Closing Date (the date that is 15 months following the Closing Date, the “Earn-Out Termination Date”), we were to issue 264,335 shares of common stock to Healing Solutions; or after 15 months, we would not have any obligation to issue any shares of our common stock to Healing Solutions.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 2021, the acquisition date of the Healing Solutions Assets, the initial fair value amount of the earn-out payment with respect to the Healing Solutions Assets was appropriately $16.5 million. In November 2021, we issued 1.4 million shares of common stock in full settlement of the earn-out. As of December 31, 2022 there was no earn-out liability related to Healing Solutions.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the acquisition of the assets of Squatty Potty, LLC (the “Squatty Potty Assets”), Squatty Potty is entitled to earn-out payments based on the achievement of certain contribution margin thresholds on certain products of the acquired business. If the earn-out consideration event occurred in the 12 months ending December 31, 2022, the earn-out payment amount was to be $3.9 million and if the parties terminate the transition service agreement prior to the date that is nine months following the Closing Date, we are to pay an additional $3.9 million.</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May 5, 2021, the acquisition date of the Squatty Potty Assets, the initial fair value amount of the earn-out payment with respect to the Squatty Potty Assets was appropriately $3.5 million. As of December 31, 2021, the fair value amount of the earn-out payment with respect to the Squatty Potty Assets was approximately $4.0 million, representing a net change of fair value impact of approximately $0.5 million for year-ended December 31, 2021. As of December 31, 2022, there was no remaining fair value for the Squatty Potty earn-out payment as amount was fully paid during 2022.</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May 5, 2021, the acquisition date of Photo Paper Direct Ltd. (“Photo Paper Direct”), the initial fair value amount of the earn-out payment with respect to Photo Paper Direct was appropriately $0.9 million. As of December 31, 2021 and 2022, the fair value amount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of the earn-out payment with respect to the Photo Paper Direct acquisition was $0.0 million as we believe the earnout was not achieved. Photo Paper Direct disagrees with our determination and we remain in dispute with the prior owners with respect to this matter.</w:t>
      </w:r>
    </w:p>
    <w:p>
      <w:pPr>
        <w:spacing w:after="0" w:line="58"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i w:val="1"/>
          <w:iCs w:val="1"/>
          <w:color w:val="auto"/>
        </w:rPr>
        <w:t>Open Inventory Purchase Orders</w:t>
      </w:r>
      <w:r>
        <w:rPr>
          <w:rFonts w:ascii="Arial" w:cs="Arial" w:eastAsia="Arial" w:hAnsi="Arial"/>
          <w:sz w:val="18"/>
          <w:szCs w:val="18"/>
          <w:b w:val="1"/>
          <w:bCs w:val="1"/>
          <w:color w:val="auto"/>
        </w:rPr>
        <w:t>—</w:t>
      </w:r>
      <w:r>
        <w:rPr>
          <w:rFonts w:ascii="Arial" w:cs="Arial" w:eastAsia="Arial" w:hAnsi="Arial"/>
          <w:sz w:val="18"/>
          <w:szCs w:val="18"/>
          <w:color w:val="auto"/>
        </w:rPr>
        <w:t>As of December 31, 2021 and 2022, the Company had open inventory purchase orders of $32.3 million and $13.5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placed with vendors waiting to be fulfilled.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believe that our financial statements and the other financial data included in this Annual Report have been prepared in a manner that complies, in all material respects, with generally accepted accounting principles in the U.S. (“GAAP”). However, for the reasons discussed below, we have presented certain non-GAAP measures herein.</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used herein, Contribution margin represents gross profit less amortization of inventory step-up from acquisitions (included in cost of goods sold), reserve on barter credits and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provision for income taxes. As used herein, Adjusted EBITDA represents EBITDA plus stock-based compensation expense, changes in fair-market value of earn-outs, settlement of earn-outs, amortization of inventory step-up from acquisitions (included in cost of goods sold), reserve for barter credits, profit and loss impacts from the issuance of common stock and/or warrants, changes in fair-market value of warrant liability, professional fees and transition costs related to acquisitions, litigation settlements, impairment on goodwill and intangibles, loss from extinguishment of debt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reconciliation to calculate contribution margin, we add e-commerce platform commissions, online advertising, selling and logistics expenses (“sales and distribution variable expense”), and the reserve for barter credits to gross profit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spacing w:after="0" w:line="19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right="40"/>
        <w:spacing w:after="0" w:line="253" w:lineRule="auto"/>
        <w:rPr>
          <w:sz w:val="20"/>
          <w:szCs w:val="20"/>
          <w:color w:val="auto"/>
        </w:rPr>
      </w:pPr>
      <w:r>
        <w:rPr>
          <w:rFonts w:ascii="Arial" w:cs="Arial" w:eastAsia="Arial" w:hAnsi="Arial"/>
          <w:sz w:val="18"/>
          <w:szCs w:val="18"/>
          <w:color w:val="auto"/>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that EBITDA, Adjusted EBITDA and Adjusted EBITDA as a percentage of net revenue, have limitations as analytical financial measures.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neither EBITDA nor Adjusted EBITDA reflects:</w:t>
      </w:r>
    </w:p>
    <w:p>
      <w:pPr>
        <w:spacing w:after="0" w:line="102" w:lineRule="exact"/>
        <w:rPr>
          <w:sz w:val="20"/>
          <w:szCs w:val="20"/>
          <w:color w:val="auto"/>
        </w:rPr>
      </w:pPr>
    </w:p>
    <w:p>
      <w:pPr>
        <w:ind w:left="1020" w:hanging="50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 or mergers and acquisitions;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interest expense or the cash requirements necessary to service interest expense or principal payments, associated with indebtedness;</w:t>
      </w:r>
    </w:p>
    <w:p>
      <w:pPr>
        <w:spacing w:after="0" w:line="139" w:lineRule="exact"/>
        <w:rPr>
          <w:rFonts w:ascii="Arial" w:cs="Arial" w:eastAsia="Arial" w:hAnsi="Arial"/>
          <w:sz w:val="16"/>
          <w:szCs w:val="16"/>
          <w:color w:val="auto"/>
        </w:rPr>
      </w:pPr>
    </w:p>
    <w:p>
      <w:pPr>
        <w:ind w:left="1020" w:right="600" w:hanging="50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or any cash requirements for the replacement of assets;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cash requirements for our working capital needs; or</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Additionally, Adjusted EBITDA excludes non-cash expense for stock-based compensation, which is and is expected to remain a key element of our overall long-term incentive compensation package.</w:t>
      </w:r>
    </w:p>
    <w:p>
      <w:pPr>
        <w:spacing w:after="0" w:line="1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277" w:lineRule="exact"/>
        <w:rPr>
          <w:sz w:val="20"/>
          <w:szCs w:val="20"/>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administrative expense necessary to operate our business;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development expenses necessary for the development, operation and support of our software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fixed costs portion of our sales and distribution expenses including stock-based compensation expense; or</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Year-Ended December 31,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1"/>
        </w:trPr>
        <w:tc>
          <w:tcPr>
            <w:tcW w:w="5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right"/>
              <w:ind w:right="660"/>
              <w:spacing w:after="0"/>
              <w:rPr>
                <w:sz w:val="20"/>
                <w:szCs w:val="20"/>
                <w:color w:val="auto"/>
              </w:rPr>
            </w:pPr>
            <w:r>
              <w:rPr>
                <w:rFonts w:ascii="Arial" w:cs="Arial" w:eastAsia="Arial" w:hAnsi="Arial"/>
                <w:sz w:val="14"/>
                <w:szCs w:val="14"/>
                <w:color w:val="auto"/>
              </w:rPr>
              <w:t>(in thousands, except percentages)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7"/>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2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121,863</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105,518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w:t>
            </w:r>
          </w:p>
        </w:tc>
        <w:tc>
          <w:tcPr>
            <w:tcW w:w="2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FF0FC"/>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profit as a percentage of net revenue</w:t>
            </w:r>
          </w:p>
        </w:tc>
        <w:tc>
          <w:tcPr>
            <w:tcW w:w="2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49.2 %</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72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w:t>
            </w:r>
          </w:p>
        </w:tc>
      </w:tr>
      <w:tr>
        <w:trPr>
          <w:trHeight w:val="243"/>
        </w:trPr>
        <w:tc>
          <w:tcPr>
            <w:tcW w:w="580" w:type="dxa"/>
            <w:vAlign w:val="bottom"/>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 as a percentage of net revenue</w:t>
            </w:r>
          </w:p>
        </w:tc>
        <w:tc>
          <w:tcPr>
            <w:tcW w:w="2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shd w:val="clear" w:color="auto" w:fill="CCECFF"/>
              </w:rPr>
              <w:t>%</w:t>
            </w: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2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(236,024 )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(196,292 )</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2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(215,511 )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(186,544 )</w:t>
            </w:r>
          </w:p>
        </w:tc>
        <w:tc>
          <w:tcPr>
            <w:tcW w:w="160" w:type="dxa"/>
            <w:vAlign w:val="bottom"/>
            <w:shd w:val="clear" w:color="auto" w:fill="CCECFF"/>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Adjusted EBITDA</w:t>
            </w:r>
          </w:p>
        </w:tc>
        <w:tc>
          <w:tcPr>
            <w:tcW w:w="2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(7,159 )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(33,514 )</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5"/>
        </w:trPr>
        <w:tc>
          <w:tcPr>
            <w:tcW w:w="580" w:type="dxa"/>
            <w:vAlign w:val="bottom"/>
          </w:tcPr>
          <w:p>
            <w:pPr>
              <w:spacing w:after="0"/>
              <w:rPr>
                <w:sz w:val="22"/>
                <w:szCs w:val="22"/>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loss as a percentage of net revenue</w:t>
            </w:r>
          </w:p>
        </w:tc>
        <w:tc>
          <w:tcPr>
            <w:tcW w:w="2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(95.3 )%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(88.8 )</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7"/>
                <w:shd w:val="clear" w:color="auto" w:fill="CCECFF"/>
              </w:rPr>
              <w:t>%</w:t>
            </w:r>
          </w:p>
        </w:tc>
        <w:tc>
          <w:tcPr>
            <w:tcW w:w="56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Adjusted EBITDA as a percentage of net revenue</w:t>
            </w:r>
          </w:p>
        </w:tc>
        <w:tc>
          <w:tcPr>
            <w:tcW w:w="2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(15.2 )</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Pr>
          <w:p>
            <w:pPr>
              <w:spacing w:after="0"/>
              <w:rPr>
                <w:sz w:val="21"/>
                <w:szCs w:val="21"/>
                <w:color w:val="auto"/>
              </w:rPr>
            </w:pPr>
          </w:p>
        </w:tc>
      </w:tr>
      <w:tr>
        <w:trPr>
          <w:trHeight w:val="647"/>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20" w:type="dxa"/>
            <w:vAlign w:val="bottom"/>
          </w:tcPr>
          <w:p>
            <w:pPr>
              <w:jc w:val="right"/>
              <w:ind w:right="151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-2144395</wp:posOffset>
            </wp:positionV>
            <wp:extent cx="2132330" cy="415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32330" cy="41529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Contribution Margin</w:t>
      </w:r>
    </w:p>
    <w:p>
      <w:pPr>
        <w:spacing w:after="0" w:line="225" w:lineRule="exact"/>
        <w:rPr>
          <w:sz w:val="20"/>
          <w:szCs w:val="20"/>
          <w:color w:val="auto"/>
        </w:rPr>
      </w:pPr>
    </w:p>
    <w:p>
      <w:pPr>
        <w:ind w:right="140"/>
        <w:spacing w:after="0" w:line="307" w:lineRule="auto"/>
        <w:rPr>
          <w:sz w:val="20"/>
          <w:szCs w:val="20"/>
          <w:color w:val="auto"/>
        </w:rPr>
      </w:pPr>
      <w:r>
        <w:rPr>
          <w:rFonts w:ascii="Arial" w:cs="Arial" w:eastAsia="Arial" w:hAnsi="Arial"/>
          <w:sz w:val="17"/>
          <w:szCs w:val="17"/>
          <w:color w:val="auto"/>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20" w:type="dxa"/>
            <w:vAlign w:val="bottom"/>
            <w:gridSpan w:val="6"/>
          </w:tcPr>
          <w:p>
            <w:pPr>
              <w:jc w:val="right"/>
              <w:ind w:right="1480"/>
              <w:spacing w:after="0"/>
              <w:rPr>
                <w:sz w:val="20"/>
                <w:szCs w:val="20"/>
                <w:color w:val="auto"/>
              </w:rPr>
            </w:pPr>
            <w:r>
              <w:rPr>
                <w:rFonts w:ascii="Arial" w:cs="Arial" w:eastAsia="Arial" w:hAnsi="Arial"/>
                <w:sz w:val="14"/>
                <w:szCs w:val="14"/>
                <w:b w:val="1"/>
                <w:bCs w:val="1"/>
                <w:color w:val="auto"/>
              </w:rPr>
              <w:t>Year-Ended December 31,</w:t>
            </w:r>
          </w:p>
        </w:tc>
      </w:tr>
      <w:tr>
        <w:trPr>
          <w:trHeight w:val="169"/>
        </w:trPr>
        <w:tc>
          <w:tcPr>
            <w:tcW w:w="5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(in thousands,</w:t>
            </w:r>
          </w:p>
        </w:tc>
        <w:tc>
          <w:tcPr>
            <w:tcW w:w="240" w:type="dxa"/>
            <w:vAlign w:val="bottom"/>
          </w:tcPr>
          <w:p>
            <w:pPr>
              <w:jc w:val="right"/>
              <w:spacing w:after="0"/>
              <w:rPr>
                <w:sz w:val="20"/>
                <w:szCs w:val="20"/>
                <w:color w:val="auto"/>
              </w:rPr>
            </w:pPr>
            <w:r>
              <w:rPr>
                <w:rFonts w:ascii="Arial" w:cs="Arial" w:eastAsia="Arial" w:hAnsi="Arial"/>
                <w:sz w:val="10"/>
                <w:szCs w:val="10"/>
                <w:color w:val="auto"/>
                <w:w w:val="74"/>
              </w:rPr>
              <w:t>except</w:t>
            </w:r>
          </w:p>
        </w:tc>
        <w:tc>
          <w:tcPr>
            <w:tcW w:w="1480" w:type="dxa"/>
            <w:vAlign w:val="bottom"/>
            <w:gridSpan w:val="2"/>
          </w:tcPr>
          <w:p>
            <w:pPr>
              <w:jc w:val="right"/>
              <w:ind w:right="532"/>
              <w:spacing w:after="0"/>
              <w:rPr>
                <w:sz w:val="20"/>
                <w:szCs w:val="20"/>
                <w:color w:val="auto"/>
              </w:rPr>
            </w:pPr>
            <w:r>
              <w:rPr>
                <w:rFonts w:ascii="Arial" w:cs="Arial" w:eastAsia="Arial" w:hAnsi="Arial"/>
                <w:sz w:val="14"/>
                <w:szCs w:val="14"/>
                <w:color w:val="auto"/>
              </w:rPr>
              <w:t>percentages)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121,863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105,518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Add:</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5"/>
        </w:trPr>
        <w:tc>
          <w:tcPr>
            <w:tcW w:w="580" w:type="dxa"/>
            <w:vAlign w:val="bottom"/>
          </w:tcPr>
          <w:p>
            <w:pPr>
              <w:spacing w:after="0"/>
              <w:rPr>
                <w:sz w:val="22"/>
                <w:szCs w:val="22"/>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inventory step-up from acquisitions (included in cost of goods sold)</w:t>
            </w: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5,458</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r>
      <w:tr>
        <w:trPr>
          <w:trHeight w:val="236"/>
        </w:trPr>
        <w:tc>
          <w:tcPr>
            <w:tcW w:w="58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Reserve on barter credits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Less: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9"/>
              </w:rPr>
              <w:t>E-commerce platform commissions, online advertising, selling and logistics expenses</w:t>
            </w:r>
          </w:p>
        </w:tc>
        <w:tc>
          <w:tcPr>
            <w:tcW w:w="360" w:type="dxa"/>
            <w:vAlign w:val="bottom"/>
          </w:tcPr>
          <w:p>
            <w:pPr>
              <w:spacing w:after="0"/>
              <w:rPr>
                <w:sz w:val="20"/>
                <w:szCs w:val="20"/>
                <w:color w:val="auto"/>
              </w:rPr>
            </w:pPr>
          </w:p>
        </w:tc>
        <w:tc>
          <w:tcPr>
            <w:tcW w:w="1380" w:type="dxa"/>
            <w:vAlign w:val="bottom"/>
            <w:gridSpan w:val="2"/>
          </w:tcPr>
          <w:p>
            <w:pPr>
              <w:jc w:val="right"/>
              <w:ind w:right="129"/>
              <w:spacing w:after="0"/>
              <w:rPr>
                <w:sz w:val="20"/>
                <w:szCs w:val="20"/>
                <w:color w:val="auto"/>
              </w:rPr>
            </w:pPr>
            <w:r>
              <w:rPr>
                <w:rFonts w:ascii="Arial" w:cs="Arial" w:eastAsia="Arial" w:hAnsi="Arial"/>
                <w:sz w:val="18"/>
                <w:szCs w:val="18"/>
                <w:color w:val="auto"/>
              </w:rPr>
              <w:t>(103,283 )</w:t>
            </w:r>
          </w:p>
        </w:tc>
        <w:tc>
          <w:tcPr>
            <w:tcW w:w="3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(103,258 )</w:t>
            </w: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Contribution margin</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25,038</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Gross Profit as a percentage of net revenue</w:t>
            </w:r>
          </w:p>
        </w:tc>
        <w:tc>
          <w:tcPr>
            <w:tcW w:w="360" w:type="dxa"/>
            <w:vAlign w:val="bottom"/>
          </w:tcPr>
          <w:p>
            <w:pPr>
              <w:spacing w:after="0"/>
              <w:rPr>
                <w:sz w:val="18"/>
                <w:szCs w:val="18"/>
                <w:color w:val="auto"/>
              </w:rPr>
            </w:pPr>
          </w:p>
        </w:tc>
        <w:tc>
          <w:tcPr>
            <w:tcW w:w="1380" w:type="dxa"/>
            <w:vAlign w:val="bottom"/>
            <w:gridSpan w:val="2"/>
          </w:tcPr>
          <w:p>
            <w:pPr>
              <w:jc w:val="right"/>
              <w:ind w:right="29"/>
              <w:spacing w:after="0"/>
              <w:rPr>
                <w:sz w:val="20"/>
                <w:szCs w:val="20"/>
                <w:color w:val="auto"/>
              </w:rPr>
            </w:pPr>
            <w:r>
              <w:rPr>
                <w:rFonts w:ascii="Arial" w:cs="Arial" w:eastAsia="Arial" w:hAnsi="Arial"/>
                <w:sz w:val="18"/>
                <w:szCs w:val="18"/>
                <w:color w:val="auto"/>
              </w:rPr>
              <w:t xml:space="preserve">49.2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 xml:space="preserve">47.7 </w:t>
            </w:r>
            <w:r>
              <w:rPr>
                <w:rFonts w:ascii="Arial" w:cs="Arial" w:eastAsia="Arial" w:hAnsi="Arial"/>
                <w:sz w:val="18"/>
                <w:szCs w:val="18"/>
                <w:color w:val="auto"/>
                <w:highlight w:val="white"/>
              </w:rPr>
              <w:t>%</w:t>
            </w:r>
          </w:p>
        </w:tc>
      </w:tr>
      <w:tr>
        <w:trPr>
          <w:trHeight w:val="242"/>
        </w:trPr>
        <w:tc>
          <w:tcPr>
            <w:tcW w:w="580" w:type="dxa"/>
            <w:vAlign w:val="bottom"/>
          </w:tcPr>
          <w:p>
            <w:pPr>
              <w:spacing w:after="0"/>
              <w:rPr>
                <w:sz w:val="21"/>
                <w:szCs w:val="21"/>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Contribution margin as a percentage of net revenue</w:t>
            </w:r>
          </w:p>
        </w:tc>
        <w:tc>
          <w:tcPr>
            <w:tcW w:w="360" w:type="dxa"/>
            <w:vAlign w:val="bottom"/>
          </w:tcPr>
          <w:p>
            <w:pPr>
              <w:spacing w:after="0"/>
              <w:rPr>
                <w:sz w:val="21"/>
                <w:szCs w:val="21"/>
                <w:color w:val="auto"/>
              </w:rPr>
            </w:pPr>
          </w:p>
        </w:tc>
        <w:tc>
          <w:tcPr>
            <w:tcW w:w="1380" w:type="dxa"/>
            <w:vAlign w:val="bottom"/>
            <w:gridSpan w:val="2"/>
          </w:tcPr>
          <w:p>
            <w:pPr>
              <w:jc w:val="right"/>
              <w:ind w:right="29"/>
              <w:spacing w:after="0"/>
              <w:rPr>
                <w:sz w:val="20"/>
                <w:szCs w:val="20"/>
                <w:color w:val="auto"/>
              </w:rPr>
            </w:pPr>
            <w:r>
              <w:rPr>
                <w:rFonts w:ascii="Arial" w:cs="Arial" w:eastAsia="Arial" w:hAnsi="Arial"/>
                <w:sz w:val="18"/>
                <w:szCs w:val="18"/>
                <w:color w:val="auto"/>
              </w:rPr>
              <w:t>10.1 %</w:t>
            </w:r>
          </w:p>
        </w:tc>
        <w:tc>
          <w:tcPr>
            <w:tcW w:w="360" w:type="dxa"/>
            <w:vAlign w:val="bottom"/>
          </w:tcPr>
          <w:p>
            <w:pPr>
              <w:spacing w:after="0"/>
              <w:rPr>
                <w:sz w:val="21"/>
                <w:szCs w:val="21"/>
                <w:color w:val="auto"/>
              </w:rPr>
            </w:pP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1.8 %</w:t>
            </w:r>
          </w:p>
        </w:tc>
      </w:tr>
      <w:tr>
        <w:trPr>
          <w:trHeight w:val="661"/>
        </w:trPr>
        <w:tc>
          <w:tcPr>
            <w:tcW w:w="580" w:type="dxa"/>
            <w:vAlign w:val="bottom"/>
          </w:tcPr>
          <w:p>
            <w:pPr>
              <w:spacing w:after="0"/>
              <w:rPr>
                <w:sz w:val="24"/>
                <w:szCs w:val="24"/>
                <w:color w:val="auto"/>
              </w:rPr>
            </w:pPr>
          </w:p>
        </w:tc>
        <w:tc>
          <w:tcPr>
            <w:tcW w:w="6780" w:type="dxa"/>
            <w:vAlign w:val="bottom"/>
          </w:tcPr>
          <w:p>
            <w:pPr>
              <w:ind w:left="496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67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-2169795</wp:posOffset>
            </wp:positionV>
            <wp:extent cx="2118995" cy="2527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18995" cy="25273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-829945</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-829945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-650240</wp:posOffset>
            </wp:positionV>
            <wp:extent cx="641350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provides a reconciliation of EBITDA and Adjusted EBITDA to net loss, which is the most directly comparable financial measure presented in accordance with GAAP:</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0" w:type="dxa"/>
            <w:vAlign w:val="bottom"/>
            <w:gridSpan w:val="3"/>
          </w:tcPr>
          <w:p>
            <w:pPr>
              <w:jc w:val="center"/>
              <w:ind w:right="279"/>
              <w:spacing w:after="0"/>
              <w:rPr>
                <w:sz w:val="20"/>
                <w:szCs w:val="20"/>
                <w:color w:val="auto"/>
              </w:rPr>
            </w:pPr>
            <w:r>
              <w:rPr>
                <w:rFonts w:ascii="Arial" w:cs="Arial" w:eastAsia="Arial" w:hAnsi="Arial"/>
                <w:sz w:val="14"/>
                <w:szCs w:val="14"/>
                <w:b w:val="1"/>
                <w:bCs w:val="1"/>
                <w:color w:val="auto"/>
                <w:w w:val="92"/>
              </w:rPr>
              <w:t>Year-Ended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4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4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(in thousands,</w:t>
            </w:r>
          </w:p>
        </w:tc>
        <w:tc>
          <w:tcPr>
            <w:tcW w:w="280" w:type="dxa"/>
            <w:vAlign w:val="bottom"/>
          </w:tcPr>
          <w:p>
            <w:pPr>
              <w:jc w:val="center"/>
              <w:spacing w:after="0"/>
              <w:rPr>
                <w:sz w:val="20"/>
                <w:szCs w:val="20"/>
                <w:color w:val="auto"/>
              </w:rPr>
            </w:pPr>
            <w:r>
              <w:rPr>
                <w:rFonts w:ascii="Arial" w:cs="Arial" w:eastAsia="Arial" w:hAnsi="Arial"/>
                <w:sz w:val="13"/>
                <w:szCs w:val="13"/>
                <w:color w:val="auto"/>
                <w:w w:val="72"/>
              </w:rPr>
              <w:t>except</w:t>
            </w:r>
          </w:p>
        </w:tc>
        <w:tc>
          <w:tcPr>
            <w:tcW w:w="1020" w:type="dxa"/>
            <w:vAlign w:val="bottom"/>
          </w:tcPr>
          <w:p>
            <w:pPr>
              <w:jc w:val="right"/>
              <w:ind w:right="99"/>
              <w:spacing w:after="0"/>
              <w:rPr>
                <w:sz w:val="20"/>
                <w:szCs w:val="20"/>
                <w:color w:val="auto"/>
              </w:rPr>
            </w:pPr>
            <w:r>
              <w:rPr>
                <w:rFonts w:ascii="Arial" w:cs="Arial" w:eastAsia="Arial" w:hAnsi="Arial"/>
                <w:sz w:val="14"/>
                <w:szCs w:val="14"/>
                <w:color w:val="auto"/>
              </w:rPr>
              <w:t>percentages)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w w:val="90"/>
              </w:rPr>
              <w:t>(236,024 )</w:t>
            </w:r>
          </w:p>
        </w:tc>
        <w:tc>
          <w:tcPr>
            <w:tcW w:w="102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(196,292 )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20"/>
              <w:spacing w:after="0"/>
              <w:rPr>
                <w:sz w:val="20"/>
                <w:szCs w:val="20"/>
                <w:color w:val="auto"/>
              </w:rPr>
            </w:pPr>
            <w:r>
              <w:rPr>
                <w:rFonts w:ascii="Arial" w:cs="Arial" w:eastAsia="Arial" w:hAnsi="Arial"/>
                <w:sz w:val="18"/>
                <w:szCs w:val="18"/>
                <w:color w:val="auto"/>
              </w:rPr>
              <w:t>Add:</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(376 )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12,655</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7,326</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20"/>
              <w:spacing w:after="0"/>
              <w:rPr>
                <w:sz w:val="20"/>
                <w:szCs w:val="20"/>
                <w:color w:val="auto"/>
              </w:rPr>
            </w:pPr>
            <w:r>
              <w:rPr>
                <w:rFonts w:ascii="Arial" w:cs="Arial" w:eastAsia="Arial" w:hAnsi="Arial"/>
                <w:sz w:val="18"/>
                <w:szCs w:val="18"/>
                <w:color w:val="auto"/>
              </w:rPr>
              <w:t>EBITDA</w:t>
            </w:r>
          </w:p>
        </w:tc>
        <w:tc>
          <w:tcPr>
            <w:tcW w:w="1020" w:type="dxa"/>
            <w:vAlign w:val="bottom"/>
          </w:tcPr>
          <w:p>
            <w:pPr>
              <w:spacing w:after="0"/>
              <w:rPr>
                <w:sz w:val="20"/>
                <w:szCs w:val="20"/>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w w:val="90"/>
              </w:rPr>
              <w:t>(215,511 )</w:t>
            </w:r>
          </w:p>
        </w:tc>
        <w:tc>
          <w:tcPr>
            <w:tcW w:w="10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7"/>
              </w:rPr>
              <w:t>(186,544 )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 net</w:t>
            </w:r>
          </w:p>
        </w:tc>
        <w:tc>
          <w:tcPr>
            <w:tcW w:w="102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Change in fair value of contingent earn-out liabilities</w:t>
            </w:r>
          </w:p>
        </w:tc>
        <w:tc>
          <w:tcPr>
            <w:tcW w:w="1020" w:type="dxa"/>
            <w:vAlign w:val="bottom"/>
          </w:tcPr>
          <w:p>
            <w:pPr>
              <w:spacing w:after="0"/>
              <w:rPr>
                <w:sz w:val="20"/>
                <w:szCs w:val="20"/>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(30,529 )</w:t>
            </w:r>
          </w:p>
        </w:tc>
        <w:tc>
          <w:tcPr>
            <w:tcW w:w="10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(5,240 )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 of a contingent earn-out liability</w:t>
            </w:r>
          </w:p>
        </w:tc>
        <w:tc>
          <w:tcPr>
            <w:tcW w:w="10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20"/>
              <w:spacing w:after="0"/>
              <w:rPr>
                <w:sz w:val="20"/>
                <w:szCs w:val="20"/>
                <w:color w:val="auto"/>
              </w:rPr>
            </w:pPr>
            <w:r>
              <w:rPr>
                <w:rFonts w:ascii="Arial" w:cs="Arial" w:eastAsia="Arial" w:hAnsi="Arial"/>
                <w:sz w:val="18"/>
                <w:szCs w:val="18"/>
                <w:color w:val="auto"/>
              </w:rPr>
              <w:t>Impairment loss on goodwill</w:t>
            </w:r>
          </w:p>
        </w:tc>
        <w:tc>
          <w:tcPr>
            <w:tcW w:w="1020" w:type="dxa"/>
            <w:vAlign w:val="bottom"/>
          </w:tcPr>
          <w:p>
            <w:pPr>
              <w:spacing w:after="0"/>
              <w:rPr>
                <w:sz w:val="20"/>
                <w:szCs w:val="20"/>
                <w:color w:val="auto"/>
              </w:rPr>
            </w:pPr>
          </w:p>
        </w:tc>
        <w:tc>
          <w:tcPr>
            <w:tcW w:w="98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120,409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 loss on intangibles</w:t>
            </w:r>
          </w:p>
        </w:tc>
        <w:tc>
          <w:tcPr>
            <w:tcW w:w="10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Gain on extinguishment of seller note</w:t>
            </w:r>
          </w:p>
        </w:tc>
        <w:tc>
          <w:tcPr>
            <w:tcW w:w="1020" w:type="dxa"/>
            <w:vAlign w:val="bottom"/>
          </w:tcPr>
          <w:p>
            <w:pPr>
              <w:spacing w:after="0"/>
              <w:rPr>
                <w:sz w:val="20"/>
                <w:szCs w:val="20"/>
                <w:color w:val="auto"/>
              </w:rPr>
            </w:pPr>
          </w:p>
        </w:tc>
        <w:tc>
          <w:tcPr>
            <w:tcW w:w="98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440" w:type="dxa"/>
            <w:vAlign w:val="bottom"/>
            <w:shd w:val="clear" w:color="auto" w:fill="CCECFF"/>
          </w:tcPr>
          <w:p>
            <w:pPr>
              <w:ind w:left="20"/>
              <w:spacing w:after="0"/>
              <w:rPr>
                <w:sz w:val="20"/>
                <w:szCs w:val="20"/>
                <w:color w:val="auto"/>
              </w:rPr>
            </w:pPr>
            <w:r>
              <w:rPr>
                <w:rFonts w:ascii="Arial" w:cs="Arial" w:eastAsia="Arial" w:hAnsi="Arial"/>
                <w:sz w:val="18"/>
                <w:szCs w:val="18"/>
                <w:color w:val="auto"/>
              </w:rPr>
              <w:t>Amortization of inventory step-up from acquisitions (included in cost of goods sold)</w:t>
            </w:r>
          </w:p>
        </w:tc>
        <w:tc>
          <w:tcPr>
            <w:tcW w:w="1020" w:type="dxa"/>
            <w:vAlign w:val="bottom"/>
            <w:shd w:val="clear" w:color="auto" w:fill="CCECFF"/>
          </w:tcPr>
          <w:p>
            <w:pPr>
              <w:spacing w:after="0"/>
              <w:rPr>
                <w:sz w:val="22"/>
                <w:szCs w:val="2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5,458</w:t>
            </w:r>
          </w:p>
        </w:tc>
        <w:tc>
          <w:tcPr>
            <w:tcW w:w="280" w:type="dxa"/>
            <w:vAlign w:val="bottom"/>
            <w:shd w:val="clear" w:color="auto" w:fill="CCECFF"/>
          </w:tcPr>
          <w:p>
            <w:pPr>
              <w:spacing w:after="0"/>
              <w:rPr>
                <w:sz w:val="22"/>
                <w:szCs w:val="22"/>
                <w:color w:val="auto"/>
              </w:rPr>
            </w:pPr>
          </w:p>
        </w:tc>
        <w:tc>
          <w:tcPr>
            <w:tcW w:w="1020" w:type="dxa"/>
            <w:vAlign w:val="bottom"/>
            <w:shd w:val="clear" w:color="auto" w:fill="CCECFF"/>
          </w:tcPr>
          <w:p>
            <w:pPr>
              <w:spacing w:after="0"/>
              <w:rPr>
                <w:sz w:val="22"/>
                <w:szCs w:val="22"/>
                <w:color w:val="auto"/>
              </w:rPr>
            </w:pPr>
          </w:p>
        </w:tc>
        <w:tc>
          <w:tcPr>
            <w:tcW w:w="780" w:type="dxa"/>
            <w:vAlign w:val="bottom"/>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Change in fair market value of warrant liability</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26,455</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(470 )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liability discount related to term loan</w:t>
            </w:r>
          </w:p>
        </w:tc>
        <w:tc>
          <w:tcPr>
            <w:tcW w:w="10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Loss on original issuance of equity</w:t>
            </w:r>
          </w:p>
        </w:tc>
        <w:tc>
          <w:tcPr>
            <w:tcW w:w="1020" w:type="dxa"/>
            <w:vAlign w:val="bottom"/>
          </w:tcPr>
          <w:p>
            <w:pPr>
              <w:spacing w:after="0"/>
              <w:rPr>
                <w:sz w:val="20"/>
                <w:szCs w:val="20"/>
                <w:color w:val="auto"/>
              </w:rPr>
            </w:pPr>
          </w:p>
        </w:tc>
        <w:tc>
          <w:tcPr>
            <w:tcW w:w="98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10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138,859</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Loss on initial issuance of warrants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20,147</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Professional fees related to acquisitions</w:t>
            </w:r>
          </w:p>
        </w:tc>
        <w:tc>
          <w:tcPr>
            <w:tcW w:w="10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Transition costs from acquisitions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2,076</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Professional and legal fees related to Photo Paper Direct acquisition</w:t>
            </w:r>
          </w:p>
        </w:tc>
        <w:tc>
          <w:tcPr>
            <w:tcW w:w="10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Litigation reserve</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Reserve on dispute with PPE supplier</w:t>
            </w:r>
          </w:p>
        </w:tc>
        <w:tc>
          <w:tcPr>
            <w:tcW w:w="10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20"/>
              <w:spacing w:after="0"/>
              <w:rPr>
                <w:sz w:val="20"/>
                <w:szCs w:val="20"/>
                <w:color w:val="auto"/>
              </w:rPr>
            </w:pPr>
            <w:r>
              <w:rPr>
                <w:rFonts w:ascii="Arial" w:cs="Arial" w:eastAsia="Arial" w:hAnsi="Arial"/>
                <w:sz w:val="18"/>
                <w:szCs w:val="18"/>
                <w:color w:val="auto"/>
              </w:rPr>
              <w:t>Reserve on barter credits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28,987</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14,594</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(7,159 )</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(33,514 )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8"/>
                <w:szCs w:val="18"/>
                <w:color w:val="auto"/>
              </w:rPr>
              <w:t>Net loss as a percentage of net revenue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(88.8</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2"/>
        </w:trPr>
        <w:tc>
          <w:tcPr>
            <w:tcW w:w="7440" w:type="dxa"/>
            <w:vAlign w:val="bottom"/>
          </w:tcPr>
          <w:p>
            <w:pPr>
              <w:ind w:left="20"/>
              <w:spacing w:after="0"/>
              <w:rPr>
                <w:sz w:val="20"/>
                <w:szCs w:val="20"/>
                <w:color w:val="auto"/>
              </w:rPr>
            </w:pPr>
            <w:r>
              <w:rPr>
                <w:rFonts w:ascii="Arial" w:cs="Arial" w:eastAsia="Arial" w:hAnsi="Arial"/>
                <w:sz w:val="18"/>
                <w:szCs w:val="18"/>
                <w:color w:val="auto"/>
              </w:rPr>
              <w:t>Adjusted EBITDA as a percentage of net revenue</w:t>
            </w:r>
          </w:p>
        </w:tc>
        <w:tc>
          <w:tcPr>
            <w:tcW w:w="10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0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-4610100</wp:posOffset>
            </wp:positionV>
            <wp:extent cx="2427605" cy="2527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27605" cy="25273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-3587115</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-3587115</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3422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U.S. generally accepted accounting principles. The preparation of these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91" w:lineRule="exact"/>
        <w:rPr>
          <w:sz w:val="20"/>
          <w:szCs w:val="20"/>
          <w:color w:val="auto"/>
        </w:rPr>
      </w:pPr>
    </w:p>
    <w:p>
      <w:pPr>
        <w:jc w:val="both"/>
        <w:ind w:right="100"/>
        <w:spacing w:after="0" w:line="341"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Annual Report, we believe the following accounting policies used in the preparation of our financial statements require the most significant judgments and estimates.</w:t>
      </w:r>
    </w:p>
    <w:p>
      <w:pPr>
        <w:spacing w:after="0" w:line="1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34" w:name="page35"/>
    <w:bookmarkEnd w:id="34"/>
    <w:p>
      <w:pPr>
        <w:jc w:val="both"/>
        <w:ind w:right="20"/>
        <w:spacing w:after="0" w:line="281"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—We account for revenue in accordance with Financial Accounting Standards Board (“FASB”) Accounting Standards Codification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(“ASC”) Topic 606, Revenue from Contracts with Customers.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derive our revenue from the sale of consumer products. We sell our products directly to consumers through online retail channels and through wholesale channels. For direct-to-consumer sales, we consider customer order confirmations to be a contract with the customer. Customer confirmations are executed at the time an order is placed through third-party online channels. For wholesale sales, we consider the customer purchase order to be the contract. For all of our sales and distribution channels, revenue is recognized when control of the product is transferred to the customer (i.e., when our performance obligation is satisfied), which typically occurs at shipment date. As a result, we have a present and unconditional right to payment and record the amount due from the customer in accounts receivable.</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consumer product sales is recorded at the net sales price (transaction price), which includes an estimate of future returns based on historical return rates.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judgment in utilizing historical trends for estimating future returns and estimates around newly launched products which do not have historical data.</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refund liability for sales returns was $0.6 million at December 31, 2021 and 2022, which is included in accrued liabilities and represents the expected value of the refund that will be due to our customers.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Inventory valuation</w:t>
      </w:r>
      <w:r>
        <w:rPr>
          <w:rFonts w:ascii="Arial" w:cs="Arial" w:eastAsia="Arial" w:hAnsi="Arial"/>
          <w:sz w:val="18"/>
          <w:szCs w:val="18"/>
          <w:color w:val="auto"/>
        </w:rPr>
        <w:t>—Inventories, consisting of products available for sale, are primarily accounted for using the first-in first-out method, and are valued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lower of cost and net realizable value. This valuation requires us to make judgments, based on available information such as historical data, about the likely method of disposition, such as through sales to individual customers or liquidations, and expected recoverable values of each disposition category. These assumptions about future disposition of inventory are inherently uncertain and changes in our estimates and assumptions may cause us to realize material write-downs in the future.</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Warrant Liability</w:t>
      </w:r>
      <w:r>
        <w:rPr>
          <w:rFonts w:ascii="Arial" w:cs="Arial" w:eastAsia="Arial" w:hAnsi="Arial"/>
          <w:sz w:val="18"/>
          <w:szCs w:val="18"/>
          <w:color w:val="auto"/>
        </w:rPr>
        <w:t>—The fair values of the outstanding warrants were measured using the Black Scholes model. Due to the complexity of the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we use an outside expert to assist in providing the mark to market fair valuation of the liabilities over the reporting periods in which the original agreement was in effect.</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liability, and are recorded within the Change in fair market value of warrant line item on the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warrant liability was $0.0 million and $3.5 million at December 31, 2021 and 2022, respectively.</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Accounting for contingent consideration</w:t>
      </w:r>
      <w:r>
        <w:rPr>
          <w:rFonts w:ascii="Arial" w:cs="Arial" w:eastAsia="Arial" w:hAnsi="Arial"/>
          <w:sz w:val="18"/>
          <w:szCs w:val="18"/>
          <w:color w:val="auto"/>
        </w:rPr>
        <w:t>—Our acquisitions may include contingent consideration as part of the purchase price. The fair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consideration is estimated as of the acquisition date based on the present value of the contingent payments to be made using a weighted probability of possible payments.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unobservable inputs used in the determination of the fair value of the contingent consideration include management’s assumptions about the likelihood of payment based on the established benchmarks and discount rates based on internal rate of return analysis. The fair value measurement includes inputs that are Level 3 measurement as discussed in Note 6 to our Consolidated Financial Statements included in this Annual Report. Should actual results increase or decrease as compared to the assumption used in our analysis, the fair value of the contingent consideration obligations will increase or decrease, up to the contracted limit, as applicable. Changes in the fair value of the contingent earn-out consideration could cause a material impact and volatility in our operating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Contingent earn-out liabilities were $9.2 million and $0.0 million at December 31, 2021 and 2022, respectively.</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Accounting for Business Combinations</w:t>
      </w:r>
      <w:r>
        <w:rPr>
          <w:rFonts w:ascii="Arial" w:cs="Arial" w:eastAsia="Arial" w:hAnsi="Arial"/>
          <w:sz w:val="18"/>
          <w:szCs w:val="18"/>
          <w:color w:val="auto"/>
        </w:rPr>
        <w:t>—We allocate the purchase price of acquired companies to the tangible and intangible assets acquired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assumed, based upon their estimated fair values at the acquisition date. These fair values are typically estimated with assistance from independent valuation specialists.</w:t>
      </w:r>
    </w:p>
    <w:p>
      <w:pPr>
        <w:spacing w:after="0" w:line="18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ind w:right="20"/>
        <w:spacing w:after="0" w:line="277"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Examples of critical estimates in valuing certain of the intangible assets we have acquired or may acquire in the future include but are not limited to:</w:t>
      </w:r>
    </w:p>
    <w:p>
      <w:pPr>
        <w:spacing w:after="0" w:line="236"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expected cash flows from product sales or other customer contracts;</w:t>
      </w:r>
    </w:p>
    <w:p>
      <w:pPr>
        <w:spacing w:after="0" w:line="23"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costs of fulfillment including marketing, warehousing and product sales;</w:t>
      </w:r>
    </w:p>
    <w:p>
      <w:pPr>
        <w:spacing w:after="0" w:line="8" w:lineRule="exact"/>
        <w:rPr>
          <w:rFonts w:ascii="Arial" w:cs="Arial" w:eastAsia="Arial" w:hAnsi="Arial"/>
          <w:sz w:val="18"/>
          <w:szCs w:val="18"/>
          <w:color w:val="auto"/>
        </w:rPr>
      </w:pPr>
    </w:p>
    <w:p>
      <w:pPr>
        <w:ind w:left="760" w:right="240" w:hanging="378"/>
        <w:spacing w:after="0" w:line="250"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w:t>
      </w: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Refer to Note16 - Acquisitions to our Consolidated Financial Statements included in this Annual Report-for more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Goodwill Valuation </w:t>
      </w:r>
      <w:r>
        <w:rPr>
          <w:rFonts w:ascii="Arial" w:cs="Arial" w:eastAsia="Arial" w:hAnsi="Arial"/>
          <w:sz w:val="16"/>
          <w:szCs w:val="16"/>
          <w:color w:val="auto"/>
        </w:rPr>
        <w:t>—We operate under one business component which is the same as our reporting unit based on the guidance in ASC Topic 350-20.</w:t>
      </w:r>
    </w:p>
    <w:p>
      <w:pPr>
        <w:spacing w:after="0" w:line="211"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We assess goodwill for impairment at least annually during the fourth quarter and whenever events or changes in circumstances indicate that the carrying value may not be recoverable. During 2022, we had events and conditions in the first and third quarter that required an interim assessment of goodwill.</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evaluated current economic conditions,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Accordingly, we concluded a triggering event had occurred and performed interim goodwill impairment analyses and determined that our goodwill impaired during the three months ended March 31, 2022 and three months ended September 30, 2022.</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engaged a third-party valuation specialist to assist management in performing an interim goodwill impairment test. For goodwill, impairment testing is based upon the best information available using a combination of the discounted cash flow method (a form of the income approach) and the guideline public company method, while also taking into consideration our market capitalization. 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our market capitalization.</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Due to the sustained decline in our stock price leading up to and subsequent to March 31, 2022 and September 30, 2022, we used the market capitalization to determine the fair value of the reporting unit. As a result, we recorded impairment charges of $29.0 and $90.0 million during the three months ending March 31, 2022 and September 30, 2022, respectively. There was no remaining goodwill on the balance sheet as of September 30, 2022.</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believe our conclusions regarding the estimates of fair value of our reporting unit are appropriate, these estimates are subject to uncertainty and by nature include judgments and estimates regarding various factors. These factors include the rate and extent of growth in the markets that our reporting unit serves, the realization of future sales price and volume increases, fluctuations in price and availability of key raw materials, future operating efficiencies and, as it pertains to discount rates, the volatility in interest rates and costs of equity.</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Some of the inherent estimates and assumptions used in determining fair value of our reporting unit are outside the control of management, including interest rates, tax rates, credit ratings and industry growth. Given the current COVID-19 global pandemic and the uncertainties regarding the financial potential impact on our business, there can be no assurance that our estimates and assumptions regarding the impact of COVID-19 and the recovery period made for purposes of the goodwill impairment testing performed will prove to be accurate predictions of the future.</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4, 2022, the Company acquired Step and Go, a brand in the health and Wellness category, for $0.7 million. As part of the purchase price allocation of the acquisition, $0.5 million was attributed to goodwill. As our market capitalization was further reduced below net assets as of December 31, 2022, an impairment loss on goodwill of $0.5 million was recorded for the three months ended December 31, 2022.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As a result of these analyses, we recorded a total goodwill impairment charge of approximately $120.4 million for the year-ended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Goodwill was $119.9 million and $0.0 million at December 31, 2021 and December 31, 2022,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assumptions and estimates made are reasonable and appropriate, and changes in the assumptions and estimates could have a material impact on our reported financial results.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Intangible asset valuation </w:t>
      </w:r>
      <w:r>
        <w:rPr>
          <w:rFonts w:ascii="Arial" w:cs="Arial" w:eastAsia="Arial" w:hAnsi="Arial"/>
          <w:sz w:val="18"/>
          <w:szCs w:val="18"/>
          <w:color w:val="auto"/>
        </w:rPr>
        <w:t>—We review long-lived assets for impairment when performance expectations, events, or changes in circumstances indicate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 Certain asset groups experienced a significant decrease in sales and contribution margin through September 30, 2022. This was considered an interim triggering event for the three months ended September 30, 2022. We assessed the recoverability of the related intangible assets by using level 3 inputs and comparing carrying value of an asset group to the net undiscounted cash flows expected to be generated to determine if carrying value is not recoverable.</w:t>
      </w:r>
    </w:p>
    <w:p>
      <w:pPr>
        <w:spacing w:after="0" w:line="19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recoverability test indicated that certain definite-lived trademark intangible assets were impaired which resulted in an impairment charge. We recorded an intangible impairment charge of $3.1 million in the three months ended September 30, 2022. The Company did not have a triggering event during the three months ended December 31, 2022. Total impairment loss on intangibles for the year-ended December 31, 2022 was $3.1 million.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closely monitor actual results versus expectations as well as whether and to what extent any significant changes in current events or conditions, including changes to the impacts of COVID-19 on our business,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and future operating efficiencies.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2012, the Jumpstart Our Business Startups Act of 2012 (the “JOBS Act”) was enacted. Section 107 of the JOBS Act provides that an “emerging growth company” (“EGC”) can take advantage of the extended transition period provided in Section 7(a)(2)(B) of the Securities Act of 1933, as amended, for complying with new or revised accounting standards.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as an EGC,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remain an EGC until the earlier of (i) the last day of the fiscal year in which we have total annual gross revenues of $1.07 billion or more; (ii) the last day of the fiscal year following the fifth anniversary of the completion of our initial public offering, or December 31, 2024; (iii) the date on which we have issued more than $1.0 billion in non-convertible debt during the previous three years; or (iv) the date on which we are deemed to be a large accelerated filer under the rules of the Securities and Exchange Commission (the “SEC”) (i.e., the first day of the fiscal year after we have (1) more than $700.0 million in outstanding common equity held by our non-affiliates, measured each year on the last day of our second fiscal quarter, (2) been public for at least 12 months, and (3) are not eligible to be deemed a “smaller reporting company” because we do not meet the revenue test of the definition of “smaller reporting company”, which includes an initial determination that our annual revenues are more than $100.0 million for the most recently completed fiscal year).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Adopted Accounting Standards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issued Accounting Standards Update (“ASU”) No. 2016-02, Leases (Topic 842) (“ASC 842”), which was amended by subsequent ASUs, to enhance the comparability and usefulness of financial reporting around leasing activity. The new standard supersedes the existing authoritative literature for lease accounting under ASC 840, with a focus on applying a “right-of-use model.” The guidance for leases under ASC 842 results in a right-of-use asset (“ROU asset”) and lease liability being reported on the balance sheet for leases with an original lease term greater than twelve months. ASC 842 is effective for the Company for annual reporting periods beginning after December 15, 2021, including interim periods within that fiscal year. The Company elected the standard on January 1, 2022 using the alternative modified retrospective transition approach in accordance with ASU 2018-11, Leases (Topic 842): Targeted Improvements. The cumulative effect of the transition adjustments was recognized as of the date of adoption.</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alternative modified retrospective transition approach, the reported results for 2022 reflect the application of ASC 842 guidance, whereas comparative periods and the respective disclosures prior to the adoption of ASC 842 are presented using the legacy guidance of ASC 840. The Company recorded an aggregate of approximately $0.7 million of right-of-use assets and a corresponding $0.7 million of lease liabilities upon adoption of this standard. Current Right-of-use assets of $0.2 million and corresponding lease liabilities are included in the prepaid and other current assets and accrued and other current liabilities line item respectively on the condensed consolidated balance sheets. Non-current Right-of-Use Assets of $0.1 million and corresponding lease liabilities are included in the prepaid and other non-current assets and accrued and other non-current liabilities line item respectively on the condensed consolidated balance sheets. The adoption of the standard did not have a material impact on the condensed consolidated statements of operations, or condensed consolidated statements of cash flows. The Company has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elected the practical expedient that permit the exclusions of leases considered to be short-term.</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2018, the FASB issued ASU No. 2018-15, “Customer’s Accounting for Implementation Cost Incurred in a Cloud Computing Arrangement That Is a Service Contract”. Under the new guidance, customers apply the same criteria for capitalizing implementation costs as they would for an arrangement that has a software license. This will result in certain 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w:t>
      </w:r>
      <w:r>
        <w:rPr>
          <w:rFonts w:ascii="Arial" w:cs="Arial" w:eastAsia="Arial" w:hAnsi="Arial"/>
          <w:sz w:val="17"/>
          <w:szCs w:val="17"/>
          <w:color w:val="202124"/>
        </w:rPr>
        <w:t>The new guidance is effective for public business entities in fiscal years beginning after December</w:t>
      </w:r>
      <w:r>
        <w:rPr>
          <w:rFonts w:ascii="Arial" w:cs="Arial" w:eastAsia="Arial" w:hAnsi="Arial"/>
          <w:sz w:val="17"/>
          <w:szCs w:val="17"/>
          <w:color w:val="auto"/>
        </w:rPr>
        <w:t xml:space="preserve"> </w:t>
      </w:r>
      <w:r>
        <w:rPr>
          <w:rFonts w:ascii="Arial" w:cs="Arial" w:eastAsia="Arial" w:hAnsi="Arial"/>
          <w:sz w:val="17"/>
          <w:szCs w:val="17"/>
          <w:color w:val="202124"/>
        </w:rPr>
        <w:t xml:space="preserve">15, 2019, and interim periods within those fiscal years. For all other entities, the amendments in this update are effective for annual reporting periods beginning after December 15, 2020, and interim periods within annual periods beginning after December 15, 2021. </w:t>
      </w:r>
      <w:r>
        <w:rPr>
          <w:rFonts w:ascii="Arial" w:cs="Arial" w:eastAsia="Arial" w:hAnsi="Arial"/>
          <w:sz w:val="17"/>
          <w:szCs w:val="17"/>
          <w:color w:val="000000"/>
        </w:rPr>
        <w:t>The new guidance was adopted on</w:t>
      </w:r>
      <w:r>
        <w:rPr>
          <w:rFonts w:ascii="Arial" w:cs="Arial" w:eastAsia="Arial" w:hAnsi="Arial"/>
          <w:sz w:val="17"/>
          <w:szCs w:val="17"/>
          <w:color w:val="202124"/>
        </w:rPr>
        <w:t xml:space="preserve"> </w:t>
      </w:r>
      <w:r>
        <w:rPr>
          <w:rFonts w:ascii="Arial" w:cs="Arial" w:eastAsia="Arial" w:hAnsi="Arial"/>
          <w:sz w:val="17"/>
          <w:szCs w:val="17"/>
          <w:color w:val="000000"/>
        </w:rPr>
        <w:t>December 15, 2021 with no material impact on the Company’s Consolidated Financial Statements.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2020, the FASB issued ASU No. 2020-06, “Debt—Debt with Conversion and Other Options (Topic 470) and Derivatives and Hedging— Contracts in Entity’s Own Equity (Topic 814): Accounting for Convertible Instruments and Contracts in an Entity’s Own Equity” (“ASU 2020-06”). ASU 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2023, including interim periods within those fiscal years. Early adoption is permitted. The new guidance was early adopted on January 1, 2022 with no material impact on the Company’s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8"/>
          <w:szCs w:val="18"/>
          <w:b w:val="1"/>
          <w:bCs w:val="1"/>
          <w:color w:val="auto"/>
        </w:rPr>
        <w:t>ecent Accounting Pronouncements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JOBS Act permits an emerging growth company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financial statements may not be comparable to companies that comply with new or revised accounting pronouncements as of public company effective 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2016, the FASB issued ASU 2016-13: Financial Instruments – Credit Losses (Topic 326).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The Company does not expect it to have a material impact on its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8" w:name="page39"/>
    <w:bookmarkEnd w:id="38"/>
    <w:p>
      <w:pPr>
        <w:jc w:val="both"/>
        <w:spacing w:after="0" w:line="256" w:lineRule="auto"/>
        <w:rPr>
          <w:sz w:val="20"/>
          <w:szCs w:val="20"/>
          <w:color w:val="auto"/>
        </w:rPr>
      </w:pPr>
      <w:r>
        <w:rPr>
          <w:rFonts w:ascii="Arial" w:cs="Arial" w:eastAsia="Arial" w:hAnsi="Arial"/>
          <w:sz w:val="18"/>
          <w:szCs w:val="18"/>
          <w:color w:val="auto"/>
        </w:rPr>
        <w:t>In December 2019, the FASB issued ASU 2019-12, Income Taxes.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While the Company has not completed its evaluation of the impact of adoption of this standard, the Company does not expect it to have a material impact on its Consolidated Financial Statements.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2020, the FASB issued ASU 2020-10, Codification Improvements. The amendments in this Update represent changes to clarify the Codification, correct unintended application of guidance, or make minor improvements to the Codification that are not expected to have a significant effect on current accounting practice or create a significant administrative cost to most entities. The amendments are effective for annual periods beginning after December 15, 2020, for public business entities. For all other entities, the amendments are effective for annual periods beginning after December 15, 2021, and interim periods within annual periods beginning after December 15, 2022. While the Company has not completed its evaluation of the impact of adoption of this standard, the Company does not expect it to have a material impact on its Consolidated Financial Statements and will adopt it as of January 2023.</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2022, the FASB issued ASU 2022-04, Disclosures for Supplier Finance Arrangements. The amendments in this Update enhances the transparency of supplier finance programs. This standard is effective for fiscal years beginning after December 15, 2021, and interim periods within fiscal years beginning after December 15, 2022 except for amendment on rollforward information, which is effective for fiscal years beginning after December 15, 2023. Early adoption is permitted. While the Company has not completed its evaluation of the impact of adoption of this standard, the Company does not expect it to have a material impact on its Consolidated Financial Statements and will adopt it as of January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have outstanding debt under the Credit Facility with MidCap that bears interest. As of December 31, 2022, our outstanding indebtedness under the Credit Facility was $21.1 million, which bears interest at a rate of Term Secured Overnight Financing Rate ("Term SOFR"), which is defined as SOFR plus 0.10%, plus 5.50%. We do not believe that an immediate 10% increase in interest rates would have a material effect on interest expense for the Credit Facility, and therefore we do not expect our operating results or cash flows to be materially affected to any degree by a sudden change in market interest.</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U.S. represented approximately 1% and 2% of our net revenue for the years-ended December 31, 2021 and 2022, respectively.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U.S. To date, our foreign currency risk has been minimal, and we have not historically hedged our foreign currency risk; however, we may consider doing so in the future.</w:t>
      </w:r>
    </w:p>
    <w:p>
      <w:pPr>
        <w:spacing w:after="0" w:line="1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Inflation would generally affect us by increasing our cost of labor and overhead costs. We do not believe that inflation had a material effect on our business, financial condition or results of operations for the years-ended December 31, 2021 and December 31,2022.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ATERIAN,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ndex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0000FF"/>
        </w:rPr>
        <w:t>Report of Independent Registered Public Accounting Firm (PCAOB ID No.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wp:posOffset>
            </wp:positionV>
            <wp:extent cx="2674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0000FF"/>
        </w:rPr>
        <w:t>Consolidated Balance Sheets as of December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-10160</wp:posOffset>
            </wp:positionV>
            <wp:extent cx="29470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0000FF"/>
        </w:rPr>
        <w:t>Consolidated Statements of Operations for the Years-Ended December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-3175</wp:posOffset>
            </wp:positionV>
            <wp:extent cx="41021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02100" cy="8255"/>
                    </a:xfrm>
                    <a:prstGeom prst="rect">
                      <a:avLst/>
                    </a:prstGeom>
                    <a:noFill/>
                  </pic:spPr>
                </pic:pic>
              </a:graphicData>
            </a:graphic>
          </wp:anchor>
        </w:drawing>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6"/>
          <w:szCs w:val="16"/>
          <w:u w:val="single" w:color="auto"/>
          <w:color w:val="0000FF"/>
        </w:rPr>
        <w:t>Consolidated Statements of Comprehensive Loss for the Years-Ended December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3810</wp:posOffset>
            </wp:positionV>
            <wp:extent cx="45618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61840" cy="8255"/>
                    </a:xfrm>
                    <a:prstGeom prst="rect">
                      <a:avLst/>
                    </a:prstGeom>
                    <a:noFill/>
                  </pic:spPr>
                </pic:pic>
              </a:graphicData>
            </a:graphic>
          </wp:anchor>
        </w:drawing>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6"/>
          <w:szCs w:val="16"/>
          <w:u w:val="single" w:color="auto"/>
          <w:color w:val="0000FF"/>
        </w:rPr>
        <w:t>Consolidated Statements of Stockholders’ Equity for the Years-Ended December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3810</wp:posOffset>
            </wp:positionV>
            <wp:extent cx="45681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0000FF"/>
        </w:rPr>
        <w:t>Consolidated Statements of Cash Flows for the Years-Ended December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-3175</wp:posOffset>
            </wp:positionV>
            <wp:extent cx="41370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37025" cy="8255"/>
                    </a:xfrm>
                    <a:prstGeom prst="rect">
                      <a:avLst/>
                    </a:prstGeom>
                    <a:noFill/>
                  </pic:spPr>
                </pic:pic>
              </a:graphicData>
            </a:graphic>
          </wp:anchor>
        </w:drawing>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0000FF"/>
        </w:rPr>
        <w:t>Notes to Consolidated Financial Statements for the Years-Ended December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-3175</wp:posOffset>
            </wp:positionV>
            <wp:extent cx="43148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482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40" w:name="page41"/>
    <w:bookmarkEnd w:id="40"/>
    <w:p>
      <w:pPr>
        <w:ind w:right="5080"/>
        <w:spacing w:after="0" w:line="28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Aterian,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audited the accompanying consolidated balance sheets of Aterian, Inc. and subsidiaries (the "Company") as of December 31, 2021 and 2022, the related consolidated statements of operations, comprehensive loss,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2021 and 2022, and the results of its operations and its cash flows for each of the two years in the period ended December 31, 2022,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consolidated financial statements have been prepared assuming the Company will be able to continue as a going concern. As discussed in Note 1 to the consolidated financial statements, the Company has incurred recurring losses from operations and recurring negative operating cash flows since inception and may be unable to remain in compliance with certain financial covenants required by the agreement governing the Company’s credit facility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43,574</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Accounts receivable—net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10,478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43,666</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20"/>
                <w:szCs w:val="20"/>
                <w:color w:val="auto"/>
              </w:rPr>
            </w:pPr>
          </w:p>
        </w:tc>
      </w:tr>
      <w:tr>
        <w:trPr>
          <w:trHeight w:val="242"/>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124,874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100,016</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GOODWILL—net</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119,941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OTHER INTANGIBLES—net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64,955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54,757</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2,546</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313,570</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156,439</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facility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21,053</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21,716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16,035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Seller notes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Contingent earn-out liability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83,742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53,035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CONTINGENT EARN-OUT LIABILITY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5,240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89,342</w:t>
            </w:r>
          </w:p>
        </w:tc>
        <w:tc>
          <w:tcPr>
            <w:tcW w:w="28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54,487</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680" w:type="dxa"/>
            <w:vAlign w:val="bottom"/>
          </w:tcPr>
          <w:p>
            <w:pPr>
              <w:ind w:left="20"/>
              <w:spacing w:after="0"/>
              <w:rPr>
                <w:sz w:val="20"/>
                <w:szCs w:val="20"/>
                <w:color w:val="auto"/>
              </w:rPr>
            </w:pPr>
            <w:r>
              <w:rPr>
                <w:rFonts w:ascii="Arial" w:cs="Arial" w:eastAsia="Arial" w:hAnsi="Arial"/>
                <w:sz w:val="18"/>
                <w:szCs w:val="18"/>
                <w:color w:val="auto"/>
              </w:rPr>
              <w:t>Common stock, $0.0001 par value, 500,000,000 shares authorized and 55,090,237 and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80,752,290 shares outstanding at December 31, 2021 and December 31, 2022, 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653,650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728,339</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(428,959 )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(625,251 )</w:t>
            </w: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(468 )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(1,144 )</w:t>
            </w:r>
          </w:p>
        </w:tc>
      </w:tr>
      <w:tr>
        <w:trPr>
          <w:trHeight w:val="23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224,228</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101,952</w:t>
            </w:r>
          </w:p>
        </w:tc>
        <w:tc>
          <w:tcPr>
            <w:tcW w:w="100" w:type="dxa"/>
            <w:vAlign w:val="bottom"/>
            <w:tcBorders>
              <w:top w:val="single" w:sz="8" w:color="CFF0FC"/>
            </w:tcBorders>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313,570</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-3312795</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-3312795</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-2045970</wp:posOffset>
            </wp:positionV>
            <wp:extent cx="6858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-350520</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Year-Ended December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247,767</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221,170</w:t>
            </w:r>
          </w:p>
        </w:tc>
        <w:tc>
          <w:tcPr>
            <w:tcW w:w="100" w:type="dxa"/>
            <w:vAlign w:val="bottom"/>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125,904</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115,652</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121,863</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distribution</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127,369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121,139</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9,837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38,239</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Impairment loss on goodwill</w:t>
            </w:r>
          </w:p>
        </w:tc>
        <w:tc>
          <w:tcPr>
            <w:tcW w:w="380" w:type="dxa"/>
            <w:vAlign w:val="bottom"/>
          </w:tcPr>
          <w:p>
            <w:pPr>
              <w:spacing w:after="0"/>
              <w:rPr>
                <w:sz w:val="20"/>
                <w:szCs w:val="20"/>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120,409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 loss on intangibles</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Settlement of a contingent earn-out liability</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contingent earn-out liabilities</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(30,529 )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(5,240 )</w:t>
            </w:r>
          </w:p>
        </w:tc>
      </w:tr>
      <w:tr>
        <w:trPr>
          <w:trHeight w:val="236"/>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155,940</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283,677</w:t>
            </w:r>
          </w:p>
        </w:tc>
        <w:tc>
          <w:tcPr>
            <w:tcW w:w="100" w:type="dxa"/>
            <w:vAlign w:val="bottom"/>
            <w:tcBorders>
              <w:top w:val="single" w:sz="8" w:color="CFF0FC"/>
            </w:tcBorders>
          </w:tcPr>
          <w:p>
            <w:pPr>
              <w:spacing w:after="0"/>
              <w:rPr>
                <w:sz w:val="20"/>
                <w:szCs w:val="20"/>
                <w:color w:val="auto"/>
              </w:rPr>
            </w:pPr>
          </w:p>
        </w:tc>
      </w:tr>
      <w:tr>
        <w:trPr>
          <w:trHeight w:val="24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(178,159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INTEREST EXPENSE—net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12,655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EXTINGUISHMENT OF SELLER NOTE</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(2,012 )</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LOSS ON INITIAL ISSUANCE OF EQUITY</w:t>
            </w:r>
          </w:p>
        </w:tc>
        <w:tc>
          <w:tcPr>
            <w:tcW w:w="380" w:type="dxa"/>
            <w:vAlign w:val="bottom"/>
          </w:tcPr>
          <w:p>
            <w:pPr>
              <w:spacing w:after="0"/>
              <w:rPr>
                <w:sz w:val="20"/>
                <w:szCs w:val="20"/>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138,859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(470 )</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LOSS ON INITIAL ISSUANCE OF WARRANTS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20,147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(INCOME)—net</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20"/>
                <w:szCs w:val="20"/>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(235,492 )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(196,668 )</w:t>
            </w: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(376 )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(236,024 )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(196,292 )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Weighted-average number of shares outstanding, basic and diluted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35,379,005</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66,529,565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-3663950</wp:posOffset>
            </wp:positionV>
            <wp:extent cx="6858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-3663950</wp:posOffset>
            </wp:positionV>
            <wp:extent cx="6858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-2422525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-864235</wp:posOffset>
            </wp:positionV>
            <wp:extent cx="6858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-547370</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-547370</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-205105</wp:posOffset>
            </wp:positionV>
            <wp:extent cx="1241425"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41425" cy="20574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0"/>
        </w:trPr>
        <w:tc>
          <w:tcPr>
            <w:tcW w:w="7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(236,024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(196,292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8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(477 )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(676 )</w:t>
            </w:r>
          </w:p>
        </w:tc>
      </w:tr>
      <w:tr>
        <w:trPr>
          <w:trHeight w:val="20"/>
        </w:trPr>
        <w:tc>
          <w:tcPr>
            <w:tcW w:w="78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8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(477 )</w:t>
            </w: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(676 )</w:t>
            </w:r>
          </w:p>
        </w:tc>
      </w:tr>
      <w:tr>
        <w:trPr>
          <w:trHeight w:val="276"/>
        </w:trPr>
        <w:tc>
          <w:tcPr>
            <w:tcW w:w="7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(236,501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-667385</wp:posOffset>
            </wp:positionV>
            <wp:extent cx="6858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-350520</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4"/>
          <w:szCs w:val="14"/>
          <w:b w:val="1"/>
          <w:bCs w:val="1"/>
          <w:color w:val="auto"/>
        </w:rPr>
        <w:t>ATERIAN, INC.</w:t>
      </w:r>
    </w:p>
    <w:p>
      <w:pPr>
        <w:ind w:left="4120"/>
        <w:spacing w:after="0" w:line="226" w:lineRule="auto"/>
        <w:rPr>
          <w:sz w:val="20"/>
          <w:szCs w:val="20"/>
          <w:color w:val="auto"/>
        </w:rPr>
      </w:pPr>
      <w:r>
        <w:rPr>
          <w:rFonts w:ascii="Arial" w:cs="Arial" w:eastAsia="Arial" w:hAnsi="Arial"/>
          <w:sz w:val="14"/>
          <w:szCs w:val="14"/>
          <w:b w:val="1"/>
          <w:bCs w:val="1"/>
          <w:color w:val="auto"/>
        </w:rPr>
        <w:t>Consolidated Statements of Stockholders’ Equity</w:t>
      </w:r>
    </w:p>
    <w:p>
      <w:pPr>
        <w:ind w:left="4200"/>
        <w:spacing w:after="0"/>
        <w:rPr>
          <w:sz w:val="20"/>
          <w:szCs w:val="20"/>
          <w:color w:val="auto"/>
        </w:rPr>
      </w:pPr>
      <w:r>
        <w:rPr>
          <w:rFonts w:ascii="Arial" w:cs="Arial" w:eastAsia="Arial" w:hAnsi="Arial"/>
          <w:sz w:val="14"/>
          <w:szCs w:val="14"/>
          <w:b w:val="1"/>
          <w:bCs w:val="1"/>
          <w:i w:val="1"/>
          <w:iCs w:val="1"/>
          <w:color w:val="auto"/>
        </w:rPr>
        <w:t>(in thousands, except share and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4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rPr>
              <w:t>Other</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Stockholder</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2200" w:type="dxa"/>
            <w:vAlign w:val="bottom"/>
            <w:gridSpan w:val="6"/>
          </w:tcPr>
          <w:p>
            <w:pPr>
              <w:jc w:val="right"/>
              <w:ind w:right="70"/>
              <w:spacing w:after="0"/>
              <w:rPr>
                <w:sz w:val="20"/>
                <w:szCs w:val="20"/>
                <w:color w:val="auto"/>
              </w:rPr>
            </w:pPr>
            <w:r>
              <w:rPr>
                <w:rFonts w:ascii="Arial" w:cs="Arial" w:eastAsia="Arial" w:hAnsi="Arial"/>
                <w:sz w:val="14"/>
                <w:szCs w:val="14"/>
                <w:b w:val="1"/>
                <w:bCs w:val="1"/>
                <w:color w:val="auto"/>
                <w:w w:val="98"/>
              </w:rPr>
              <w:t>Accumulated   Comprehensive</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w:t>
            </w: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20"/>
                <w:szCs w:val="20"/>
                <w:color w:val="auto"/>
              </w:rPr>
            </w:pPr>
          </w:p>
        </w:tc>
        <w:tc>
          <w:tcPr>
            <w:tcW w:w="98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20"/>
                <w:szCs w:val="2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51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BALANCE—December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27,074,791</w:t>
            </w:r>
          </w:p>
        </w:tc>
        <w:tc>
          <w:tcPr>
            <w:tcW w:w="1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216,305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(192,935</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9"/>
              </w:rPr>
              <w:t>(236,024 )</w:t>
            </w:r>
          </w:p>
        </w:tc>
        <w:tc>
          <w:tcPr>
            <w:tcW w:w="100" w:type="dxa"/>
            <w:vAlign w:val="bottom"/>
          </w:tcPr>
          <w:p>
            <w:pPr>
              <w:spacing w:after="0"/>
              <w:rPr>
                <w:sz w:val="20"/>
                <w:szCs w:val="20"/>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(236,024 )</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upon exercise of stock option grants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1,011,422</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Issuance of common stock related to exercise of 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6,405,605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180" w:type="dxa"/>
            <w:vAlign w:val="bottom"/>
            <w:shd w:val="clear" w:color="auto" w:fill="CCECFF"/>
          </w:tcPr>
          <w:p>
            <w:pPr>
              <w:ind w:left="20"/>
              <w:spacing w:after="0"/>
              <w:rPr>
                <w:sz w:val="20"/>
                <w:szCs w:val="20"/>
                <w:color w:val="auto"/>
              </w:rPr>
            </w:pPr>
            <w:r>
              <w:rPr>
                <w:rFonts w:ascii="Arial" w:cs="Arial" w:eastAsia="Arial" w:hAnsi="Arial"/>
                <w:sz w:val="18"/>
                <w:szCs w:val="18"/>
                <w:color w:val="auto"/>
                <w:w w:val="95"/>
              </w:rPr>
              <w:t>Issuance of common stock in connection with acquisition of Healing</w:t>
            </w:r>
          </w:p>
        </w:tc>
        <w:tc>
          <w:tcPr>
            <w:tcW w:w="1000" w:type="dxa"/>
            <w:vAlign w:val="bottom"/>
            <w:shd w:val="clear" w:color="auto" w:fill="CCECFF"/>
          </w:tcPr>
          <w:p>
            <w:pPr>
              <w:spacing w:after="0"/>
              <w:rPr>
                <w:sz w:val="19"/>
                <w:szCs w:val="19"/>
                <w:color w:val="auto"/>
              </w:rPr>
            </w:pPr>
          </w:p>
        </w:tc>
        <w:tc>
          <w:tcPr>
            <w:tcW w:w="140" w:type="dxa"/>
            <w:vAlign w:val="bottom"/>
            <w:tcBorders>
              <w:right w:val="single" w:sz="8" w:color="CCECFF"/>
            </w:tcBorders>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140" w:type="dxa"/>
            <w:vAlign w:val="bottom"/>
            <w:tcBorders>
              <w:right w:val="single" w:sz="8" w:color="CCECFF"/>
            </w:tcBorders>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6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6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CCECFF"/>
          </w:tcPr>
          <w:p>
            <w:pPr>
              <w:ind w:left="20"/>
              <w:spacing w:after="0"/>
              <w:rPr>
                <w:sz w:val="20"/>
                <w:szCs w:val="20"/>
                <w:color w:val="auto"/>
              </w:rPr>
            </w:pPr>
            <w:r>
              <w:rPr>
                <w:rFonts w:ascii="Arial" w:cs="Arial" w:eastAsia="Arial" w:hAnsi="Arial"/>
                <w:sz w:val="18"/>
                <w:szCs w:val="18"/>
                <w:color w:val="auto"/>
              </w:rPr>
              <w:t>Solutions assets</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2,796,001</w:t>
            </w:r>
          </w:p>
        </w:tc>
        <w:tc>
          <w:tcPr>
            <w:tcW w:w="140" w:type="dxa"/>
            <w:vAlign w:val="bottom"/>
            <w:tcBorders>
              <w:right w:val="single" w:sz="8" w:color="CCECFF"/>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80" w:type="dxa"/>
            <w:vAlign w:val="bottom"/>
            <w:tcBorders>
              <w:right w:val="single" w:sz="8" w:color="CCECFF"/>
            </w:tcBorders>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47,369</w:t>
            </w:r>
          </w:p>
        </w:tc>
        <w:tc>
          <w:tcPr>
            <w:tcW w:w="1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3"/>
            <w:shd w:val="clear" w:color="auto" w:fill="CCEC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47,369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Issuance of restricted stock awards</w:t>
            </w:r>
          </w:p>
        </w:tc>
        <w:tc>
          <w:tcPr>
            <w:tcW w:w="1000" w:type="dxa"/>
            <w:vAlign w:val="bottom"/>
          </w:tcPr>
          <w:p>
            <w:pPr>
              <w:jc w:val="right"/>
              <w:spacing w:after="0"/>
              <w:rPr>
                <w:sz w:val="20"/>
                <w:szCs w:val="20"/>
                <w:color w:val="auto"/>
              </w:rPr>
            </w:pPr>
            <w:r>
              <w:rPr>
                <w:rFonts w:ascii="Arial" w:cs="Arial" w:eastAsia="Arial" w:hAnsi="Arial"/>
                <w:sz w:val="18"/>
                <w:szCs w:val="18"/>
                <w:color w:val="auto"/>
              </w:rPr>
              <w:t>769,104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warrants to High Trail</w:t>
            </w: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Issuance of warrants to Midcap</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to High Trail</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12,284,161</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129,618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129,620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Reclassification of warrants to equity</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97,088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Reclassification of warrants to liability</w:t>
            </w: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(21,260 )</w:t>
            </w: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(21,260 )</w:t>
            </w: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Warrant modification on extinguishment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Issuance of shares of common stock net of professional fees and</w:t>
            </w:r>
          </w:p>
        </w:tc>
        <w:tc>
          <w:tcPr>
            <w:tcW w:w="100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offering costs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2,666,667</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8"/>
                <w:szCs w:val="18"/>
                <w:color w:val="auto"/>
                <w:w w:val="90"/>
              </w:rPr>
              <w:t>Issuance of shares of common stock in connection with asset purchase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agreement</w:t>
            </w:r>
          </w:p>
        </w:tc>
        <w:tc>
          <w:tcPr>
            <w:tcW w:w="1000" w:type="dxa"/>
            <w:vAlign w:val="bottom"/>
          </w:tcPr>
          <w:p>
            <w:pPr>
              <w:jc w:val="right"/>
              <w:spacing w:after="0"/>
              <w:rPr>
                <w:sz w:val="20"/>
                <w:szCs w:val="20"/>
                <w:color w:val="auto"/>
              </w:rPr>
            </w:pPr>
            <w:r>
              <w:rPr>
                <w:rFonts w:ascii="Arial" w:cs="Arial" w:eastAsia="Arial" w:hAnsi="Arial"/>
                <w:sz w:val="18"/>
                <w:szCs w:val="18"/>
                <w:color w:val="auto"/>
              </w:rPr>
              <w:t>704,548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shares of restricted common stock</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2,025,597</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Forfeiture of shares of restricted common stock</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(647,659 )</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(477 )</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(477 )</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BALANCE—December 31,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55,090,237</w:t>
            </w: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653,650</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(428,959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224,228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9"/>
              </w:rPr>
              <w:t>(196,292 )</w:t>
            </w:r>
          </w:p>
        </w:tc>
        <w:tc>
          <w:tcPr>
            <w:tcW w:w="100" w:type="dxa"/>
            <w:vAlign w:val="bottom"/>
          </w:tcPr>
          <w:p>
            <w:pPr>
              <w:spacing w:after="0"/>
              <w:rPr>
                <w:sz w:val="20"/>
                <w:szCs w:val="20"/>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(196,292 )</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shares of restricted common stock</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4,428,662</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Forfeiture of shares of restricted common stock</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(423,482 )</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pre-funded warrants</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3,013,850</w:t>
            </w:r>
          </w:p>
        </w:tc>
        <w:tc>
          <w:tcPr>
            <w:tcW w:w="140" w:type="dxa"/>
            <w:vAlign w:val="bottom"/>
            <w:tcBorders>
              <w:right w:val="single" w:sz="8" w:color="CCECFF"/>
            </w:tcBorders>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80" w:type="dxa"/>
            <w:vAlign w:val="bottom"/>
            <w:tcBorders>
              <w:right w:val="single" w:sz="8" w:color="CCECFF"/>
            </w:tcBorders>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15,039</w:t>
            </w:r>
          </w:p>
        </w:tc>
        <w:tc>
          <w:tcPr>
            <w:tcW w:w="1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3"/>
            <w:shd w:val="clear" w:color="auto" w:fill="CCEC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15,039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Issuance of common stock for settlement of seller note</w:t>
            </w:r>
          </w:p>
        </w:tc>
        <w:tc>
          <w:tcPr>
            <w:tcW w:w="1000" w:type="dxa"/>
            <w:vAlign w:val="bottom"/>
          </w:tcPr>
          <w:p>
            <w:pPr>
              <w:jc w:val="right"/>
              <w:spacing w:after="0"/>
              <w:rPr>
                <w:sz w:val="20"/>
                <w:szCs w:val="20"/>
                <w:color w:val="auto"/>
              </w:rPr>
            </w:pPr>
            <w:r>
              <w:rPr>
                <w:rFonts w:ascii="Arial" w:cs="Arial" w:eastAsia="Arial" w:hAnsi="Arial"/>
                <w:sz w:val="18"/>
                <w:szCs w:val="18"/>
                <w:color w:val="auto"/>
              </w:rPr>
              <w:t>292,887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net of issuance costs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18,277,948</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46,834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Issuance of warrants in connection with offering</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(18,982 )</w:t>
            </w: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(18,982 )</w:t>
            </w: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72,188</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Initial issuance of equity</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warrant to contractors</w:t>
            </w: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(676 )</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(676 )</w:t>
            </w: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BALANCE—December 31, 2022</w:t>
            </w:r>
          </w:p>
        </w:tc>
        <w:tc>
          <w:tcPr>
            <w:tcW w:w="1000" w:type="dxa"/>
            <w:vAlign w:val="bottom"/>
          </w:tcPr>
          <w:p>
            <w:pPr>
              <w:jc w:val="right"/>
              <w:spacing w:after="0"/>
              <w:rPr>
                <w:sz w:val="20"/>
                <w:szCs w:val="20"/>
                <w:color w:val="auto"/>
              </w:rPr>
            </w:pPr>
            <w:r>
              <w:rPr>
                <w:rFonts w:ascii="Arial" w:cs="Arial" w:eastAsia="Arial" w:hAnsi="Arial"/>
                <w:sz w:val="18"/>
                <w:szCs w:val="18"/>
                <w:color w:val="auto"/>
              </w:rPr>
              <w:t>80,752,290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728,339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98"/>
              </w:rPr>
              <w:t>(625,251 ) $</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(1,144 ) $</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101,952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-5423535</wp:posOffset>
            </wp:positionV>
            <wp:extent cx="7145020" cy="3378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5020" cy="337820"/>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-2045970</wp:posOffset>
            </wp:positionV>
            <wp:extent cx="76835"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-2045970</wp:posOffset>
            </wp:positionV>
            <wp:extent cx="76835"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-2045970</wp:posOffset>
            </wp:positionV>
            <wp:extent cx="6858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-2045970</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-2045970</wp:posOffset>
            </wp:positionV>
            <wp:extent cx="6858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-187960</wp:posOffset>
            </wp:positionV>
            <wp:extent cx="7683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-187960</wp:posOffset>
            </wp:positionV>
            <wp:extent cx="7683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-187960</wp:posOffset>
            </wp:positionV>
            <wp:extent cx="6858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-187960</wp:posOffset>
            </wp:positionV>
            <wp:extent cx="6858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-187960</wp:posOffset>
            </wp:positionV>
            <wp:extent cx="6858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4"/>
          <w:szCs w:val="14"/>
          <w:b w:val="1"/>
          <w:bCs w:val="1"/>
          <w:color w:val="auto"/>
        </w:rPr>
        <w:t>ATERIAN, INC.</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20"/>
        <w:spacing w:after="0"/>
        <w:rPr>
          <w:sz w:val="20"/>
          <w:szCs w:val="20"/>
          <w:color w:val="auto"/>
        </w:rPr>
      </w:pPr>
      <w:r>
        <w:rPr>
          <w:rFonts w:ascii="Arial" w:cs="Arial" w:eastAsia="Arial" w:hAnsi="Arial"/>
          <w:sz w:val="14"/>
          <w:szCs w:val="14"/>
          <w:b w:val="1"/>
          <w:bCs w:val="1"/>
          <w:i w:val="1"/>
          <w:iCs w:val="1"/>
          <w:color w:val="auto"/>
        </w:rPr>
        <w:t>(in thousands)</w:t>
      </w:r>
    </w:p>
    <w:p>
      <w:pPr>
        <w:spacing w:after="0" w:line="5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Year-Ended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2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OPERATING ACTIVITIES:</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800" w:type="dxa"/>
            <w:vAlign w:val="bottom"/>
            <w:shd w:val="clear" w:color="auto" w:fill="CFF0FC"/>
          </w:tcPr>
          <w:p>
            <w:pPr>
              <w:jc w:val="right"/>
              <w:ind w:right="65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w w:val="87"/>
              </w:rPr>
              <w:t>(236,024 )</w:t>
            </w:r>
          </w:p>
        </w:tc>
        <w:tc>
          <w:tcPr>
            <w:tcW w:w="32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(196,292 )</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Depreciation and amortization</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7,326</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7,521</w:t>
            </w: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Provision for sales returns</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Amortization of deferred financing cost and debt discounts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7,742</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28,987</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14,594</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Gain from decrease of contingent earn-out liability fair value</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w w:val="99"/>
              </w:rPr>
              <w:t>(30,529 )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(5,240 )</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Loss in connection with settlement of earn-out</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4,164</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Loss (gain) in connection with the change in warrant fair value</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26,455</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(470 )</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Gain in connection with settlement of note payable</w:t>
            </w:r>
          </w:p>
        </w:tc>
        <w:tc>
          <w:tcPr>
            <w:tcW w:w="800" w:type="dxa"/>
            <w:vAlign w:val="bottom"/>
          </w:tcPr>
          <w:p>
            <w:pPr>
              <w:spacing w:after="0"/>
              <w:rPr>
                <w:sz w:val="13"/>
                <w:szCs w:val="13"/>
                <w:color w:val="auto"/>
              </w:rPr>
            </w:pPr>
          </w:p>
        </w:tc>
        <w:tc>
          <w:tcPr>
            <w:tcW w:w="760" w:type="dxa"/>
            <w:vAlign w:val="bottom"/>
            <w:gridSpan w:val="2"/>
          </w:tcPr>
          <w:p>
            <w:pPr>
              <w:jc w:val="right"/>
              <w:ind w:right="23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3"/>
                <w:szCs w:val="13"/>
                <w:color w:val="auto"/>
              </w:rPr>
              <w:t>(2,012 )</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Loss on initial issuance of warrants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20,147</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800" w:type="dxa"/>
            <w:vAlign w:val="bottom"/>
          </w:tcPr>
          <w:p>
            <w:pPr>
              <w:spacing w:after="0"/>
              <w:rPr>
                <w:sz w:val="13"/>
                <w:szCs w:val="13"/>
                <w:color w:val="auto"/>
              </w:rPr>
            </w:pPr>
          </w:p>
        </w:tc>
        <w:tc>
          <w:tcPr>
            <w:tcW w:w="760" w:type="dxa"/>
            <w:vAlign w:val="bottom"/>
            <w:gridSpan w:val="2"/>
          </w:tcPr>
          <w:p>
            <w:pPr>
              <w:jc w:val="right"/>
              <w:ind w:right="23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Loss on initial issuance of equity</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38"/>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18,669</w:t>
            </w: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Loss from extinguishment of High Trail December 2020 and February 2021 Term Loan</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28,240</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Loss from extinguishment of High Trail April 2021 Term Loan</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106,991</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Loss from extinguishment of High Trail Term Loan</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2,096</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Loss from extinguishment of Credit Facility</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1,532</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Provision for barter credits</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1,643</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Loss from derivative liability discount related to term loan</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3,254</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Impairment loss on goodwill</w:t>
            </w:r>
          </w:p>
        </w:tc>
        <w:tc>
          <w:tcPr>
            <w:tcW w:w="800" w:type="dxa"/>
            <w:vAlign w:val="bottom"/>
          </w:tcPr>
          <w:p>
            <w:pPr>
              <w:spacing w:after="0"/>
              <w:rPr>
                <w:sz w:val="13"/>
                <w:szCs w:val="13"/>
                <w:color w:val="auto"/>
              </w:rPr>
            </w:pPr>
          </w:p>
        </w:tc>
        <w:tc>
          <w:tcPr>
            <w:tcW w:w="760" w:type="dxa"/>
            <w:vAlign w:val="bottom"/>
            <w:gridSpan w:val="2"/>
          </w:tcPr>
          <w:p>
            <w:pPr>
              <w:jc w:val="right"/>
              <w:ind w:right="23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120,409</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Impairment loss on intangibles</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38"/>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3,118</w:t>
            </w: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Allowance for doubtful accounts and other</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4,200</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Changes in assets and liabilities: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Accounts receivable</w:t>
            </w:r>
          </w:p>
        </w:tc>
        <w:tc>
          <w:tcPr>
            <w:tcW w:w="8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(4,554 )</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5,596</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Inventory</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w w:val="99"/>
              </w:rPr>
              <w:t>(19,303 )</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19,438</w:t>
            </w: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Prepaid and other current assets</w:t>
            </w:r>
          </w:p>
        </w:tc>
        <w:tc>
          <w:tcPr>
            <w:tcW w:w="8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(7,856 )</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5,564</w:t>
            </w:r>
          </w:p>
        </w:tc>
        <w:tc>
          <w:tcPr>
            <w:tcW w:w="100" w:type="dxa"/>
            <w:vAlign w:val="bottom"/>
          </w:tcPr>
          <w:p>
            <w:pPr>
              <w:spacing w:after="0"/>
              <w:rPr>
                <w:sz w:val="13"/>
                <w:szCs w:val="13"/>
                <w:color w:val="auto"/>
              </w:rPr>
            </w:pPr>
          </w:p>
        </w:tc>
      </w:tr>
      <w:tr>
        <w:trPr>
          <w:trHeight w:val="162"/>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Accounts payable, accrued and other liabilities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14,120</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(10,910 )</w:t>
            </w:r>
          </w:p>
        </w:tc>
      </w:tr>
      <w:tr>
        <w:trPr>
          <w:trHeight w:val="20"/>
        </w:trPr>
        <w:tc>
          <w:tcPr>
            <w:tcW w:w="8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8220" w:type="dxa"/>
            <w:vAlign w:val="bottom"/>
          </w:tcPr>
          <w:p>
            <w:pPr>
              <w:ind w:left="20"/>
              <w:spacing w:after="0"/>
              <w:rPr>
                <w:sz w:val="20"/>
                <w:szCs w:val="20"/>
                <w:color w:val="auto"/>
              </w:rPr>
            </w:pPr>
            <w:r>
              <w:rPr>
                <w:rFonts w:ascii="Arial" w:cs="Arial" w:eastAsia="Arial" w:hAnsi="Arial"/>
                <w:sz w:val="13"/>
                <w:szCs w:val="13"/>
                <w:color w:val="auto"/>
              </w:rPr>
              <w:t>Cash used in operating activities</w:t>
            </w:r>
          </w:p>
        </w:tc>
        <w:tc>
          <w:tcPr>
            <w:tcW w:w="8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w w:val="99"/>
              </w:rPr>
              <w:t>(41,969 )</w:t>
            </w:r>
          </w:p>
        </w:tc>
        <w:tc>
          <w:tcPr>
            <w:tcW w:w="320" w:type="dxa"/>
            <w:vAlign w:val="bottom"/>
          </w:tcPr>
          <w:p>
            <w:pPr>
              <w:spacing w:after="0"/>
              <w:rPr>
                <w:sz w:val="13"/>
                <w:szCs w:val="13"/>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3"/>
                <w:szCs w:val="13"/>
                <w:color w:val="auto"/>
              </w:rPr>
              <w:t>(17,477 )</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INVESTING ACTIVITIES: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Purchase of fixed assets</w:t>
            </w:r>
          </w:p>
        </w:tc>
        <w:tc>
          <w:tcPr>
            <w:tcW w:w="8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(32 )</w:t>
            </w:r>
          </w:p>
        </w:tc>
        <w:tc>
          <w:tcPr>
            <w:tcW w:w="320" w:type="dxa"/>
            <w:vAlign w:val="bottom"/>
          </w:tcPr>
          <w:p>
            <w:pPr>
              <w:spacing w:after="0"/>
              <w:rPr>
                <w:sz w:val="13"/>
                <w:szCs w:val="13"/>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3"/>
                <w:szCs w:val="13"/>
                <w:color w:val="auto"/>
              </w:rPr>
              <w:t>(82 )</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 of Healing Solutions assets</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w w:val="99"/>
              </w:rPr>
              <w:t>(15,250 )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Purchase of Photo Paper Direct, net of cash acquired</w:t>
            </w:r>
          </w:p>
        </w:tc>
        <w:tc>
          <w:tcPr>
            <w:tcW w:w="8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w w:val="99"/>
              </w:rPr>
              <w:t>(10,583 )</w:t>
            </w:r>
          </w:p>
        </w:tc>
        <w:tc>
          <w:tcPr>
            <w:tcW w:w="320" w:type="dxa"/>
            <w:vAlign w:val="bottom"/>
          </w:tcPr>
          <w:p>
            <w:pPr>
              <w:spacing w:after="0"/>
              <w:rPr>
                <w:sz w:val="13"/>
                <w:szCs w:val="13"/>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 of Squatty Potty assets</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w w:val="99"/>
              </w:rPr>
              <w:t>(19,040 )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Purchase of Step and Go assets</w:t>
            </w:r>
          </w:p>
        </w:tc>
        <w:tc>
          <w:tcPr>
            <w:tcW w:w="800" w:type="dxa"/>
            <w:vAlign w:val="bottom"/>
          </w:tcPr>
          <w:p>
            <w:pPr>
              <w:spacing w:after="0"/>
              <w:rPr>
                <w:sz w:val="13"/>
                <w:szCs w:val="13"/>
                <w:color w:val="auto"/>
              </w:rPr>
            </w:pPr>
          </w:p>
        </w:tc>
        <w:tc>
          <w:tcPr>
            <w:tcW w:w="760" w:type="dxa"/>
            <w:vAlign w:val="bottom"/>
            <w:gridSpan w:val="2"/>
          </w:tcPr>
          <w:p>
            <w:pPr>
              <w:jc w:val="right"/>
              <w:ind w:right="23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3"/>
                <w:szCs w:val="13"/>
                <w:color w:val="auto"/>
              </w:rPr>
              <w:t>(595 )</w:t>
            </w:r>
          </w:p>
        </w:tc>
      </w:tr>
      <w:tr>
        <w:trPr>
          <w:trHeight w:val="157"/>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used in investing activities</w:t>
            </w:r>
          </w:p>
        </w:tc>
        <w:tc>
          <w:tcPr>
            <w:tcW w:w="8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(44,905</w:t>
            </w:r>
          </w:p>
        </w:tc>
        <w:tc>
          <w:tcPr>
            <w:tcW w:w="260" w:type="dxa"/>
            <w:vAlign w:val="bottom"/>
            <w:shd w:val="clear" w:color="auto" w:fill="CFF0FC"/>
          </w:tcPr>
          <w:p>
            <w:pPr>
              <w:jc w:val="right"/>
              <w:ind w:right="178"/>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(677</w:t>
            </w:r>
          </w:p>
        </w:tc>
        <w:tc>
          <w:tcPr>
            <w:tcW w:w="10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FINANCING ACTIVITIES:</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warrant exercise</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9,085</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Proceeds from cancellation of warrant</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16,957</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issuance of common stock from follow-on public offering, net of issuance costs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36,735</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Proceeds from equity offering, net of issuance costs</w:t>
            </w:r>
          </w:p>
        </w:tc>
        <w:tc>
          <w:tcPr>
            <w:tcW w:w="800" w:type="dxa"/>
            <w:vAlign w:val="bottom"/>
          </w:tcPr>
          <w:p>
            <w:pPr>
              <w:spacing w:after="0"/>
              <w:rPr>
                <w:sz w:val="13"/>
                <w:szCs w:val="13"/>
                <w:color w:val="auto"/>
              </w:rPr>
            </w:pPr>
          </w:p>
        </w:tc>
        <w:tc>
          <w:tcPr>
            <w:tcW w:w="760" w:type="dxa"/>
            <w:vAlign w:val="bottom"/>
            <w:gridSpan w:val="2"/>
          </w:tcPr>
          <w:p>
            <w:pPr>
              <w:jc w:val="right"/>
              <w:ind w:right="23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46,834</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9,033</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Repayments on note payable to Smash</w:t>
            </w:r>
          </w:p>
        </w:tc>
        <w:tc>
          <w:tcPr>
            <w:tcW w:w="8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w w:val="99"/>
              </w:rPr>
              <w:t>(10,495 )</w:t>
            </w:r>
          </w:p>
        </w:tc>
        <w:tc>
          <w:tcPr>
            <w:tcW w:w="320" w:type="dxa"/>
            <w:vAlign w:val="bottom"/>
          </w:tcPr>
          <w:p>
            <w:pPr>
              <w:spacing w:after="0"/>
              <w:rPr>
                <w:sz w:val="13"/>
                <w:szCs w:val="13"/>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3"/>
                <w:szCs w:val="13"/>
                <w:color w:val="auto"/>
              </w:rPr>
              <w:t>(3,423 )</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 of earn-out to Squatty Potty</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(7,971 )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(3,983 )</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Borrowings from MidCap credit facilities</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48,750</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136,687</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Repayments for MidCap credit facilities</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w w:val="99"/>
              </w:rPr>
              <w:t>(28,274 )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(148,907 )</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Debt issuance costs from MidCap credit facility</w:t>
            </w:r>
          </w:p>
        </w:tc>
        <w:tc>
          <w:tcPr>
            <w:tcW w:w="8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(849 )</w:t>
            </w:r>
          </w:p>
        </w:tc>
        <w:tc>
          <w:tcPr>
            <w:tcW w:w="320" w:type="dxa"/>
            <w:vAlign w:val="bottom"/>
          </w:tcPr>
          <w:p>
            <w:pPr>
              <w:spacing w:after="0"/>
              <w:rPr>
                <w:sz w:val="13"/>
                <w:szCs w:val="13"/>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Repayments for High Trail April 2021 Note</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w w:val="99"/>
              </w:rPr>
              <w:t>(10,139 )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Repayments for High Trail December 2021 Note</w:t>
            </w:r>
          </w:p>
        </w:tc>
        <w:tc>
          <w:tcPr>
            <w:tcW w:w="8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w w:val="99"/>
              </w:rPr>
              <w:t>(27,500 )</w:t>
            </w:r>
          </w:p>
        </w:tc>
        <w:tc>
          <w:tcPr>
            <w:tcW w:w="320" w:type="dxa"/>
            <w:vAlign w:val="bottom"/>
          </w:tcPr>
          <w:p>
            <w:pPr>
              <w:spacing w:after="0"/>
              <w:rPr>
                <w:sz w:val="13"/>
                <w:szCs w:val="13"/>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Repayments for High Trail December 2020 Note and February 2021 Note</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w w:val="99"/>
              </w:rPr>
              <w:t>(59,500 )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Borrowings from High Trail February 2021 Note</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14,025</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Borrowings from High Trail April 2021 Note</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110,000</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Debt issuance costs from High Trail February 2021 Note</w:t>
            </w:r>
          </w:p>
        </w:tc>
        <w:tc>
          <w:tcPr>
            <w:tcW w:w="800" w:type="dxa"/>
            <w:vAlign w:val="bottom"/>
          </w:tcPr>
          <w:p>
            <w:pPr>
              <w:spacing w:after="0"/>
              <w:rPr>
                <w:sz w:val="13"/>
                <w:szCs w:val="13"/>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3"/>
                <w:szCs w:val="13"/>
                <w:color w:val="auto"/>
              </w:rPr>
              <w:t>(1,462 )</w:t>
            </w:r>
          </w:p>
        </w:tc>
        <w:tc>
          <w:tcPr>
            <w:tcW w:w="320" w:type="dxa"/>
            <w:vAlign w:val="bottom"/>
          </w:tcPr>
          <w:p>
            <w:pPr>
              <w:spacing w:after="0"/>
              <w:rPr>
                <w:sz w:val="13"/>
                <w:szCs w:val="13"/>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Debt issuance costs from High Trail April 2021 Note</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(2,202 )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Insurance financing proceeds</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2,424</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2,099</w:t>
            </w:r>
          </w:p>
        </w:tc>
        <w:tc>
          <w:tcPr>
            <w:tcW w:w="100" w:type="dxa"/>
            <w:vAlign w:val="bottom"/>
          </w:tcPr>
          <w:p>
            <w:pPr>
              <w:spacing w:after="0"/>
              <w:rPr>
                <w:sz w:val="13"/>
                <w:szCs w:val="13"/>
                <w:color w:val="auto"/>
              </w:rPr>
            </w:pPr>
          </w:p>
        </w:tc>
      </w:tr>
      <w:tr>
        <w:trPr>
          <w:trHeight w:val="162"/>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Insurance obligation payments</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(3,048 )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(2,311 )</w:t>
            </w:r>
          </w:p>
        </w:tc>
      </w:tr>
      <w:tr>
        <w:trPr>
          <w:trHeight w:val="155"/>
        </w:trPr>
        <w:tc>
          <w:tcPr>
            <w:tcW w:w="82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Cash provided by financing activities</w:t>
            </w:r>
          </w:p>
        </w:tc>
        <w:tc>
          <w:tcPr>
            <w:tcW w:w="8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95,569</w:t>
            </w:r>
          </w:p>
        </w:tc>
        <w:tc>
          <w:tcPr>
            <w:tcW w:w="26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26,996</w:t>
            </w:r>
          </w:p>
        </w:tc>
        <w:tc>
          <w:tcPr>
            <w:tcW w:w="100" w:type="dxa"/>
            <w:vAlign w:val="bottom"/>
            <w:tcBorders>
              <w:top w:val="single" w:sz="8" w:color="CFF0FC"/>
            </w:tcBorders>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EFFECT OF EXCHANGE RATE ON CASH</w:t>
            </w:r>
          </w:p>
        </w:tc>
        <w:tc>
          <w:tcPr>
            <w:tcW w:w="8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(477 )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(528 )</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NET CHANGE IN CASH AND RESTRICTED CASH FOR THE YEAR</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8,218</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8,314</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AND RESTRICTED CASH AT BEGINNING OF YEAR</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30,097</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38,315</w:t>
            </w: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CASH AND RESTRICTED CASH AT END OF YEAR</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38,315</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46,629</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RECONCILIATION OF CASH AND RESTRICTED CASH</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CASH</w:t>
            </w: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30,317</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43,574</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CASH—Prepaid and other current assets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7,849</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2,926</w:t>
            </w: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RESTRICTED CASH—Other non-current assets</w:t>
            </w: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3"/>
                <w:szCs w:val="13"/>
                <w:color w:val="auto"/>
              </w:rPr>
            </w:pPr>
          </w:p>
        </w:tc>
      </w:tr>
      <w:tr>
        <w:trPr>
          <w:trHeight w:val="195"/>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 CASH AND RESTRICTED CASH</w:t>
            </w:r>
          </w:p>
        </w:tc>
        <w:tc>
          <w:tcPr>
            <w:tcW w:w="800" w:type="dxa"/>
            <w:vAlign w:val="bottom"/>
            <w:tcBorders>
              <w:bottom w:val="single" w:sz="8" w:color="auto"/>
            </w:tcBorders>
            <w:shd w:val="clear" w:color="auto" w:fill="CFF0FC"/>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38,315</w:t>
            </w:r>
          </w:p>
        </w:tc>
        <w:tc>
          <w:tcPr>
            <w:tcW w:w="2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46,629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44"/>
        </w:trPr>
        <w:tc>
          <w:tcPr>
            <w:tcW w:w="8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5,611</w:t>
            </w:r>
          </w:p>
        </w:tc>
        <w:tc>
          <w:tcPr>
            <w:tcW w:w="260" w:type="dxa"/>
            <w:vAlign w:val="bottom"/>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1,875</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paid for taxes</w:t>
            </w:r>
          </w:p>
        </w:tc>
        <w:tc>
          <w:tcPr>
            <w:tcW w:w="800" w:type="dxa"/>
            <w:vAlign w:val="bottom"/>
            <w:shd w:val="clear" w:color="auto" w:fill="CFF0FC"/>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Non-cash consideration paid to contractors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1,137</w:t>
            </w:r>
          </w:p>
        </w:tc>
        <w:tc>
          <w:tcPr>
            <w:tcW w:w="100" w:type="dxa"/>
            <w:vAlign w:val="bottom"/>
          </w:tcPr>
          <w:p>
            <w:pPr>
              <w:spacing w:after="0"/>
              <w:rPr>
                <w:sz w:val="13"/>
                <w:szCs w:val="13"/>
                <w:color w:val="auto"/>
              </w:rPr>
            </w:pP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Modification of warrants between equity and liability</w:t>
            </w:r>
          </w:p>
        </w:tc>
        <w:tc>
          <w:tcPr>
            <w:tcW w:w="800" w:type="dxa"/>
            <w:vAlign w:val="bottom"/>
            <w:shd w:val="clear" w:color="auto" w:fill="CFF0FC"/>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75,828</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Non-cash consideration paid to contractors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7,289</w:t>
            </w:r>
          </w:p>
        </w:tc>
        <w:tc>
          <w:tcPr>
            <w:tcW w:w="260" w:type="dxa"/>
            <w:vAlign w:val="bottom"/>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Original issue discount</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2,475</w:t>
            </w:r>
          </w:p>
        </w:tc>
        <w:tc>
          <w:tcPr>
            <w:tcW w:w="260" w:type="dxa"/>
            <w:vAlign w:val="bottom"/>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Fair value of contingent consideration</w:t>
            </w:r>
          </w:p>
        </w:tc>
        <w:tc>
          <w:tcPr>
            <w:tcW w:w="800" w:type="dxa"/>
            <w:vAlign w:val="bottom"/>
            <w:shd w:val="clear" w:color="auto" w:fill="CFF0FC"/>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20,971</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w:t>
            </w:r>
          </w:p>
        </w:tc>
      </w:tr>
      <w:tr>
        <w:trPr>
          <w:trHeight w:val="160"/>
        </w:trPr>
        <w:tc>
          <w:tcPr>
            <w:tcW w:w="8220" w:type="dxa"/>
            <w:vAlign w:val="bottom"/>
          </w:tcPr>
          <w:p>
            <w:pPr>
              <w:ind w:left="20"/>
              <w:spacing w:after="0"/>
              <w:rPr>
                <w:sz w:val="20"/>
                <w:szCs w:val="20"/>
                <w:color w:val="auto"/>
              </w:rPr>
            </w:pPr>
            <w:r>
              <w:rPr>
                <w:rFonts w:ascii="Arial" w:cs="Arial" w:eastAsia="Arial" w:hAnsi="Arial"/>
                <w:sz w:val="13"/>
                <w:szCs w:val="13"/>
                <w:color w:val="auto"/>
              </w:rPr>
              <w:t>Discount of debt relating to warrants issuance</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51,284</w:t>
            </w:r>
          </w:p>
        </w:tc>
        <w:tc>
          <w:tcPr>
            <w:tcW w:w="260" w:type="dxa"/>
            <w:vAlign w:val="bottom"/>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r>
        <w:trPr>
          <w:trHeight w:val="164"/>
        </w:trPr>
        <w:tc>
          <w:tcPr>
            <w:tcW w:w="8220" w:type="dxa"/>
            <w:vAlign w:val="bottom"/>
            <w:shd w:val="clear" w:color="auto" w:fill="CCECFF"/>
          </w:tcPr>
          <w:p>
            <w:pPr>
              <w:ind w:left="20"/>
              <w:spacing w:after="0"/>
              <w:rPr>
                <w:sz w:val="20"/>
                <w:szCs w:val="20"/>
                <w:color w:val="auto"/>
              </w:rPr>
            </w:pPr>
            <w:r>
              <w:rPr>
                <w:rFonts w:ascii="Arial" w:cs="Arial" w:eastAsia="Arial" w:hAnsi="Arial"/>
                <w:sz w:val="13"/>
                <w:szCs w:val="13"/>
                <w:color w:val="auto"/>
              </w:rPr>
              <w:t>Notes payable of acquisition</w:t>
            </w:r>
          </w:p>
        </w:tc>
        <w:tc>
          <w:tcPr>
            <w:tcW w:w="800" w:type="dxa"/>
            <w:vAlign w:val="bottom"/>
            <w:shd w:val="clear" w:color="auto" w:fill="CCECFF"/>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16,550</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CFF"/>
          </w:tcPr>
          <w:p>
            <w:pPr>
              <w:jc w:val="right"/>
              <w:ind w:right="78"/>
              <w:spacing w:after="0"/>
              <w:rPr>
                <w:sz w:val="20"/>
                <w:szCs w:val="20"/>
                <w:color w:val="auto"/>
              </w:rPr>
            </w:pPr>
            <w:r>
              <w:rPr>
                <w:rFonts w:ascii="Arial" w:cs="Arial" w:eastAsia="Arial" w:hAnsi="Arial"/>
                <w:sz w:val="13"/>
                <w:szCs w:val="13"/>
                <w:color w:val="auto"/>
              </w:rPr>
              <w:t>—</w:t>
            </w:r>
          </w:p>
        </w:tc>
      </w:tr>
      <w:tr>
        <w:trPr>
          <w:trHeight w:val="158"/>
        </w:trPr>
        <w:tc>
          <w:tcPr>
            <w:tcW w:w="8220" w:type="dxa"/>
            <w:vAlign w:val="bottom"/>
          </w:tcPr>
          <w:p>
            <w:pPr>
              <w:ind w:left="20"/>
              <w:spacing w:after="0"/>
              <w:rPr>
                <w:sz w:val="20"/>
                <w:szCs w:val="20"/>
                <w:color w:val="auto"/>
              </w:rPr>
            </w:pPr>
            <w:r>
              <w:rPr>
                <w:rFonts w:ascii="Arial" w:cs="Arial" w:eastAsia="Arial" w:hAnsi="Arial"/>
                <w:sz w:val="13"/>
                <w:szCs w:val="13"/>
                <w:color w:val="auto"/>
              </w:rPr>
              <w:t>Issuance of common stock in connection with Healing Solutions and Photo Paper Direct acquisitions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50,529</w:t>
            </w:r>
          </w:p>
        </w:tc>
        <w:tc>
          <w:tcPr>
            <w:tcW w:w="260" w:type="dxa"/>
            <w:vAlign w:val="bottom"/>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6041390</wp:posOffset>
            </wp:positionH>
            <wp:positionV relativeFrom="paragraph">
              <wp:posOffset>-5297170</wp:posOffset>
            </wp:positionV>
            <wp:extent cx="68580" cy="1111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-5297170</wp:posOffset>
            </wp:positionV>
            <wp:extent cx="68580" cy="1111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-2402840</wp:posOffset>
            </wp:positionV>
            <wp:extent cx="68580" cy="1111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-2402840</wp:posOffset>
            </wp:positionV>
            <wp:extent cx="68580" cy="1111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-1358265</wp:posOffset>
            </wp:positionV>
            <wp:extent cx="1096010" cy="1282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96010" cy="1282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5820" w:type="dxa"/>
            <w:vAlign w:val="bottom"/>
            <w:shd w:val="clear" w:color="auto" w:fill="CCECFF"/>
          </w:tcPr>
          <w:p>
            <w:pPr>
              <w:ind w:left="20"/>
              <w:spacing w:after="0"/>
              <w:rPr>
                <w:sz w:val="20"/>
                <w:szCs w:val="20"/>
                <w:color w:val="auto"/>
              </w:rPr>
            </w:pPr>
            <w:r>
              <w:rPr>
                <w:rFonts w:ascii="Arial" w:cs="Arial" w:eastAsia="Arial" w:hAnsi="Arial"/>
                <w:sz w:val="13"/>
                <w:szCs w:val="13"/>
                <w:color w:val="auto"/>
              </w:rPr>
              <w:t>Issuance of common stock - debt repayment</w:t>
            </w:r>
          </w:p>
        </w:tc>
        <w:tc>
          <w:tcPr>
            <w:tcW w:w="2920" w:type="dxa"/>
            <w:vAlign w:val="bottom"/>
            <w:shd w:val="clear" w:color="auto" w:fill="CCECFF"/>
          </w:tcPr>
          <w:p>
            <w:pPr>
              <w:jc w:val="right"/>
              <w:ind w:right="33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125,562</w:t>
            </w:r>
          </w:p>
        </w:tc>
        <w:tc>
          <w:tcPr>
            <w:tcW w:w="660" w:type="dxa"/>
            <w:vAlign w:val="bottom"/>
            <w:shd w:val="clear" w:color="auto" w:fill="CCEC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CFF"/>
          </w:tcPr>
          <w:p>
            <w:pPr>
              <w:jc w:val="right"/>
              <w:ind w:right="57"/>
              <w:spacing w:after="0"/>
              <w:rPr>
                <w:sz w:val="20"/>
                <w:szCs w:val="20"/>
                <w:color w:val="auto"/>
              </w:rPr>
            </w:pPr>
            <w:r>
              <w:rPr>
                <w:rFonts w:ascii="Arial" w:cs="Arial" w:eastAsia="Arial" w:hAnsi="Arial"/>
                <w:sz w:val="13"/>
                <w:szCs w:val="13"/>
                <w:color w:val="auto"/>
              </w:rPr>
              <w:t>—</w:t>
            </w:r>
          </w:p>
        </w:tc>
      </w:tr>
      <w:tr>
        <w:trPr>
          <w:trHeight w:val="160"/>
        </w:trPr>
        <w:tc>
          <w:tcPr>
            <w:tcW w:w="5820" w:type="dxa"/>
            <w:vAlign w:val="bottom"/>
          </w:tcPr>
          <w:p>
            <w:pPr>
              <w:ind w:left="20"/>
              <w:spacing w:after="0"/>
              <w:rPr>
                <w:sz w:val="20"/>
                <w:szCs w:val="20"/>
                <w:color w:val="auto"/>
              </w:rPr>
            </w:pPr>
            <w:r>
              <w:rPr>
                <w:rFonts w:ascii="Arial" w:cs="Arial" w:eastAsia="Arial" w:hAnsi="Arial"/>
                <w:sz w:val="13"/>
                <w:szCs w:val="13"/>
                <w:color w:val="auto"/>
              </w:rPr>
              <w:t>Issuance of common stock - Healing Solutions earn-out settlement</w:t>
            </w:r>
          </w:p>
        </w:tc>
        <w:tc>
          <w:tcPr>
            <w:tcW w:w="29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7,914</w:t>
            </w:r>
          </w:p>
        </w:tc>
        <w:tc>
          <w:tcPr>
            <w:tcW w:w="6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64"/>
        </w:trPr>
        <w:tc>
          <w:tcPr>
            <w:tcW w:w="5820" w:type="dxa"/>
            <w:vAlign w:val="bottom"/>
            <w:shd w:val="clear" w:color="auto" w:fill="CCECFF"/>
          </w:tcPr>
          <w:p>
            <w:pPr>
              <w:ind w:left="20"/>
              <w:spacing w:after="0"/>
              <w:rPr>
                <w:sz w:val="20"/>
                <w:szCs w:val="20"/>
                <w:color w:val="auto"/>
              </w:rPr>
            </w:pPr>
            <w:r>
              <w:rPr>
                <w:rFonts w:ascii="Arial" w:cs="Arial" w:eastAsia="Arial" w:hAnsi="Arial"/>
                <w:sz w:val="13"/>
                <w:szCs w:val="13"/>
                <w:color w:val="auto"/>
              </w:rPr>
              <w:t>Issuance of common stock related to exercise of warrants</w:t>
            </w:r>
          </w:p>
        </w:tc>
        <w:tc>
          <w:tcPr>
            <w:tcW w:w="2920" w:type="dxa"/>
            <w:vAlign w:val="bottom"/>
            <w:shd w:val="clear" w:color="auto" w:fill="CCECFF"/>
          </w:tcPr>
          <w:p>
            <w:pPr>
              <w:jc w:val="right"/>
              <w:ind w:right="33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C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CFF"/>
          </w:tcPr>
          <w:p>
            <w:pPr>
              <w:jc w:val="right"/>
              <w:ind w:right="57"/>
              <w:spacing w:after="0"/>
              <w:rPr>
                <w:sz w:val="20"/>
                <w:szCs w:val="20"/>
                <w:color w:val="auto"/>
              </w:rPr>
            </w:pPr>
            <w:r>
              <w:rPr>
                <w:rFonts w:ascii="Arial" w:cs="Arial" w:eastAsia="Arial" w:hAnsi="Arial"/>
                <w:sz w:val="13"/>
                <w:szCs w:val="13"/>
                <w:color w:val="auto"/>
              </w:rPr>
              <w:t>767</w:t>
            </w:r>
          </w:p>
        </w:tc>
      </w:tr>
      <w:tr>
        <w:trPr>
          <w:trHeight w:val="160"/>
        </w:trPr>
        <w:tc>
          <w:tcPr>
            <w:tcW w:w="5820" w:type="dxa"/>
            <w:vAlign w:val="bottom"/>
          </w:tcPr>
          <w:p>
            <w:pPr>
              <w:ind w:left="20"/>
              <w:spacing w:after="0"/>
              <w:rPr>
                <w:sz w:val="20"/>
                <w:szCs w:val="20"/>
                <w:color w:val="auto"/>
              </w:rPr>
            </w:pPr>
            <w:r>
              <w:rPr>
                <w:rFonts w:ascii="Arial" w:cs="Arial" w:eastAsia="Arial" w:hAnsi="Arial"/>
                <w:sz w:val="13"/>
                <w:szCs w:val="13"/>
                <w:color w:val="auto"/>
              </w:rPr>
              <w:t>Initial issuance of equity</w:t>
            </w:r>
          </w:p>
        </w:tc>
        <w:tc>
          <w:tcPr>
            <w:tcW w:w="29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18,669</w:t>
            </w:r>
          </w:p>
        </w:tc>
      </w:tr>
      <w:tr>
        <w:trPr>
          <w:trHeight w:val="164"/>
        </w:trPr>
        <w:tc>
          <w:tcPr>
            <w:tcW w:w="5820" w:type="dxa"/>
            <w:vAlign w:val="bottom"/>
            <w:shd w:val="clear" w:color="auto" w:fill="CCECFF"/>
          </w:tcPr>
          <w:p>
            <w:pPr>
              <w:ind w:left="20"/>
              <w:spacing w:after="0"/>
              <w:rPr>
                <w:sz w:val="20"/>
                <w:szCs w:val="20"/>
                <w:color w:val="auto"/>
              </w:rPr>
            </w:pPr>
            <w:r>
              <w:rPr>
                <w:rFonts w:ascii="Arial" w:cs="Arial" w:eastAsia="Arial" w:hAnsi="Arial"/>
                <w:sz w:val="13"/>
                <w:szCs w:val="13"/>
                <w:color w:val="auto"/>
              </w:rPr>
              <w:t>Fair value of warrants issued in connection with equity offering</w:t>
            </w:r>
          </w:p>
        </w:tc>
        <w:tc>
          <w:tcPr>
            <w:tcW w:w="2920" w:type="dxa"/>
            <w:vAlign w:val="bottom"/>
            <w:shd w:val="clear" w:color="auto" w:fill="CCECFF"/>
          </w:tcPr>
          <w:p>
            <w:pPr>
              <w:jc w:val="right"/>
              <w:ind w:right="33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C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CFF"/>
          </w:tcPr>
          <w:p>
            <w:pPr>
              <w:jc w:val="right"/>
              <w:ind w:right="57"/>
              <w:spacing w:after="0"/>
              <w:rPr>
                <w:sz w:val="20"/>
                <w:szCs w:val="20"/>
                <w:color w:val="auto"/>
              </w:rPr>
            </w:pPr>
            <w:r>
              <w:rPr>
                <w:rFonts w:ascii="Arial" w:cs="Arial" w:eastAsia="Arial" w:hAnsi="Arial"/>
                <w:sz w:val="13"/>
                <w:szCs w:val="13"/>
                <w:color w:val="auto"/>
              </w:rPr>
              <w:t>18,982</w:t>
            </w:r>
          </w:p>
        </w:tc>
      </w:tr>
      <w:tr>
        <w:trPr>
          <w:trHeight w:val="160"/>
        </w:trPr>
        <w:tc>
          <w:tcPr>
            <w:tcW w:w="582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29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43</w:t>
            </w:r>
          </w:p>
        </w:tc>
      </w:tr>
      <w:tr>
        <w:trPr>
          <w:trHeight w:val="164"/>
        </w:trPr>
        <w:tc>
          <w:tcPr>
            <w:tcW w:w="5820" w:type="dxa"/>
            <w:vAlign w:val="bottom"/>
            <w:shd w:val="clear" w:color="auto" w:fill="CCECFF"/>
          </w:tcPr>
          <w:p>
            <w:pPr>
              <w:ind w:left="20"/>
              <w:spacing w:after="0"/>
              <w:rPr>
                <w:sz w:val="20"/>
                <w:szCs w:val="20"/>
                <w:color w:val="auto"/>
              </w:rPr>
            </w:pPr>
            <w:r>
              <w:rPr>
                <w:rFonts w:ascii="Arial" w:cs="Arial" w:eastAsia="Arial" w:hAnsi="Arial"/>
                <w:sz w:val="13"/>
                <w:szCs w:val="13"/>
                <w:color w:val="auto"/>
              </w:rPr>
              <w:t>Exercise of prefunded warrants</w:t>
            </w:r>
          </w:p>
        </w:tc>
        <w:tc>
          <w:tcPr>
            <w:tcW w:w="2920" w:type="dxa"/>
            <w:vAlign w:val="bottom"/>
            <w:shd w:val="clear" w:color="auto" w:fill="CCECFF"/>
          </w:tcPr>
          <w:p>
            <w:pPr>
              <w:jc w:val="right"/>
              <w:ind w:right="33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C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C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CFF"/>
          </w:tcPr>
          <w:p>
            <w:pPr>
              <w:jc w:val="right"/>
              <w:ind w:right="57"/>
              <w:spacing w:after="0"/>
              <w:rPr>
                <w:sz w:val="20"/>
                <w:szCs w:val="20"/>
                <w:color w:val="auto"/>
              </w:rPr>
            </w:pPr>
            <w:r>
              <w:rPr>
                <w:rFonts w:ascii="Arial" w:cs="Arial" w:eastAsia="Arial" w:hAnsi="Arial"/>
                <w:sz w:val="13"/>
                <w:szCs w:val="13"/>
                <w:color w:val="auto"/>
              </w:rPr>
              <w:t>15,039</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See notes to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YEARS-ENDED DECEMBER 31, 2021 and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Aterian, Inc. is a technology-enabled consumer products company that builds, acquires and partners with e-commerce brands. Aterian predominantly operates through online retail channels such as Amazon and Walmart, Inc. The Company owns and operates fifteen brands, which were either incubated or purchased, selling products in multiple categories, including home and kitchen appliances, kitchenware, heating, cooling and air quality appliances (dehumidifiers, humidifiers and air conditioners), health and beauty products and essential oils.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New York, Aterian’s offices can also be found in China, Philippines, and Poland.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and negative cash flows for the foreseeable future until such time that we reach a scale of profitability to sustain our operations. In addition, our recent financial performance has been adversely impacted by the COVID-19 global pandemic and related global shipping disruption, in particular with respect to substantial increases in supply chain costs for shipping containers (See COVID-19 Pandemic and the Supply Chain below for additional details).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M&amp;A. While we believe we will eventually reach a scale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the accompanying Consolidated Financial Statements were issued (the “issuance date”), we evaluated the significance of the following adverse financial conditions in accordance with Accounting Standard Codification 205-40, Going Concern:</w:t>
      </w:r>
    </w:p>
    <w:p>
      <w:pPr>
        <w:spacing w:after="0" w:line="62" w:lineRule="exact"/>
        <w:rPr>
          <w:sz w:val="20"/>
          <w:szCs w:val="20"/>
          <w:color w:val="auto"/>
        </w:rPr>
      </w:pPr>
    </w:p>
    <w:p>
      <w:pPr>
        <w:jc w:val="both"/>
        <w:ind w:left="1020" w:hanging="504"/>
        <w:spacing w:after="0" w:line="25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Since our inception, we have incurred significant losses and used cash flows from operations to fund our enterprise. In this regard, during the year ended December 31, 2022, we incurred a net loss of $196.3 million and used net cash flows in our operations of $17.5 million. In addition, as of December 31, 2022, we had unrestricted cash and cash equivalents of $43.6 million available to fund our operations and an accumulated deficit of $625.3 million.</w:t>
      </w:r>
    </w:p>
    <w:p>
      <w:pPr>
        <w:spacing w:after="0" w:line="77" w:lineRule="exact"/>
        <w:rPr>
          <w:rFonts w:ascii="Arial" w:cs="Arial" w:eastAsia="Arial" w:hAnsi="Arial"/>
          <w:sz w:val="18"/>
          <w:szCs w:val="18"/>
          <w:color w:val="auto"/>
        </w:rPr>
      </w:pPr>
    </w:p>
    <w:p>
      <w:pPr>
        <w:jc w:val="both"/>
        <w:ind w:left="1020" w:hanging="504"/>
        <w:spacing w:after="0" w:line="288"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required to remain in compliance with certain financial covenants required by the MidCap Credit facility (See Note 9, Credit Facility and Term Loans). We were in compliance with these financial covenant as of December 31, 2022, and expect to remain in compliance through at least March 31, 2024. However, with our short history of forecasting our business during the ongoing COVID-19 global pandemic, the current record global inflation and related global supply chain disruptions, we can provide no assurances that we will remain in compliance with our financial covenants. Further, absent our ability to generate cash inflows from our operations or secure additional outside capital, we may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ind w:left="1020" w:hanging="504"/>
        <w:spacing w:after="0" w:line="25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issuance date, we have no firm commitments to secure additional outside capital from lenders or investors. While we are continually exploring additional outside capital, specifically to fund our M&amp;A growth strategy, there can be no assurance we will be able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82" w:lineRule="exact"/>
        <w:rPr>
          <w:rFonts w:ascii="Arial" w:cs="Arial" w:eastAsia="Arial" w:hAnsi="Arial"/>
          <w:sz w:val="18"/>
          <w:szCs w:val="18"/>
          <w:color w:val="auto"/>
        </w:rPr>
      </w:pPr>
    </w:p>
    <w:p>
      <w:pPr>
        <w:jc w:val="both"/>
        <w:ind w:left="1020" w:hanging="504"/>
        <w:spacing w:after="0" w:line="271"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plan to continue to closely monitor our operating forecast, pursue our M&amp;A strategy, pursue additional sources of outside capital on terms that are acceptable to us, and secure a waiver or forbearance from MidCap if we are unable to remain in compliance with one or more of the covenants required by the MidCap Credit Facility. If some or all of our plans prove unsuccessful, we may need to implement short-term changes to our operating plan, such as delaying expenditures, reducing investments in new products, delaying the development of our software,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 and the Supply Chain</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2022 we were impacted by the COVID-19 pandemic and related global shipping disruption. Together these led to substantial increases in supply chain costs, in particular for shipping containers, which we rely on to import our goods,reduced the reliability and timely delivery of shipping containers and substantially increased our last mile shipping costs on our oversized goods, which are a material part of our business. The reduced reliability and delivery of such shipping containers forced us to spend more on premium shipping to ensure goods were delivered . Further, the global shipping disruption led us to increase our inventory on-hand, including advance ordering and taking possession of inventory earlier than expected, impacting our working capital.</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party last mile shipping partners, such as UPS and FedEx, continue to increase the cost of delivering goods to the end consumers as their delivery networks continue to be adjusted following the onset of COVID-19 pandemic. There remains significant uncertainty to consumer demand and buying habits as price increases related to raw materials, the importing of goods, including tariffs, and the cost of delivering goods to consumers has led to inflation across the U.S. and potentially reduced demand for our products.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consider the impact of the COVID-19 and the related supply chain disruptions on the assumptions and estimates used when preparing our consolidated financial statements including inventory valuation, and the impairment of long-lived assets. These assumptions and estimates may change. If the economic conditions worsen beyond what is currently estimated by management, such future changes may have an adverse impact on our business, operations, financial results, and liquidity.</w:t>
      </w:r>
    </w:p>
    <w:p>
      <w:pPr>
        <w:spacing w:after="0" w:line="289"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Consolidated Financial Statements and accompanying notes have been prepared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(“U.S. GAAP”).</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—Preparation of financial statements in conformity with U.S. GAAP requires management to make estimates and assumptions that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the Company and its wholly-owned subsidiaries.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intercompany balances and transactions have been eliminated in consolidation.</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 As of December 31, 2021, the Company has classified the following as restricted cash: $0.1 million related to its Chinese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“other non-current assets” on the consolidated balance sheets, $2.0 million related to a letter of credit and $5.9 million for cash sweep accounts related to the Midcap Credit facility within “prepaid and other current assets” on the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color w:val="auto"/>
        </w:rPr>
        <w:t>As of December 31, 2022, the Company has classified the following as restricted cash: $0.1 million related to its Chinese subsidiary within “other non-current assets” on the consolidated balance sheets, $2.0 million related to a letter of credit and $0.9 million for cash sweeps account related to the Midcap Credit Facility within "prepaid and other current assets" on the consolidated balance sheets.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—Accounts receivable are stated at historical cost less allowance for doubtful accounts. On a periodic basis, management evaluates</w:t>
      </w:r>
      <w:r>
        <w:rPr>
          <w:rFonts w:ascii="Arial" w:cs="Arial" w:eastAsia="Arial" w:hAnsi="Arial"/>
          <w:sz w:val="18"/>
          <w:szCs w:val="18"/>
          <w:b w:val="1"/>
          <w:bCs w:val="1"/>
          <w:color w:val="auto"/>
        </w:rPr>
        <w:t xml:space="preserve"> </w:t>
      </w:r>
      <w:r>
        <w:rPr>
          <w:rFonts w:ascii="Arial" w:cs="Arial" w:eastAsia="Arial" w:hAnsi="Arial"/>
          <w:sz w:val="18"/>
          <w:szCs w:val="18"/>
          <w:color w:val="auto"/>
        </w:rPr>
        <w:t>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bad and doubtful receivables. On December 31, 2021 and 2022, the Company had an allowance for doubtful accounts of $0.0 and $0.4 million, respectively.</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color w:val="auto"/>
        </w:rPr>
        <w:t>Concentration of Credit Risk</w:t>
      </w:r>
      <w:r>
        <w:rPr>
          <w:rFonts w:ascii="Arial" w:cs="Arial" w:eastAsia="Arial" w:hAnsi="Arial"/>
          <w:sz w:val="17"/>
          <w:szCs w:val="17"/>
          <w:color w:val="auto"/>
        </w:rPr>
        <w:t>—Financial instruments that potentially subject the Company to concentrations of credit risk consist primarily of cash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receivable. The Company maintains cash and restricted cash with various domestic and foreign financial institutions of high credit quality. The Company performs periodic evaluations of the relative credit standing of all of the aforementioned institutions. The Company does have cash deposits at financial institutions in excess of the insured amount of $0.3 million by the Federal Deposit Insurance Corporation.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accounts receivables are derived from sales contracts with a large number of customers. The Company maintains reserves for potential credit losses on customer accounts when deemed necessary. Significant customers are those which represent more than 10% of the Company’s total net revenue or gross accounts receivable balance at the balance sheet date. During the years-ended December 31, 2021 and 2022, the Company had no one customer that accounted for 10% or more of total net revenue. In addition, as of December 31, 2021 and 2022, the Company had three customers that accounted for 10% or more of gross accounts receivable. As of December 31, 2021 and 2022, approximately 42% and 43%, respectively, of its accounts receivable is held by the Company’s sales platform vendor, Amazon, which collects money on the Company’s behalf from its customers.</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In 2021, approximately 93% of the Company’s revenue was through or with the Amazon sales platform and in 2022, 89% of its net revenue was through or with the Amazon sales platform.</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and amortization. Depreciation is provided for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straight-line method over the estimated useful lives of the assets. Capital leases and leasehold improvements are amortized using the straight-line method over the shorter of the lease term or estimated useful life of the asset. Costs of maintenance and repairs that do not improve or extend the lives of the respective assets are expensed as incurred.</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Income Taxes</w:t>
      </w:r>
      <w:r>
        <w:rPr>
          <w:rFonts w:ascii="Arial" w:cs="Arial" w:eastAsia="Arial" w:hAnsi="Arial"/>
          <w:sz w:val="17"/>
          <w:szCs w:val="17"/>
          <w:color w:val="auto"/>
        </w:rPr>
        <w:t>—The Company accounts for income taxes under the asset and liability method. Deferred tax assets and liabilities are recognized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future tax consequences attributable to operating loss carry-forwards and temporary differences between financial statement bases of existing assets and liabilities and their respective income tax bases. Deferred tax assets and liabilities are measured using enacted income tax rates expected to apply to taxable income in the years in which those temporary differences are expected to be recovered or settled. The effect of a change in the income tax rates on deferred tax asset and liability balances is recognized in income in the period that includes the enactment date of such rate change. A valuation allowance is recorded for loss carry-forwards and other deferred tax assets when it is determined that it is more likely than not that such loss carry-forwards and deferred tax assets will not be realized. The Company recognizes the tax benefits on any uncertain tax positions taken or expected to be taken in the Consolidated Financial Statements when it is more likely than not the position will be realized upon ultimate settlement with the tax authority assuming full knowledge of the position and relevant facts. The tax benefits recognized in the Consolidated Financial Statements from such a position are measured based on the largest benefit that has a greater than 50% likelihood of being realized upon ultimate settlement. The Company recognizes estimated interest and penalties related to uncertain tax positions as a part of the provision for income taxes.</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—The Company accounts for revenue in accordance with Financial Accounting Standards Board (“FASB”) Accounting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Codification (“ASC”) Topic 606, Revenue from Contracts with Customers (“ASC Topic 606”). The Company derives its revenue from the sale of consumer products. The Company sells its products directly to consumers through online retail channels and through wholesale channels.</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spacing w:after="0" w:line="311" w:lineRule="auto"/>
        <w:rPr>
          <w:sz w:val="20"/>
          <w:szCs w:val="20"/>
          <w:color w:val="auto"/>
        </w:rPr>
      </w:pPr>
      <w:r>
        <w:rPr>
          <w:rFonts w:ascii="Arial" w:cs="Arial" w:eastAsia="Arial" w:hAnsi="Arial"/>
          <w:sz w:val="16"/>
          <w:szCs w:val="16"/>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$0.6 million at December 31, 2021 and 2022, which is included in accrued liabilities and represents the expected value of the refund that will be due to its customers.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it owns and controls all the goods before they are transferred to the customer. The Company can, at any time, direct Amazon, similarly,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 A performance obligation is a promise in a contract to transfer a distinct good to the customer and is the unit of account in ASC</w:t>
      </w:r>
      <w:r>
        <w:rPr>
          <w:rFonts w:ascii="Arial" w:cs="Arial" w:eastAsia="Arial" w:hAnsi="Arial"/>
          <w:sz w:val="18"/>
          <w:szCs w:val="18"/>
          <w:i w:val="1"/>
          <w:iCs w:val="1"/>
          <w:color w:val="auto"/>
        </w:rPr>
        <w:t xml:space="preserve"> </w:t>
      </w:r>
      <w:r>
        <w:rPr>
          <w:rFonts w:ascii="Arial" w:cs="Arial" w:eastAsia="Arial" w:hAnsi="Arial"/>
          <w:sz w:val="18"/>
          <w:szCs w:val="18"/>
          <w:color w:val="auto"/>
        </w:rPr>
        <w:t>Topic 606. A contract’s transaction price is recognized as revenue when the performance obligation is satisfied. Each of the Company’s contracts have a single distinct performance obligation, which is the promise to transfer individual goods.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consumer product sales, the Company has elected to treat shipping and handling as fulfillment activities, and not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Shipping and handling revenue for each of the years-ended December 31, 2021 and 2022 were de minimis.</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taxes</w:t>
      </w:r>
      <w:r>
        <w:rPr>
          <w:rFonts w:ascii="Arial" w:cs="Arial" w:eastAsia="Arial" w:hAnsi="Arial"/>
          <w:sz w:val="16"/>
          <w:szCs w:val="16"/>
          <w:color w:val="auto"/>
        </w:rPr>
        <w:t>—Consistent with prior periods, sales taxes collected from customers are presented on a net basis and as such are excluded from net revenue.</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Net Revenue by Category</w:t>
      </w:r>
      <w:r>
        <w:rPr>
          <w:rFonts w:ascii="Arial" w:cs="Arial" w:eastAsia="Arial" w:hAnsi="Arial"/>
          <w:sz w:val="18"/>
          <w:szCs w:val="18"/>
          <w:color w:val="auto"/>
        </w:rPr>
        <w:t>: The following table sets forth the Company’s net revenue disaggregated by sales channel and geographic region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addresses of its customers: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2"/>
              </w:rPr>
              <w:t>Year-Ended December 31, 2021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3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37"/>
              <w:spacing w:after="0" w:line="159" w:lineRule="exact"/>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33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Direct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Wholesale/Other</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w:t>
            </w:r>
          </w:p>
        </w:tc>
        <w:tc>
          <w:tcPr>
            <w:tcW w:w="3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232,067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244,017</w:t>
            </w:r>
          </w:p>
        </w:tc>
        <w:tc>
          <w:tcPr>
            <w:tcW w:w="100" w:type="dxa"/>
            <w:vAlign w:val="bottom"/>
            <w:shd w:val="clear" w:color="auto" w:fill="CFF0FC"/>
          </w:tcPr>
          <w:p>
            <w:pPr>
              <w:spacing w:after="0"/>
              <w:rPr>
                <w:sz w:val="20"/>
                <w:szCs w:val="20"/>
                <w:color w:val="auto"/>
              </w:rPr>
            </w:pPr>
          </w:p>
        </w:tc>
      </w:tr>
      <w:tr>
        <w:trPr>
          <w:trHeight w:val="236"/>
        </w:trPr>
        <w:tc>
          <w:tcPr>
            <w:tcW w:w="3360" w:type="dxa"/>
            <w:vAlign w:val="bottom"/>
          </w:tcPr>
          <w:p>
            <w:pPr>
              <w:ind w:left="20"/>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0"/>
                <w:szCs w:val="20"/>
                <w:color w:val="auto"/>
              </w:rPr>
            </w:pPr>
          </w:p>
        </w:tc>
      </w:tr>
      <w:tr>
        <w:trPr>
          <w:trHeight w:val="276"/>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revenue</w:t>
            </w:r>
          </w:p>
        </w:tc>
        <w:tc>
          <w:tcPr>
            <w:tcW w:w="3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235,817</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5"/>
        </w:trPr>
        <w:tc>
          <w:tcPr>
            <w:tcW w:w="3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2"/>
              </w:rPr>
              <w:t>Year-Ended December 31, 2022</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33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37"/>
              <w:spacing w:after="0" w:line="159" w:lineRule="exact"/>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33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Direct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Wholesale/Other</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3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209,336</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7,002</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216,338</w:t>
            </w:r>
          </w:p>
        </w:tc>
        <w:tc>
          <w:tcPr>
            <w:tcW w:w="100" w:type="dxa"/>
            <w:vAlign w:val="bottom"/>
          </w:tcPr>
          <w:p>
            <w:pPr>
              <w:spacing w:after="0"/>
              <w:rPr>
                <w:sz w:val="19"/>
                <w:szCs w:val="19"/>
                <w:color w:val="auto"/>
              </w:rPr>
            </w:pPr>
          </w:p>
        </w:tc>
      </w:tr>
      <w:tr>
        <w:trPr>
          <w:trHeight w:val="243"/>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36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33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214,168</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221,170</w:t>
            </w:r>
          </w:p>
        </w:tc>
        <w:tc>
          <w:tcPr>
            <w:tcW w:w="100" w:type="dxa"/>
            <w:vAlign w:val="bottom"/>
          </w:tcPr>
          <w:p>
            <w:pPr>
              <w:spacing w:after="0"/>
              <w:rPr>
                <w:sz w:val="20"/>
                <w:szCs w:val="20"/>
                <w:color w:val="auto"/>
              </w:rPr>
            </w:pPr>
          </w:p>
        </w:tc>
      </w:tr>
      <w:tr>
        <w:trPr>
          <w:trHeight w:val="20"/>
        </w:trPr>
        <w:tc>
          <w:tcPr>
            <w:tcW w:w="3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4"/>
        </w:trPr>
        <w:tc>
          <w:tcPr>
            <w:tcW w:w="3360" w:type="dxa"/>
            <w:vAlign w:val="bottom"/>
          </w:tcPr>
          <w:p>
            <w:pPr>
              <w:spacing w:after="0"/>
              <w:rPr>
                <w:sz w:val="24"/>
                <w:szCs w:val="24"/>
                <w:color w:val="auto"/>
              </w:rPr>
            </w:pPr>
          </w:p>
        </w:tc>
        <w:tc>
          <w:tcPr>
            <w:tcW w:w="3580" w:type="dxa"/>
            <w:vAlign w:val="bottom"/>
            <w:gridSpan w:val="2"/>
          </w:tcPr>
          <w:p>
            <w:pPr>
              <w:jc w:val="right"/>
              <w:ind w:right="1050"/>
              <w:spacing w:after="0"/>
              <w:rPr>
                <w:sz w:val="20"/>
                <w:szCs w:val="20"/>
                <w:color w:val="auto"/>
              </w:rPr>
            </w:pPr>
            <w:r>
              <w:rPr>
                <w:rFonts w:ascii="Arial" w:cs="Arial" w:eastAsia="Arial" w:hAnsi="Arial"/>
                <w:sz w:val="18"/>
                <w:szCs w:val="18"/>
                <w:color w:val="auto"/>
              </w:rPr>
              <w:t>F-11</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36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-1523365</wp:posOffset>
            </wp:positionV>
            <wp:extent cx="2072005" cy="6851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72005" cy="68516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-684530</wp:posOffset>
            </wp:positionV>
            <wp:extent cx="7683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-684530</wp:posOffset>
            </wp:positionV>
            <wp:extent cx="6858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Net Revenue by Product Categories</w:t>
      </w:r>
      <w:r>
        <w:rPr>
          <w:rFonts w:ascii="Arial" w:cs="Arial" w:eastAsia="Arial" w:hAnsi="Arial"/>
          <w:sz w:val="18"/>
          <w:szCs w:val="18"/>
          <w:color w:val="auto"/>
        </w:rPr>
        <w:t>: The following table sets forth the Company’s net revenue disaggregated by product categories: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2"/>
              </w:rPr>
              <w:t>Year-Ended December 31,</w:t>
            </w:r>
          </w:p>
        </w:tc>
        <w:tc>
          <w:tcPr>
            <w:tcW w:w="102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4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(in</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w w:val="77"/>
              </w:rPr>
              <w:t>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Heating, cooling and air quality</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73,685</w:t>
            </w:r>
          </w:p>
        </w:tc>
        <w:tc>
          <w:tcPr>
            <w:tcW w:w="9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Kitchen appliances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43,180</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Health and beauty</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15,579</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Personal protective equipment</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6,073</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Cookware, kitchen tools and gadgets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22,933</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Home office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12,352</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Housewares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33,951</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Essential oils and related accessories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27,444</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12,570</w:t>
            </w:r>
          </w:p>
        </w:tc>
        <w:tc>
          <w:tcPr>
            <w:tcW w:w="2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247,767</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-187960</wp:posOffset>
            </wp:positionV>
            <wp:extent cx="6858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Fair Value of Financial Instruments</w:t>
      </w:r>
      <w:r>
        <w:rPr>
          <w:rFonts w:ascii="Arial" w:cs="Arial" w:eastAsia="Arial" w:hAnsi="Arial"/>
          <w:sz w:val="17"/>
          <w:szCs w:val="17"/>
          <w:color w:val="auto"/>
        </w:rPr>
        <w:t>—The Company’s financial instruments, including net accounts receivable, accounts payable, and accrued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liabilities are carried at historical cost. At December 31, 2022, the carrying amounts of these instruments approximated their fair values because of their short-term nature. The Company’s credit facility is carried at amortized cost at December 31, 2021 and December 31, 2022 and the carrying amount approximates fair value as the stated interest rate approximates market rates currently available to the Company. The Company considers the inputs utilized to determine the fair value of the borrowings to be Level 2 inputs.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the outstanding warrants were measured using the Black Scholes model. Due to the complexity of the warrants issued, the Company uses an outside expert to assist in providing the mark to market fair valuation of the liabilities over the reporting periods in which the original agreement was in effect.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liability, and are recorded within the Change in fair market value of warrant line item on the statement of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the change in fair value of contingent earn-out liabilities line item on the statement of operations.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data for the related assets or liabilities.</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5"/>
          <w:szCs w:val="15"/>
          <w:b w:val="1"/>
          <w:bCs w:val="1"/>
          <w:color w:val="auto"/>
        </w:rPr>
        <w:t>Goodwill</w:t>
      </w:r>
      <w:r>
        <w:rPr>
          <w:rFonts w:ascii="Arial" w:cs="Arial" w:eastAsia="Arial" w:hAnsi="Arial"/>
          <w:sz w:val="15"/>
          <w:szCs w:val="15"/>
          <w:color w:val="auto"/>
        </w:rPr>
        <w:t>—</w:t>
      </w:r>
      <w:r>
        <w:rPr>
          <w:rFonts w:ascii="Arial" w:cs="Arial" w:eastAsia="Arial" w:hAnsi="Arial"/>
          <w:sz w:val="16"/>
          <w:szCs w:val="16"/>
          <w:color w:val="auto"/>
        </w:rPr>
        <w:t>The Company operates under one business component which is the same as its reporting unit based on the guidance in ASC Topic 350-20.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18"/>
          <w:szCs w:val="18"/>
          <w:color w:val="auto"/>
        </w:rPr>
        <w:t>We assess goodwill for impairment at least annually during the fourth quarter and whenever events or changes in circumstances indicate that the carrying value may not be recoverable. During 2022, we had events and conditions in the first quarter and third quarter that required an interim assessment of goodwill.</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evaluated current economic conditions,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as of March 31, 2022 and September 30, 2022. Accordingly, we concluded a triggering event had occurred and performed interim goodwill impairment analyses.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engaged a third-party valuation specialist to assist management in performing interim goodwill impairment tests. For goodwill, impairment testing is based upon the best information available using a combination of the discounted cash flow method (a form of the income approach) and the guideline public company method, while also taking into consideration our market capitalization. 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the Company’s market capitalization.</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sustained decline in the Company’s stock price leading up to and subsequent to the fiscal quarters ending March 31, 2022 and September 30, 2022, the Company used the market capitalization as of quarter-end in each case to determine the fair value of the reporting unit. As a result, the Company recorded goodwill impairment charges of $29.0 million and $90.9 million during the three months ended March 31, 2022 and September 30, 2022, respectively. There was no remaining goodwill on the balance sheet as of September 30, 2022.</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2022, the Company acquired Step and Go, a brand in the health and wellness category, for $0.7 million. As part of the purchase price allocation of the acquisition, $0.5 million was attributed to goodwill. As our market capitalization was below net assets as of December 31, 2022, an impairment loss on goodwill of $0.5 million was recorded for the three months ended December 31, 2022, which is included in impairment loss on goodwill in the Consolidated Statement of Operations for the year-ended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loss on goodwill impairment for the year-ended December 31, 2022 was $120.4 million.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Intangibles</w:t>
      </w:r>
      <w:r>
        <w:rPr>
          <w:rFonts w:ascii="Arial" w:cs="Arial" w:eastAsia="Arial" w:hAnsi="Arial"/>
          <w:sz w:val="16"/>
          <w:szCs w:val="16"/>
          <w:color w:val="auto"/>
        </w:rPr>
        <w:t>—</w:t>
      </w:r>
      <w:r>
        <w:rPr>
          <w:rFonts w:ascii="Arial" w:cs="Arial" w:eastAsia="Arial" w:hAnsi="Arial"/>
          <w:sz w:val="17"/>
          <w:szCs w:val="17"/>
          <w:color w:val="auto"/>
        </w:rPr>
        <w:t>The Company reviews long-lived intangible assets for impairment when performance expectations, events, or changes in circumstances</w:t>
      </w:r>
      <w:r>
        <w:rPr>
          <w:rFonts w:ascii="Arial" w:cs="Arial" w:eastAsia="Arial" w:hAnsi="Arial"/>
          <w:sz w:val="16"/>
          <w:szCs w:val="16"/>
          <w:b w:val="1"/>
          <w:bCs w:val="1"/>
          <w:color w:val="auto"/>
        </w:rPr>
        <w:t xml:space="preserve"> </w:t>
      </w:r>
      <w:r>
        <w:rPr>
          <w:rFonts w:ascii="Arial" w:cs="Arial" w:eastAsia="Arial" w:hAnsi="Arial"/>
          <w:sz w:val="17"/>
          <w:szCs w:val="17"/>
          <w:color w:val="auto"/>
        </w:rPr>
        <w:t>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asset groups experienced a significant decrease in sales and contribution margin through September 30, 2022. This was considered an interim triggering event for the three months ended September 30, 2022. The Company assessed the recoverability of the related intangible assets by using level 3 inputs and comparing carrying value of an asset group to the net undiscounted cash flows expected to be generated to determine if carrying value is not recoverable. The recoverability test indicated that certain definite-lived trademark intangible assets were impaired which resulted in an impairment charge of $3.1 million. The Company did not have a triggering event during the three month ended December 31, 2022. The impairment of intangibles of $3.1 million is included in loss on impairment of intangibles in the consolidated statement of operations for the year-ended December 31, 2022.</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Business Combinations</w:t>
      </w:r>
      <w:r>
        <w:rPr>
          <w:rFonts w:ascii="Arial" w:cs="Arial" w:eastAsia="Arial" w:hAnsi="Arial"/>
          <w:sz w:val="18"/>
          <w:szCs w:val="18"/>
          <w:color w:val="auto"/>
        </w:rPr>
        <w:t>—In accordance with FASB ASC Topic 805 “Business Combinations", acquired assets and liabilities assumed as part of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98" w:lineRule="auto"/>
        <w:rPr>
          <w:sz w:val="20"/>
          <w:szCs w:val="20"/>
          <w:color w:val="auto"/>
        </w:rPr>
      </w:pPr>
      <w:r>
        <w:rPr>
          <w:rFonts w:ascii="Arial" w:cs="Arial" w:eastAsia="Arial" w:hAnsi="Arial"/>
          <w:sz w:val="16"/>
          <w:szCs w:val="16"/>
          <w:b w:val="1"/>
          <w:bCs w:val="1"/>
          <w:color w:val="auto"/>
        </w:rPr>
        <w:t>Accounting and Contingent Consideration</w:t>
      </w:r>
      <w:r>
        <w:rPr>
          <w:rFonts w:ascii="Arial" w:cs="Arial" w:eastAsia="Arial" w:hAnsi="Arial"/>
          <w:sz w:val="16"/>
          <w:szCs w:val="16"/>
          <w:color w:val="auto"/>
        </w:rPr>
        <w:t>—The Company’s acquisitions include contingent consideration as part of the purchase price. The fair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contingent consideration is estimated as of the acquisition date based on the present value of the contingent payments to be made using a weighted probability of possible payments. The unobservable inputs used in the determination of the fair value of the contingent consideration include management’s assumptions about the likelihood of payment based on the established benchmarks and discount rates based on internal rate of return analysis. The fair value measurement includes inputs that are Level 3 measurements. If actual results increase or decrease as compared to the assumption used in the Company’s analysis, the fair value of the contingent consideration obligations will increase or decrease, up to the contracted limit, as applicable. Changes in the fair value of the contingent earn-out consideration could cause a material impact and volatility in the Company’s operating results.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Inventory and Cost of Goods Sold</w:t>
      </w:r>
      <w:r>
        <w:rPr>
          <w:rFonts w:ascii="Arial" w:cs="Arial" w:eastAsia="Arial" w:hAnsi="Arial"/>
          <w:sz w:val="17"/>
          <w:szCs w:val="17"/>
          <w:color w:val="auto"/>
        </w:rPr>
        <w:t>—The Company’s inventory consists almost entirely of finished goods. The Company currently records inventory on</w:t>
      </w:r>
      <w:r>
        <w:rPr>
          <w:rFonts w:ascii="Arial" w:cs="Arial" w:eastAsia="Arial" w:hAnsi="Arial"/>
          <w:sz w:val="17"/>
          <w:szCs w:val="17"/>
          <w:b w:val="1"/>
          <w:bCs w:val="1"/>
          <w:color w:val="auto"/>
        </w:rPr>
        <w:t xml:space="preserve"> </w:t>
      </w:r>
      <w:r>
        <w:rPr>
          <w:rFonts w:ascii="Arial" w:cs="Arial" w:eastAsia="Arial" w:hAnsi="Arial"/>
          <w:sz w:val="17"/>
          <w:szCs w:val="17"/>
          <w:color w:val="auto"/>
        </w:rPr>
        <w:t>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These assumptions about future disposition of inventory are inherently uncertain and changes in our estimates and assumptions may cause us to realize material write-downs in the future.</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of goods sold” line item in the consolidated statements of operations consists of the book value of inventory sold to customers during the reporting period and amortization of inventory step-up from acquisitions. When circumstances dictate that the Company use net realizable value as the basis for recording inventory, it bases its estimates on expected future selling prices less expected disposal costs.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Sales and Distribution—</w:t>
      </w:r>
      <w:r>
        <w:rPr>
          <w:rFonts w:ascii="Arial" w:cs="Arial" w:eastAsia="Arial" w:hAnsi="Arial"/>
          <w:sz w:val="18"/>
          <w:szCs w:val="18"/>
          <w:color w:val="auto"/>
        </w:rPr>
        <w:t>Sales and distribution expenses consist of online advertising costs, marketing and promotional costs, sales and e-commerce</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commissions, fulfillment, including shipping and handling, and warehouse costs (i.e. sales and distribution variable expenses). Further, sales and distribution expenses also include employee compensation and benefits and other related fixed costs. Costs associated with the Company’s advertising and sales promotion are expensed as incurred and are included in sales and distribution expenses. For the years-ended December 31, 2021 and 2022, the Company recognized $9.0 million and $11.6 million, respectively, for advertising costs, which consists primarily of online advertising expense. Shipping and handling expenses are included in the Company’s consolidated statements of operations within sales and distribution expenses. This includes pick and pack costs and outbound transportation costs to ship goods to customers performed by e-commerce platforms or incurred directly by the Company’s own fulfillment operations. The Company’s expense for shipping and handling was $43.4 million and $47.4 million during fiscal years 2021 and 2022, respectively.</w:t>
      </w:r>
    </w:p>
    <w:p>
      <w:pPr>
        <w:spacing w:after="0" w:line="186" w:lineRule="exact"/>
        <w:rPr>
          <w:sz w:val="20"/>
          <w:szCs w:val="20"/>
          <w:color w:val="auto"/>
        </w:rPr>
      </w:pPr>
    </w:p>
    <w:p>
      <w:pPr>
        <w:jc w:val="both"/>
        <w:spacing w:after="0" w:line="346" w:lineRule="auto"/>
        <w:rPr>
          <w:sz w:val="20"/>
          <w:szCs w:val="20"/>
          <w:color w:val="auto"/>
        </w:rPr>
      </w:pPr>
      <w:r>
        <w:rPr>
          <w:rFonts w:ascii="Arial" w:cs="Arial" w:eastAsia="Arial" w:hAnsi="Arial"/>
          <w:sz w:val="16"/>
          <w:szCs w:val="16"/>
          <w:b w:val="1"/>
          <w:bCs w:val="1"/>
          <w:color w:val="auto"/>
        </w:rPr>
        <w:t>Research and Development</w:t>
      </w:r>
      <w:r>
        <w:rPr>
          <w:rFonts w:ascii="Arial" w:cs="Arial" w:eastAsia="Arial" w:hAnsi="Arial"/>
          <w:sz w:val="16"/>
          <w:szCs w:val="16"/>
          <w:color w:val="auto"/>
        </w:rPr>
        <w:t>— Research and development expenses include compensation and employee benefits for technology development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travel related costs, and fees paid to outside consultants related to development of the Company’s owned intellectual property and technology.</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General and Administrative</w:t>
      </w:r>
      <w:r>
        <w:rPr>
          <w:rFonts w:ascii="Arial" w:cs="Arial" w:eastAsia="Arial" w:hAnsi="Arial"/>
          <w:sz w:val="17"/>
          <w:szCs w:val="17"/>
          <w:color w:val="auto"/>
        </w:rPr>
        <w:t>—General and administrative expenses include compensation and employee benefits for executive management, finance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legal, and human resources, facility costs, travel, professional service fees and other general overhead costs.</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Stock-based compensation expense to employees is measured based on the grant-date fair value of the awards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the consolidated statements of operations over the period during which the employee is required to perform services in exchange for the award (the vesting period of the award). The fair value of restricted stock awards is based on the stock price on the date of the grant. The Company estimates the fair value of stock options granted using the Black-Scholes option valuation model.</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Black-Scholes option-pricing model requires the input of highly subjective assumptions, including the fair value of the Company’s underlying common stock, the expected term of stock options, the expected volatility of the price of its common stock, risk-free interest rates and the expected dividend yield of its common stock. The assumptions used in the Company’s option-pricing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estimated as follows:</w:t>
      </w:r>
    </w:p>
    <w:p>
      <w:pPr>
        <w:spacing w:after="0" w:line="117" w:lineRule="exact"/>
        <w:rPr>
          <w:sz w:val="20"/>
          <w:szCs w:val="20"/>
          <w:color w:val="auto"/>
        </w:rPr>
      </w:pPr>
    </w:p>
    <w:p>
      <w:pPr>
        <w:ind w:left="1020" w:right="20" w:hanging="377"/>
        <w:spacing w:after="0" w:line="307"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Company based the risk-free interest rate used in the Black-Scholes valuation model on the implied yield</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on U.S. Treasury zero-coupon bonds with an equivalent remaining term of the stock options for each stock option group.</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left="1020" w:hanging="377"/>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determines the expected term based on the average period the stock options are expected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generally calculated as the midpoint of the stock options vesting term and contractual expiration period, as it does not have sufficient historical information to develop reasonable expectations about future exercise patterns and post-vesting employment termination behavior.</w:t>
      </w:r>
    </w:p>
    <w:p>
      <w:pPr>
        <w:spacing w:after="0" w:line="77" w:lineRule="exact"/>
        <w:rPr>
          <w:rFonts w:ascii="Arial" w:cs="Arial" w:eastAsia="Arial" w:hAnsi="Arial"/>
          <w:sz w:val="18"/>
          <w:szCs w:val="18"/>
          <w:color w:val="auto"/>
        </w:rPr>
      </w:pPr>
    </w:p>
    <w:p>
      <w:pPr>
        <w:jc w:val="both"/>
        <w:ind w:left="1020" w:hanging="377"/>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determines the price volatility factor based on the historical volatility of publicly-traded industry peers.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its peer group of companies, the Company considers public companies in the technology industry and selects those that are similar to the Company in size, stage of life cycle and financial leverage. The Company does not rely on implied volatilities of traded options in its industry peers’ common stock because the volume of activity is relatively low.</w:t>
      </w:r>
    </w:p>
    <w:p>
      <w:pPr>
        <w:spacing w:after="0" w:line="77" w:lineRule="exact"/>
        <w:rPr>
          <w:rFonts w:ascii="Arial" w:cs="Arial" w:eastAsia="Arial" w:hAnsi="Arial"/>
          <w:sz w:val="18"/>
          <w:szCs w:val="18"/>
          <w:color w:val="auto"/>
        </w:rPr>
      </w:pPr>
    </w:p>
    <w:p>
      <w:pPr>
        <w:ind w:left="1020" w:right="20" w:hanging="377"/>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cash dividends in the foreseeable future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uses an expected dividend yield of zero.</w:t>
      </w:r>
    </w:p>
    <w:p>
      <w:pPr>
        <w:spacing w:after="0" w:line="16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If any of the assumptions used in the Black-Scholes option-pricing model changes significantly, stock-based compensation for future awards may differ materially compared with the awards granted previously. The Company recognizes forfeitures as they occur, which results in a reduction in compensation expense at the time of forfeiture.</w:t>
      </w:r>
    </w:p>
    <w:p>
      <w:pPr>
        <w:spacing w:after="0" w:line="17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Foreign Currency</w:t>
      </w:r>
      <w:r>
        <w:rPr>
          <w:rFonts w:ascii="Arial" w:cs="Arial" w:eastAsia="Arial" w:hAnsi="Arial"/>
          <w:sz w:val="16"/>
          <w:szCs w:val="16"/>
          <w:color w:val="auto"/>
        </w:rPr>
        <w:t>—The functional currency of the Company’s foreign subsidiaries is the local currency. All assets and liabilities of foreign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are translated at the current exchange rate as of the end of the period, and revenues and expenses are translated at the average exchange rates in effect during the period. The gain or loss resulting from the process of translating foreign currency financial statements into U.S. dollars is reflected as a foreign currency cumulative translation, an adopted accounting standard adjustment and reported as a component of accumulated other comprehensive income loss. Foreign currency transaction gains and losses resulting from or expected to result from transactions denominated in a currency other than the functional currency are recognized in other expense, net in the consolidated statements of operations. The Company recorded net loss from foreign currency transactions of less than $0.1 million and $0.2 million for the years ended December 31, 2021 and 2022, respectively.</w:t>
      </w:r>
    </w:p>
    <w:p>
      <w:pPr>
        <w:spacing w:after="0" w:line="15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Net Loss Per Share</w:t>
      </w:r>
      <w:r>
        <w:rPr>
          <w:rFonts w:ascii="Arial" w:cs="Arial" w:eastAsia="Arial" w:hAnsi="Arial"/>
          <w:sz w:val="16"/>
          <w:szCs w:val="16"/>
          <w:color w:val="auto"/>
        </w:rPr>
        <w:t>—The Company computes basic earnings per share using the weighted-average number of shares of common stock outstanding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period. For periods in which the Company reports net losses, diluted net loss per share attributable to stockholders is the same as basic net loss per share attributable to stockholders, because potentially dilutive common shares are not assumed to have been issued if their effect is anti-dilutive.</w:t>
      </w:r>
    </w:p>
    <w:p>
      <w:pPr>
        <w:spacing w:after="0" w:line="14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—The Company reports segment information in accordance with ASC Topic No. 280 “Segment Reporting.” The Company has one</w:t>
      </w:r>
      <w:r>
        <w:rPr>
          <w:rFonts w:ascii="Arial" w:cs="Arial" w:eastAsia="Arial" w:hAnsi="Arial"/>
          <w:sz w:val="18"/>
          <w:szCs w:val="18"/>
          <w:b w:val="1"/>
          <w:bCs w:val="1"/>
          <w:color w:val="auto"/>
        </w:rPr>
        <w:t xml:space="preserve"> </w:t>
      </w:r>
      <w:r>
        <w:rPr>
          <w:rFonts w:ascii="Arial" w:cs="Arial" w:eastAsia="Arial" w:hAnsi="Arial"/>
          <w:sz w:val="18"/>
          <w:szCs w:val="18"/>
          <w:color w:val="auto"/>
        </w:rPr>
        <w:t>reportable segment.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issued Accounting Standards Update (“ASU”) No. 2016-02, Leases (Topic 842) (“ASC 842”), which was amended by subsequent ASUs, to enhance the comparability and usefulness of financial reporting around leasing activity. The new standard supersedes the existing authoritative literature for lease accounting under ASC 840, with a focus on applying a “right-of-use model.” The guidance for leases under ASC 842 results in a right-of-use asset (“ROU asset”) and lease liability being reported on the balance sheet for leases with an original lease term greater than twelve months. ASC 842 is effective for the Company for annual reporting periods beginning after December 15, 2021, including interim periods within that fiscal year. The Company elected the standard on January 1, 2022 using the alternative modified retrospective transition approach in accordance with ASU 2018-11, Leases (Topic 842): Targeted Improvements. The cumulative effect of the transition adjustments was recognized as of the date of adoption.</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alternative modified retrospective transition approach, the reported results for 2022 reflect the application of ASC 842 guidance, whereas comparative periods and the respective disclosures prior to the adoption of ASC 842 are presented using the legacy guidance of ASC 840. The Company recorded an aggregate of approximately $0.7 million of right-of-use assets and a corresponding $0.7 million of lease liabilities upon adoption of this standard. Current Right-of-use assets of $0.2 million and corresponding lease liabilities are included in the prepaid and other current assets and accrued and other current liabilities line item respectively on the condensed consolidated balance sheets. Non-current Right-of-Use Assets of $0.1 million and corresponding lease liabilities are included in the prepaid and other non-current assets and accrued and other non-current liabilities line item respectively on the condensed consolidated balance sheets. The adoption of the standard did not have a material impact on the condensed consolidated statements of operations, or condensed consolidated statements of cash flows. The Company has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elected the practical expedient that permit the exclusions of leases considered to be short-term.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jc w:val="both"/>
        <w:spacing w:after="0" w:line="270" w:lineRule="auto"/>
        <w:rPr>
          <w:sz w:val="20"/>
          <w:szCs w:val="20"/>
          <w:color w:val="auto"/>
        </w:rPr>
      </w:pPr>
      <w:r>
        <w:rPr>
          <w:rFonts w:ascii="Arial" w:cs="Arial" w:eastAsia="Arial" w:hAnsi="Arial"/>
          <w:sz w:val="17"/>
          <w:szCs w:val="17"/>
          <w:color w:val="auto"/>
        </w:rPr>
        <w:t xml:space="preserve">In August 2018, the FASB issued ASU No. 2018-15, “Customer’s Accounting for Implementation Cost Incurred in a Cloud Computing Arrangement That Is a Service Contract”. Under the new guidance, customers apply the same criteria for capitalizing implementation costs as they would for an arrangement that has a software license. This will result in certain 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w:t>
      </w:r>
      <w:r>
        <w:rPr>
          <w:rFonts w:ascii="Arial" w:cs="Arial" w:eastAsia="Arial" w:hAnsi="Arial"/>
          <w:sz w:val="17"/>
          <w:szCs w:val="17"/>
          <w:color w:val="202124"/>
        </w:rPr>
        <w:t>The new guidance is effective for public business entities in fiscal years beginning after December</w:t>
      </w:r>
      <w:r>
        <w:rPr>
          <w:rFonts w:ascii="Arial" w:cs="Arial" w:eastAsia="Arial" w:hAnsi="Arial"/>
          <w:sz w:val="17"/>
          <w:szCs w:val="17"/>
          <w:color w:val="auto"/>
        </w:rPr>
        <w:t xml:space="preserve"> </w:t>
      </w:r>
      <w:r>
        <w:rPr>
          <w:rFonts w:ascii="Arial" w:cs="Arial" w:eastAsia="Arial" w:hAnsi="Arial"/>
          <w:sz w:val="17"/>
          <w:szCs w:val="17"/>
          <w:color w:val="202124"/>
        </w:rPr>
        <w:t xml:space="preserve">15, 2019, and interim periods within those fiscal years. For all other entities, the amendments in this update are effective for annual reporting periods beginning after December 15, 2020, and interim periods within annual periods beginning after December 15, 2021. </w:t>
      </w:r>
      <w:r>
        <w:rPr>
          <w:rFonts w:ascii="Arial" w:cs="Arial" w:eastAsia="Arial" w:hAnsi="Arial"/>
          <w:sz w:val="17"/>
          <w:szCs w:val="17"/>
          <w:color w:val="000000"/>
        </w:rPr>
        <w:t>The new guidance was adopted on</w:t>
      </w:r>
      <w:r>
        <w:rPr>
          <w:rFonts w:ascii="Arial" w:cs="Arial" w:eastAsia="Arial" w:hAnsi="Arial"/>
          <w:sz w:val="17"/>
          <w:szCs w:val="17"/>
          <w:color w:val="202124"/>
        </w:rPr>
        <w:t xml:space="preserve"> </w:t>
      </w:r>
      <w:r>
        <w:rPr>
          <w:rFonts w:ascii="Arial" w:cs="Arial" w:eastAsia="Arial" w:hAnsi="Arial"/>
          <w:sz w:val="17"/>
          <w:szCs w:val="17"/>
          <w:color w:val="000000"/>
        </w:rPr>
        <w:t>December 15, 2021 with no material impact on the Company’s Consolidated Financial Statements.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2020, the FASB issued ASU No. 2020-06, “Debt—Debt with Conversion and Other Options (Topic 470) and Derivatives and Hedging— Contracts in Entity’s Own Equity (Topic 814): Accounting for Convertible Instruments and Contracts in an Entity’s Own Equity” (“ASU 2020-06”). ASU 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2023, including interim periods within those fiscal years. Early adoption is permitted. The new guidance was early adopted on January 1, 2022 with no material impact on the Company’s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JOBS Act permits an emerging growth company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financial statements may not be comparable to companies that comply with new or revised accounting pronouncements as of public company effective 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2016, the FASB issued ASU 2016-13: Financial Instruments – Credit Losses (Topic 326).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The Company does not expect it to have a material impact on its Consolidated Financial Statements.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2019, the FASB issued ASU 2019-12, Income Taxes.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While the Company has not completed its evaluation of the impact of adoption of this standard, the Company does not expect it to have a material impact on its Consolidated Financial Statements.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2020, the FASB issued ASU 2020-10, Codification Improvements. The amendments in this Update represent changes to clarify the Codification, correct unintended application of guidance, or make minor improvements to the Codification that are not expected to have a significant effect on current accounting practice or create a significant administrative cost to most entities. The amendments are effective for annual periods beginning after December 15, 2020, for public business entities. For all other entities, the amendments are effective for annual periods beginning after December 15, 2021, and interim periods within annual periods beginning after December 15, 2022. While the Company has not completed its evaluation of the impact of adoption of this standard, the Company does not expect it to have a material impact on its Consolidated Financial Statements and will adopt it as of January 2023.</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2022, the FASB issued ASU 2022-04, Disclosures for Supplier Finance Arrangements. The amendments in this Update enhances the transparency of supplier finance programs. This standard is effective for fiscal years beginning after December 15, 2021, and interim periods within fiscal years beginning after December 15, 2022 except for amendment on rollforward information, which is effective for fiscal years beginning after December 15, 2023. Early adoption is permitted. While the Company has not completed its evaluation of the impact of adoption of this standard, the Company does not expect it to have a material impact on its Consolidated Financial Statements and will adopt it as of January 2023.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as of December 31, 2021 and 2022 (in thousands):</w:t>
      </w:r>
    </w:p>
    <w:p>
      <w:pPr>
        <w:spacing w:after="0" w:line="337" w:lineRule="exact"/>
        <w:rPr>
          <w:sz w:val="20"/>
          <w:szCs w:val="20"/>
          <w:color w:val="auto"/>
        </w:rPr>
      </w:pPr>
    </w:p>
    <w:tbl>
      <w:tblPr>
        <w:tblLayout w:type="fixed"/>
        <w:tblInd w:w="68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 on-hand</w:t>
            </w: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48,079</w:t>
            </w:r>
          </w:p>
        </w:tc>
        <w:tc>
          <w:tcPr>
            <w:tcW w:w="26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34,374</w:t>
            </w:r>
          </w:p>
        </w:tc>
        <w:tc>
          <w:tcPr>
            <w:tcW w:w="80" w:type="dxa"/>
            <w:vAlign w:val="bottom"/>
            <w:shd w:val="clear" w:color="auto" w:fill="CFF0FC"/>
          </w:tcPr>
          <w:p>
            <w:pPr>
              <w:spacing w:after="0"/>
              <w:rPr>
                <w:sz w:val="20"/>
                <w:szCs w:val="20"/>
                <w:color w:val="auto"/>
              </w:rPr>
            </w:pP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Inventory in-transit</w:t>
            </w:r>
          </w:p>
        </w:tc>
        <w:tc>
          <w:tcPr>
            <w:tcW w:w="8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14,966</w:t>
            </w:r>
          </w:p>
        </w:tc>
        <w:tc>
          <w:tcPr>
            <w:tcW w:w="2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w:t>
            </w:r>
          </w:p>
        </w:tc>
        <w:tc>
          <w:tcPr>
            <w:tcW w:w="80" w:type="dxa"/>
            <w:vAlign w:val="bottom"/>
          </w:tcPr>
          <w:p>
            <w:pPr>
              <w:spacing w:after="0"/>
              <w:rPr>
                <w:sz w:val="21"/>
                <w:szCs w:val="21"/>
                <w:color w:val="auto"/>
              </w:rPr>
            </w:pPr>
          </w:p>
        </w:tc>
      </w:tr>
      <w:tr>
        <w:trPr>
          <w:trHeight w:val="276"/>
        </w:trPr>
        <w:tc>
          <w:tcPr>
            <w:tcW w:w="6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Inventory</w:t>
            </w:r>
          </w:p>
        </w:tc>
        <w:tc>
          <w:tcPr>
            <w:tcW w:w="840" w:type="dxa"/>
            <w:vAlign w:val="bottom"/>
            <w:tcBorders>
              <w:bottom w:val="single" w:sz="8" w:color="auto"/>
            </w:tcBorders>
            <w:shd w:val="clear" w:color="auto" w:fill="CCEC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0"/>
              </w:rPr>
              <w:t>63,045</w:t>
            </w:r>
          </w:p>
        </w:tc>
        <w:tc>
          <w:tcPr>
            <w:tcW w:w="260" w:type="dxa"/>
            <w:vAlign w:val="bottom"/>
            <w:tcBorders>
              <w:bottom w:val="single" w:sz="8" w:color="CCECFF"/>
            </w:tcBorders>
            <w:shd w:val="clear" w:color="auto" w:fill="CCECFF"/>
          </w:tcPr>
          <w:p>
            <w:pPr>
              <w:spacing w:after="0"/>
              <w:rPr>
                <w:sz w:val="24"/>
                <w:szCs w:val="24"/>
                <w:color w:val="auto"/>
              </w:rPr>
            </w:pPr>
          </w:p>
        </w:tc>
        <w:tc>
          <w:tcPr>
            <w:tcW w:w="860" w:type="dxa"/>
            <w:vAlign w:val="bottom"/>
            <w:tcBorders>
              <w:bottom w:val="single" w:sz="8" w:color="auto"/>
            </w:tcBorders>
            <w:shd w:val="clear" w:color="auto" w:fill="CCECFF"/>
          </w:tcPr>
          <w:p>
            <w:pPr>
              <w:jc w:val="right"/>
              <w:ind w:right="6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0"/>
              </w:rPr>
              <w:t>43,666</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5604510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-24765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-7620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Company’s Inventory on-hand is held either with Amazon, Walmart or the Company’s other third-party warehouses. The Company does not have any contractual right of returns with its contract manufacturers. The Company’s Inventory on-hand held by Amazon was approximately $8.4 million and $8.6 million as of December 31, 2021 and December 31, 2022, respectively.</w:t>
      </w:r>
    </w:p>
    <w:p>
      <w:pPr>
        <w:spacing w:after="0" w:line="272"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 as of December 31, 2021 and 2022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9"/>
          </w:tcPr>
          <w:p>
            <w:pPr>
              <w:jc w:val="right"/>
              <w:ind w:right="1100"/>
              <w:spacing w:after="0"/>
              <w:rPr>
                <w:sz w:val="20"/>
                <w:szCs w:val="20"/>
                <w:color w:val="auto"/>
              </w:rPr>
            </w:pPr>
            <w:r>
              <w:rPr>
                <w:rFonts w:ascii="Arial" w:cs="Arial" w:eastAsia="Arial" w:hAnsi="Arial"/>
                <w:sz w:val="14"/>
                <w:szCs w:val="14"/>
                <w:b w:val="1"/>
                <w:bCs w:val="1"/>
                <w:color w:val="auto"/>
              </w:rPr>
              <w:t>Year-Ended December 31,</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10,478</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(367 )</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Accounts receivable--net</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CFF"/>
          </w:tcPr>
          <w:p>
            <w:pPr>
              <w:spacing w:after="0"/>
              <w:rPr>
                <w:sz w:val="24"/>
                <w:szCs w:val="24"/>
                <w:color w:val="auto"/>
              </w:rPr>
            </w:pP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10,478</w:t>
            </w:r>
          </w:p>
        </w:tc>
        <w:tc>
          <w:tcPr>
            <w:tcW w:w="200" w:type="dxa"/>
            <w:vAlign w:val="bottom"/>
            <w:tcBorders>
              <w:bottom w:val="single" w:sz="8" w:color="CCECFF"/>
            </w:tcBorders>
            <w:shd w:val="clear" w:color="auto" w:fill="CCECFF"/>
          </w:tcPr>
          <w:p>
            <w:pPr>
              <w:spacing w:after="0"/>
              <w:rPr>
                <w:sz w:val="24"/>
                <w:szCs w:val="24"/>
                <w:color w:val="auto"/>
              </w:rPr>
            </w:pPr>
          </w:p>
        </w:tc>
        <w:tc>
          <w:tcPr>
            <w:tcW w:w="6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CFF"/>
          </w:tcPr>
          <w:p>
            <w:pPr>
              <w:spacing w:after="0"/>
              <w:rPr>
                <w:sz w:val="24"/>
                <w:szCs w:val="24"/>
                <w:color w:val="auto"/>
              </w:rPr>
            </w:pP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Borders>
              <w:bottom w:val="single" w:sz="8" w:color="CCECFF"/>
            </w:tcBorders>
            <w:shd w:val="clear" w:color="auto" w:fill="CCECFF"/>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3"/>
          </w:tcPr>
          <w:p>
            <w:pPr>
              <w:spacing w:after="0"/>
              <w:rPr>
                <w:sz w:val="20"/>
                <w:szCs w:val="20"/>
                <w:color w:val="auto"/>
              </w:rPr>
            </w:pPr>
            <w:r>
              <w:rPr>
                <w:rFonts w:ascii="Arial" w:cs="Arial" w:eastAsia="Arial" w:hAnsi="Arial"/>
                <w:sz w:val="18"/>
                <w:szCs w:val="18"/>
                <w:color w:val="auto"/>
                <w:w w:val="92"/>
              </w:rPr>
              <w:t>Property and equipment consisted of the following as of December 31, 2021 and 2022 (in thousands):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9"/>
            <w:vMerge w:val="restart"/>
          </w:tcPr>
          <w:p>
            <w:pPr>
              <w:jc w:val="right"/>
              <w:ind w:right="880"/>
              <w:spacing w:after="0"/>
              <w:rPr>
                <w:sz w:val="20"/>
                <w:szCs w:val="20"/>
                <w:color w:val="auto"/>
              </w:rPr>
            </w:pPr>
            <w:r>
              <w:rPr>
                <w:rFonts w:ascii="Arial" w:cs="Arial" w:eastAsia="Arial" w:hAnsi="Arial"/>
                <w:sz w:val="14"/>
                <w:szCs w:val="14"/>
                <w:b w:val="1"/>
                <w:bCs w:val="1"/>
                <w:color w:val="auto"/>
              </w:rPr>
              <w:t>Year-Ended December 31,</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2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71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714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24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Building</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7140" w:type="dxa"/>
            <w:vAlign w:val="bottom"/>
            <w:gridSpan w:val="2"/>
            <w:shd w:val="clear" w:color="auto" w:fill="CCECFF"/>
          </w:tcPr>
          <w:p>
            <w:pPr>
              <w:ind w:left="10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1,813</w:t>
            </w:r>
          </w:p>
        </w:tc>
        <w:tc>
          <w:tcPr>
            <w:tcW w:w="6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24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14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4"/>
          </w:tcPr>
          <w:p>
            <w:pPr>
              <w:jc w:val="right"/>
              <w:ind w:right="130"/>
              <w:spacing w:after="0"/>
              <w:rPr>
                <w:sz w:val="20"/>
                <w:szCs w:val="20"/>
                <w:color w:val="auto"/>
              </w:rPr>
            </w:pPr>
            <w:r>
              <w:rPr>
                <w:rFonts w:ascii="Arial" w:cs="Arial" w:eastAsia="Arial" w:hAnsi="Arial"/>
                <w:sz w:val="18"/>
                <w:szCs w:val="18"/>
                <w:color w:val="auto"/>
              </w:rPr>
              <w:t>(559 )</w:t>
            </w:r>
          </w:p>
        </w:tc>
        <w:tc>
          <w:tcPr>
            <w:tcW w:w="200" w:type="dxa"/>
            <w:vAlign w:val="bottom"/>
          </w:tcPr>
          <w:p>
            <w:pPr>
              <w:spacing w:after="0"/>
              <w:rPr>
                <w:sz w:val="21"/>
                <w:szCs w:val="21"/>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(1,041 )</w:t>
            </w: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71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8"/>
                <w:szCs w:val="18"/>
                <w:color w:val="auto"/>
              </w:rPr>
              <w:t>Property and equipment–net</w:t>
            </w:r>
          </w:p>
        </w:tc>
        <w:tc>
          <w:tcPr>
            <w:tcW w:w="14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1,254</w:t>
            </w:r>
          </w:p>
        </w:tc>
        <w:tc>
          <w:tcPr>
            <w:tcW w:w="6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shd w:val="clear" w:color="auto" w:fill="CCEC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-1977390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-1960245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-1977390</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-1960245</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-24765</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-7620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property and equipment totaled $0.2 million and $0.4 million during the years-ended December 31, 2021 and 2022, respectively.</w:t>
      </w:r>
    </w:p>
    <w:p>
      <w:pPr>
        <w:spacing w:after="0" w:line="35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instruments consist of Level 1 assets at December 31, 2021 and 2022. The Company’s cash and restricted cash was $38.3 million and $46.6 million at December 31, 2021 and 2022, respectively, and included savings deposits and overnight investments.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credit facility and term loans are carried at amortized cost at December 31, 2021 and December 31, 2022 and the carrying amount approximates fair value as the stated interest rate approximates market rates currently available to the Company.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considers the inputs utilized to determine the fair value of the borrowings to be Level 3 inputs. The Company categorizes its warrants potentially settleable in cash as Level 3 fair value measurements. The warrants potentially settleable in cash are measured at fair value on a recurring basis and are being marked to fair value at each reporting date until they are completely settled or meet the requirements to be accounted for as a component of stockholders’ equity.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summarizes the fair value of the Company’s financial assets that are measured at fair value for the years-ended December 31, 2021 and 2022 (in thousands):</w:t>
      </w:r>
    </w:p>
    <w:p>
      <w:pPr>
        <w:spacing w:after="0" w:line="39"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Year-Ended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15240</wp:posOffset>
            </wp:positionV>
            <wp:extent cx="2388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88870" cy="8255"/>
                    </a:xfrm>
                    <a:prstGeom prst="rect">
                      <a:avLst/>
                    </a:prstGeom>
                    <a:noFill/>
                  </pic:spPr>
                </pic:pic>
              </a:graphicData>
            </a:graphic>
          </wp:anchor>
        </w:drawing>
      </w:r>
    </w:p>
    <w:p>
      <w:pPr>
        <w:spacing w:after="0" w:line="89"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Fair Value Measurement Category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6"/>
                <w:szCs w:val="16"/>
                <w:color w:val="auto"/>
              </w:rPr>
            </w:pPr>
          </w:p>
        </w:tc>
      </w:tr>
      <w:tr>
        <w:trPr>
          <w:trHeight w:val="23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3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30,317</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7,998</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73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Estimated fair value of contingent earn-out considerations</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100" w:type="dxa"/>
            <w:vAlign w:val="bottom"/>
            <w:shd w:val="clear" w:color="auto" w:fill="CFF0FC"/>
          </w:tcPr>
          <w:p>
            <w:pPr>
              <w:spacing w:after="0"/>
              <w:rPr>
                <w:sz w:val="21"/>
                <w:szCs w:val="21"/>
                <w:color w:val="auto"/>
              </w:rPr>
            </w:pPr>
          </w:p>
        </w:tc>
      </w:tr>
      <w:tr>
        <w:trPr>
          <w:trHeight w:val="485"/>
        </w:trPr>
        <w:tc>
          <w:tcPr>
            <w:tcW w:w="7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Year-Ended December 31, 2022</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1"/>
        </w:trPr>
        <w:tc>
          <w:tcPr>
            <w:tcW w:w="7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Fair Value Measurement Category</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20"/>
                <w:szCs w:val="20"/>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43,574</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738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62"/>
        </w:trPr>
        <w:tc>
          <w:tcPr>
            <w:tcW w:w="7380" w:type="dxa"/>
            <w:vAlign w:val="bottom"/>
            <w:shd w:val="clear" w:color="auto" w:fill="CCEC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CFF"/>
          </w:tcPr>
          <w:p>
            <w:pPr>
              <w:spacing w:after="0"/>
              <w:rPr>
                <w:sz w:val="22"/>
                <w:szCs w:val="22"/>
                <w:color w:val="auto"/>
              </w:rPr>
            </w:pPr>
          </w:p>
        </w:tc>
        <w:tc>
          <w:tcPr>
            <w:tcW w:w="90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82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7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43"/>
        </w:trPr>
        <w:tc>
          <w:tcPr>
            <w:tcW w:w="7380" w:type="dxa"/>
            <w:vAlign w:val="bottom"/>
          </w:tcPr>
          <w:p>
            <w:pPr>
              <w:ind w:left="12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warrant activity during the year-ended December 31, 2022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Year-Ended December 31, 2022</w:t>
            </w:r>
          </w:p>
        </w:tc>
        <w:tc>
          <w:tcPr>
            <w:tcW w:w="100" w:type="dxa"/>
            <w:vAlign w:val="bottom"/>
          </w:tcPr>
          <w:p>
            <w:pPr>
              <w:spacing w:after="0"/>
              <w:rPr>
                <w:sz w:val="16"/>
                <w:szCs w:val="16"/>
                <w:color w:val="auto"/>
              </w:rPr>
            </w:pPr>
          </w:p>
        </w:tc>
      </w:tr>
      <w:tr>
        <w:trPr>
          <w:trHeight w:val="236"/>
        </w:trPr>
        <w:tc>
          <w:tcPr>
            <w:tcW w:w="8660" w:type="dxa"/>
            <w:vAlign w:val="bottom"/>
            <w:shd w:val="clear" w:color="auto" w:fill="CCECFF"/>
          </w:tcPr>
          <w:p>
            <w:pPr>
              <w:ind w:left="20"/>
              <w:spacing w:after="0"/>
              <w:rPr>
                <w:sz w:val="20"/>
                <w:szCs w:val="20"/>
                <w:color w:val="auto"/>
              </w:rPr>
            </w:pPr>
            <w:r>
              <w:rPr>
                <w:rFonts w:ascii="Arial" w:cs="Arial" w:eastAsia="Arial" w:hAnsi="Arial"/>
                <w:sz w:val="18"/>
                <w:szCs w:val="18"/>
                <w:color w:val="auto"/>
              </w:rPr>
              <w:t>Warrants liability as of January 1, 2022</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0"/>
                <w:szCs w:val="20"/>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Change in fair value of warrants</w:t>
            </w:r>
          </w:p>
        </w:tc>
        <w:tc>
          <w:tcPr>
            <w:tcW w:w="1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r>
      <w:tr>
        <w:trPr>
          <w:trHeight w:val="276"/>
        </w:trPr>
        <w:tc>
          <w:tcPr>
            <w:tcW w:w="86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Warrants liability as of December 31, 2022.</w:t>
            </w: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the outstanding warrants were measured using the Black Scholes model. Due to the complexity of the warrants issued, the Company uses an outside expert to assist in providing the mark to market fair valuation of the liabilities over the reporting periods in which the original agreement was in effect.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liability, and are recorded within the Change in fair market value of warrant line item on the statement of operations.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the change in fair value of contingent earn-out liabilities line item on the statement of operations.</w:t>
      </w:r>
    </w:p>
    <w:p>
      <w:pPr>
        <w:spacing w:after="0" w:line="295"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PREPAID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and other current assets consisted of the following as of December 31, 2021 and 2022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December 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8"/>
                <w:szCs w:val="18"/>
                <w:color w:val="auto"/>
              </w:rPr>
            </w:pPr>
          </w:p>
        </w:tc>
      </w:tr>
      <w:tr>
        <w:trPr>
          <w:trHeight w:val="241"/>
        </w:trPr>
        <w:tc>
          <w:tcPr>
            <w:tcW w:w="7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3"/>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inventory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FF0FC"/>
          </w:tcPr>
          <w:p>
            <w:pPr>
              <w:spacing w:after="0"/>
              <w:rPr>
                <w:sz w:val="21"/>
                <w:szCs w:val="21"/>
                <w:color w:val="auto"/>
              </w:rPr>
            </w:pPr>
          </w:p>
        </w:tc>
      </w:tr>
      <w:tr>
        <w:trPr>
          <w:trHeight w:val="236"/>
        </w:trPr>
        <w:tc>
          <w:tcPr>
            <w:tcW w:w="73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20"/>
                <w:szCs w:val="20"/>
                <w:color w:val="auto"/>
              </w:rPr>
            </w:pPr>
          </w:p>
        </w:tc>
      </w:tr>
      <w:tr>
        <w:trPr>
          <w:trHeight w:val="249"/>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FF0FC"/>
          </w:tcPr>
          <w:p>
            <w:pPr>
              <w:spacing w:after="0"/>
              <w:rPr>
                <w:sz w:val="21"/>
                <w:szCs w:val="21"/>
                <w:color w:val="auto"/>
              </w:rPr>
            </w:pPr>
          </w:p>
        </w:tc>
      </w:tr>
      <w:tr>
        <w:trPr>
          <w:trHeight w:val="236"/>
        </w:trPr>
        <w:tc>
          <w:tcPr>
            <w:tcW w:w="7380" w:type="dxa"/>
            <w:vAlign w:val="bottom"/>
          </w:tcPr>
          <w:p>
            <w:pPr>
              <w:ind w:left="20"/>
              <w:spacing w:after="0"/>
              <w:rPr>
                <w:sz w:val="20"/>
                <w:szCs w:val="20"/>
                <w:color w:val="auto"/>
              </w:rPr>
            </w:pPr>
            <w:r>
              <w:rPr>
                <w:rFonts w:ascii="Arial" w:cs="Arial" w:eastAsia="Arial" w:hAnsi="Arial"/>
                <w:sz w:val="18"/>
                <w:szCs w:val="18"/>
                <w:color w:val="auto"/>
              </w:rPr>
              <w:t>Consulting fees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Amazon global logistics</w:t>
            </w: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FF0FC"/>
          </w:tcPr>
          <w:p>
            <w:pPr>
              <w:spacing w:after="0"/>
              <w:rPr>
                <w:sz w:val="21"/>
                <w:szCs w:val="2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r>
      <w:tr>
        <w:trPr>
          <w:trHeight w:val="230"/>
        </w:trPr>
        <w:tc>
          <w:tcPr>
            <w:tcW w:w="73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2021 and 2022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right"/>
              <w:ind w:right="513"/>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6580" w:type="dxa"/>
            <w:vAlign w:val="bottom"/>
          </w:tcPr>
          <w:p>
            <w:pPr>
              <w:spacing w:after="0"/>
              <w:rPr>
                <w:sz w:val="16"/>
                <w:szCs w:val="16"/>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Accrued compensation costs</w:t>
            </w:r>
          </w:p>
        </w:tc>
        <w:tc>
          <w:tcPr>
            <w:tcW w:w="1520" w:type="dxa"/>
            <w:vAlign w:val="bottom"/>
          </w:tcPr>
          <w:p>
            <w:pPr>
              <w:jc w:val="right"/>
              <w:ind w:right="133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 and consultants</w:t>
            </w:r>
          </w:p>
        </w:tc>
        <w:tc>
          <w:tcPr>
            <w:tcW w:w="15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Accrued logistics costs</w:t>
            </w:r>
          </w:p>
        </w:tc>
        <w:tc>
          <w:tcPr>
            <w:tcW w:w="15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related accruals</w:t>
            </w:r>
          </w:p>
        </w:tc>
        <w:tc>
          <w:tcPr>
            <w:tcW w:w="15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Sales tax payable</w:t>
            </w:r>
          </w:p>
        </w:tc>
        <w:tc>
          <w:tcPr>
            <w:tcW w:w="15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return reserve</w:t>
            </w:r>
          </w:p>
        </w:tc>
        <w:tc>
          <w:tcPr>
            <w:tcW w:w="15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Accrued fulfillment expense</w:t>
            </w:r>
          </w:p>
        </w:tc>
        <w:tc>
          <w:tcPr>
            <w:tcW w:w="15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insurance</w:t>
            </w:r>
          </w:p>
        </w:tc>
        <w:tc>
          <w:tcPr>
            <w:tcW w:w="15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Federal payroll taxes payable</w:t>
            </w:r>
          </w:p>
        </w:tc>
        <w:tc>
          <w:tcPr>
            <w:tcW w:w="15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0"/>
                <w:szCs w:val="20"/>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 payable</w:t>
            </w:r>
          </w:p>
        </w:tc>
        <w:tc>
          <w:tcPr>
            <w:tcW w:w="15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15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0"/>
                <w:szCs w:val="20"/>
                <w:color w:val="auto"/>
              </w:rPr>
            </w:pP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 accruals</w:t>
            </w:r>
          </w:p>
        </w:tc>
        <w:tc>
          <w:tcPr>
            <w:tcW w:w="15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5,800</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Accrued and current liabilities</w:t>
            </w:r>
          </w:p>
        </w:tc>
        <w:tc>
          <w:tcPr>
            <w:tcW w:w="1520" w:type="dxa"/>
            <w:vAlign w:val="bottom"/>
          </w:tcPr>
          <w:p>
            <w:pPr>
              <w:jc w:val="right"/>
              <w:ind w:right="133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17,621</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14,254</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-187960</wp:posOffset>
            </wp:positionV>
            <wp:extent cx="76835"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Company sponsors, through its professional employer organization provider, a 401(k) defined contribution plan covering all eligible U.S.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401(k) plan are discretionary. Currently, the Company does not match or make any contributions to the 401(k) plan.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Credit Facility and Term Loan – November 2018 Note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November 23, 2018, the Company entered into the three-year $25.0 million revolving credit facility (the “Credit Facility”) with MidCap Funding IV Trust (“MidCap”) as agent and lenders party thereto. The Credit Facility could be increased, subject to certain conditions, to $50.0 million. Loans under the Credit Facility were determined based on percentages of the Company’s eligible accounts receivable and eligible inventory. The Credit Facility bore interest at a rate of the London Interbank Offered Rate (“LIBOR”) plus 5.75% for outstanding borrowings. The Company was required to pay a facility availability fee of 0.5% on the average unused portion of the Credit Facility. On December 1, 2020, the Company, certain of the Company’s subsidiaries and MidCap entered into an amendment to the Credit Facility, (i) providing for a $30.0 million revolving credit facility, which could be increased, subject to certain conditions, to $50.0 million, (ii) permitting the incurrence of certain debt under certain conditions and restrictions, including the senior secured note with an aggregate principal amount of $43.0 million issued on December 1, 2020 (as amended, the “December 2020 Note”), (iii) permitting certain payments to High Trail SA as required under the December 2020 Note, and (iv) permitting the acquisition of the assets of an e-commerce business under the brands Mueller, Pursteam, Pohl and Schmitt, and Spiralizer (the “Smash Assets”). Further, the Credit Facility was extended to November 23, 2022. The Credit Facility contained a minimum liquidity financial covenant that required the Company to maintain a minimum of $6.5 million in cash on hand or availability in the Credit Facility. The Company was in compliance with the financial covenants contained within the Credit Facility as of December 31, 2020. As of December 31, 2020, there was $12.9 million outstanding on the Credit Facility and an available balance of approximately $1.4 million and as of December 31, 2021, there was no outstanding balance on the Credit Facility. On April 8, 2021, the Company paid off all obligations owing under, and terminated, the Credit Facility. The Company recorded $1.5 million of extinguishment of debt for the year-ended December 31, 2021, which has been classified within loss on extinguishment of debt on the condensed consolidated statements of operations. Pursuant to the Credit Facility, upon the payment of the amounts outstanding under the Credit Facility, the Company paid a prepayment fee and a payoff letter preparation fee in an aggregate amount equal to 4.3% of the then outstanding principal balance of the Credit Facility. The Company recorded interest expense from the Credit Facility of approximately $0.4 million for the year-ended December 31, 2021, which included $0.1 million relating to debt issuance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Term Loan – December 2018 Note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2018, the Company entered into a term loan agreement (the “Horizon Loan Agreement”) with Horizon Technology Finance Corporation (“Horizon”). As part of the Horizon Loan Agreement, the Company obtained a four-year $15.0 million term loan (the “Horizon Term Loan”). The Horizon Term Loan bore interest at 9.90% plus the amount by which one-month LIBOR exceeded 2.50% for outstanding borrowings, and payments on principal were made on a monthly basis. The maturity date of the Horizon Term Loan was January 2023.</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 2020, the Company paid off all remaining obligations under the Horizon Term Loan for $15.0 million and terminated the Horizon Term Loan. The Company recorded interest expense from the Horizon Term Loan of $1.4 million and $0.0 million for the years-ended December 31, 2020 and 2021, respectively, which included $0.6 million and $0.0 million, respectively, relating to debt issuance costs.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Loan - December 2020 Note</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December 1, 2020, the Company refinanced the Horizon Term Loan through the issuance of the December 2020 Note to High Trail SA. The Company received gross proceeds of $38.0 million in exchange for the December 2020 Note with an aggregate principal amount of $43.0 million. The December 2020 Note was to be repaid over 24 equal monthly cash payments of $1.8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2020 Note consisted of the following as of December 31, 2020:</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December 2020 Note</w:t>
            </w:r>
          </w:p>
        </w:tc>
        <w:tc>
          <w:tcPr>
            <w:tcW w:w="4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(2,207 )</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3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(9,839 )</w:t>
            </w: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Less: discount associated with original issuance of loan</w:t>
            </w:r>
          </w:p>
        </w:tc>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(4,692 )</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High Trail warrant</w:t>
            </w:r>
          </w:p>
        </w:tc>
        <w:tc>
          <w:tcPr>
            <w:tcW w:w="38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December 2020 Note</w:t>
            </w:r>
          </w:p>
        </w:tc>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58,083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Less-current portion</w:t>
            </w:r>
          </w:p>
        </w:tc>
        <w:tc>
          <w:tcPr>
            <w:tcW w:w="3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(21,600 )</w:t>
            </w: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4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Term loan non-current portion</w:t>
            </w:r>
          </w:p>
        </w:tc>
        <w:tc>
          <w:tcPr>
            <w:tcW w:w="38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36,483</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34"/>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100" w:type="dxa"/>
            <w:vAlign w:val="bottom"/>
            <w:gridSpan w:val="2"/>
          </w:tcPr>
          <w:p>
            <w:pPr>
              <w:jc w:val="right"/>
              <w:ind w:right="3230"/>
              <w:spacing w:after="0"/>
              <w:rPr>
                <w:sz w:val="20"/>
                <w:szCs w:val="20"/>
                <w:color w:val="auto"/>
              </w:rPr>
            </w:pPr>
            <w:r>
              <w:rPr>
                <w:rFonts w:ascii="Arial" w:cs="Arial" w:eastAsia="Arial" w:hAnsi="Arial"/>
                <w:sz w:val="18"/>
                <w:szCs w:val="18"/>
                <w:color w:val="auto"/>
              </w:rPr>
              <w:t>F-20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-1001395</wp:posOffset>
            </wp:positionV>
            <wp:extent cx="5969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-684530</wp:posOffset>
            </wp:positionV>
            <wp:extent cx="5969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The December 2020 Note contained a minimum liquidity financial covenant that required the Company to maintain a minimum of $10.0 million in unrestricted cash on hand. Additionally, as of the last day of each applicable fiscal quarter, the Company was required to maintain Adjusted EBITDA amounts for the 12-month period ending on such day, as defined in the December 2020 Note. The Company was in compliance with the December 2020 Note’s financial covenants as of December 31, 2020.</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December 2020 Note was extinguished on April 8, 2021 in exchange for an April 2021 Note (see the discussion under the heading High Trail April 2021 Note of this Note 9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 February 2021 Note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 2021, the Company entered into a second, separate transaction with High Trail, where it issued to High Trail ON a 0% coupon senior secured promissory note in an aggregate principal amount of $16.5 million (as amended, the “February 2022 Note”) that was to mature on February 1, 2023.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 April 2021 Note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8, 2021, the Company refinanced all its existing debt with High Trail and Midcap. As such, the Company entered into a new securities purchase and exchange agreement (the “Securities Purchase Agreement”) with High Trail SA and High Trail ON, pursuant to which, among other things, the Company issued and sold to High Trail, in a private placement transaction (the “Private Placement”), (i) senior secured promissory notes in an aggregate principal amount of $110.0 million (the “April 2021 Notes”) that accrued interest at a rate of 8% per annum and were to mature on April 8, 2024, and (ii) warrants (the “Warrants” and each, a “Warrant”) to purchase up to an aggregate of 2,259,166 shares of the Company’s common stock in exchange for: (a) a cash payment by High Trail to the Company of $57.7 million, (b) the cancellation of the December 2020 Note, and (c) the cancellation of the February 2021 Note.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$14.8 million of the net proceeds from the Private Placement to repay all amounts owed under the Credit Facility on April 8, 2021.</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ASC 470, Debt, the Company concluded the High Trail April 2021 Note transaction resulted in the extinguishment of the two prior High Trail December 2020 and February 2021 term loans in the amount of $28.2 million of extinguishment of which has been classified within loss on extinguishment of debt on the consolidated statements of operations.</w:t>
      </w:r>
    </w:p>
    <w:p>
      <w:pPr>
        <w:spacing w:after="0" w:line="183"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 Company breached its Adjusted EBITDA covenant with its lender, High Trail, and in August 2021, the Company secured a waiver from its lender with the partial repayment of the loan. See the High Trail Letter Agreements and Omnibus Amendment section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April Letter Agreement</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8, 2021, the Company entered into a Letter Agreement (the “April Letter Agreement”) with High Trail SA and High Trail ON, pursuant to which, among other things, (i) the Company and High Trail SA agreed to amend the terms of the Letter Agreement to provide that the Company would prepare and file by June 30, 2021 a registration statement (the “Resale Registration Statement”) with the Securities and Exchange Commission for the purposes of registering for resale the December Warrant Shares, the Penny Warrant Shares and the Restricted Shares (as defined below), (ii) the Company issued 130,000 shares of its common stock to High Trail SA (the “Restricted Shares”), and (iii) High Trail SA and High Trail ON agreed to waive any Default or Event of Default (as such terms are defined in the December 2020 Note or the February 2021 Note) caused by the Company’s failure to file the Resale Registration Statement by March 26, 2021.</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8, 2021, the Company entered into (i) an amendment (the “SPA Amendment”) to that certain Securities Purchase Agreement, dated as of November 30, 2020, by and between the Company and High Trail SA (the “December 2020 SPA”), and to that certain Securities Purchase Agreement, dated as of February 2, 2021, by and between the Company and High Trail ON (the “February 2021 SPA”), (ii) an amendment to the February Warrant (the “February Warrant Amendment”), (iii) an amendment to the Penny Warrant (the “Penny Warrant Amendment”), and (iv) an amendment to the Additional Warrant (the “Additional Warrant Amendment” and, together with the February Warrant Amendment and the Penny Warrant Amendment, the “Warrant Amendments”). The SPA Amendment amended the December 2020 SPA and the February 2021 SPA to, among other things, allow for the issuance of the April 2021 Notes and to waive certain rights of High Trail under the December 2020 SPA and the February 2021 SPA. The Warrant Amendments amended the February Warrant, the Penny Warrant and the Additional Warrant to amend the definition of “Black Scholes Value” in each warrant to provide that the expected volatility used in the Black Scholes Value shall equal 100% instead of the greater of 100% and the 100-day volatility obtained from the HVT function on Bloomberg (determined utilizing a 365-day annualization factor) as of the trading day immediately following the public announcement of a Change of Control (as defined in each of the warrants), or, if the Change of Control is not publicly announced, the date the Change of Control is consummated.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jc w:val="both"/>
        <w:spacing w:after="0" w:line="307" w:lineRule="auto"/>
        <w:rPr>
          <w:sz w:val="20"/>
          <w:szCs w:val="20"/>
          <w:color w:val="auto"/>
        </w:rPr>
      </w:pPr>
      <w:r>
        <w:rPr>
          <w:rFonts w:ascii="Arial" w:cs="Arial" w:eastAsia="Arial" w:hAnsi="Arial"/>
          <w:sz w:val="17"/>
          <w:szCs w:val="17"/>
          <w:color w:val="auto"/>
        </w:rPr>
        <w:t>The Warrant Amendments to the February Warrant, the Penny Warrant and the Additional Warrant resulted in an $80.0 million reclassification from a liability to a component of equity and resulted in a $21.3 million reclassification from a component of equity to a liability as of December 31, 2021.</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Shares were expensed as part of extinguishment loss, valued based on the fair market value on April 8, 2021 for $4.1 million, with the offset impacting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Letter Agreements and Omnibus Amendment</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9, 2021, pursuant to those certain Letter Agreements entered into between the Company and High Trail with respect to each of the April 2021 Notes (collectively, the “August Letter Agreements”), High Trail notified the Company that High Trail declared an event of default under the April 2021 Notes as a result of the Company’s Adjusted EBITDA (as defined in the April 2021 Notes) not being equal to at least $12 million for the 12 month period ended June 30, 2021 and further notified the Company that High Trail immediately accelerated a total of $18.7 million of the principal amount of the April 2021 Notes, requiring the Company to immediately pay $21.5 million (such amount equal to 115% of the principal amount that was accelerated, as required under the terms of the April 2021 Notes, plus $0.3 million of accrued but unpaid interest on the principal amount that was accelerated) (the “Current Event of Default Acceleration Amount”).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August Letter Agreements, the Company agreed, among other things, to pay the Current Event of Default Acceleration Amount in cash by August 9, 2021 and that any portion not paid in cash would be paid in shares of the Company’s common stock under the terms of the April 2021 Notes, with the number of shares issuable equal to the unpaid Current Event of Default Acceleration Amount divided by 80% of the lesser of (i) the Daily VWAP (as defined in the April 2021 Notes) on August 9, 2021 and (ii) the average of the lowest two (2) Daily VWAPs during the ten (10) day VWAP trading period ending on August 9, 2021.</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August Letter Agreements, High Trail waived the events of default relating to the Company’s failure to satisfy the Adjusted EBITDA covenant under the April 2021 Notes, effective upon the payment in cash of $10.1 million of the Current Event of Default Acceleration Amount and the issuance of the shares of the Company’s common stock for the remaining $11.7 million of the Current Event of Default Acceleration Amount. The Company paid High Trail an aggregate of $10.1 million in cash on August 9, 2021 and in accordance with the April 2021 Notes and the August Letter Agreements, paid the remaining $11.7 million of the Current Event of Default Acceleration Amount by issuing to High Trail an aggregate of 2,841,251 shares of common stock (with the shares issued at a price of $4.1007 per share, which was, in accordance with the April 2021 Notes, equal to 80% of the Daily VWAP on August 9, 2021.</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connection with the August Letter Agreements, on August 9, 2021, the Company also entered into an Omnibus Amendment to Senior Secured Notes Due 2024 and Warrants to Purchase Common Stock with High Trail (the “Omnibus Amendment”), whereby: (i) the Company agreed to increase the minimum cash threshold covenant in the April 2021 Notes from $15.0 million to $30.0 million through October 31, 2021; (ii) the Company agreed to add a liquidity covenant to the April 2021 Notes whereby it must have liquidity, on each day through October 31, 2021, calculated as (A) inventory, net, plus (B) accounts receivable, net (each determined in accordance with GAAP) in an aggregate minimum amount equal to $65.0 million less (C) any amount of cash and cash equivalents in excess of $30 million; (iii) the definition of “Permitted Investment” in the April 2021 Notes was modified such that the consent of High Trail is now required for certain merger and acquisition activity; (iv) the Company agreed that the exercise prices of the following warrants to purchase shares of the Company’s common stock previously issued to High Trail will be modified to be equal to the lesser of: (X) the closing price of the Company’s common stock on August 9, 2021 or (Y) the VWAP of the Company’s common stock on August 9, 2021: (1) the February Warrant; (2) the Additional Warrant; and (3) the Warrants (collectively, the “High Trail Warrants”); (v) High Trail agreed that it would not exercise the High Trail Warrants prior to October 17, 2021 (the day that was 60 days after the registration statement registering for resale the 2,666,667 shares of common stock the Company issued on June 15, 2021 was declared effective); and (vi) if, at any time on or after January 7, 2022, High Trail is unable to exercise the High Trail Warrants due to the agreement described in clause (v), the Company agreed to pay High Trail, as liquidated damages, a cash payment that will be equal to (a) the weighted average price of the Company’s common stock on the date High Trail seeks to exercise any of the High Trail Warrants, minus the then-current exercise price of the High Trail Warrants, multiplied by (b) the number of shares subject to the High Trail Warrants that it then desires to exercise.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Debt Repayment</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22, 2021, the Company entered into letter agreements (the “September Letter Agreements”) with High Trail with respect to the April 2021 Notes. Pursuant to the September Letter Agreements, (i) High Trail notified the Company that High Trail declared events of default under the April 2021 Notes and further notified the Company that High Trail accelerated an aggregate of $66.3 million of the principal amount of the April 2021 Notes, requiring the Company to pay $76.9 million (such amount equal to 115% of the principal amount that was accelerated, as required under the terms of the April 2021 Notes, plus $0.3 million of accrued but unpaid interest on the principal amount that was accelerated) (collectively, the “Acceleration Amount”), (ii) High Trail agreed, contingent and effective upon the repayment of the Acceleration Amount in shares of the Company’s common stock in accordance with the April 2021 Notes and the September Letter Agreements and the satisfaction of all of the Company’s other obligations under the September Letter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spacing w:after="0" w:line="256" w:lineRule="auto"/>
        <w:rPr>
          <w:sz w:val="20"/>
          <w:szCs w:val="20"/>
          <w:color w:val="auto"/>
        </w:rPr>
      </w:pPr>
      <w:r>
        <w:rPr>
          <w:rFonts w:ascii="Arial" w:cs="Arial" w:eastAsia="Arial" w:hAnsi="Arial"/>
          <w:sz w:val="18"/>
          <w:szCs w:val="18"/>
          <w:color w:val="auto"/>
        </w:rPr>
        <w:t>Agreements and the Second Omnibus Amendment (as defined below), to waive the events of default, (iii) the Company agreed that until November 1, 2021, the Company will not, subject to certain exceptions, issue, offer, sell or otherwise dispose of any equity security, equity-linked security or related security, and (iv) the Company agreed that, as a result of the occurrence of the events of default, it no longer has the right to require High Trail to exercise the High Trail Warrants if the price of the Company’s common stock exceeds 200% of the exercise price of the High Trail Warrants for 20 consecutive trading days and certain other conditions were satisfied.</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terms of the April 2021 Notes, High Trail had the right, by delivering a notice to the Company (each, a “Stock Payment Notice”) to require the Company to satisfy its obligation to repay all or any portion of the Acceleration Amount in shares of the Company’s common stock, with the number of shares issuable determined by dividing the portion of the Acceleration Amount that High Trail requests, pursuant to a Stock Payment Notice, to be repaid in shares of the Company’s common stock, by 80% of the lesser of (A) the Daily VWAP (as defined in the April 2021 Notes) on the date of delivery of the Stock Payment Notice, and (B) the average of the lowest two Daily VWAPs during the ten (10) day VWAP trading period ending on the date of delivery of the Stock Payment Notice. Pursuant to the September Letter Agreements, High Trail agreed to deliver Stock Payment Notices as soon as it is practicable to do so without High Trail and its affiliates collectively beneficially owning in the aggregate in excess of 9.99% of the Company’s outstanding common stock.</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September Letter Agreements, on September 22, 2021, the Company also entered into a Second Omnibus Amendment to Senior Secured Notes Due 2024 and Warrants to Purchase Common Stock with High Trail (the “Second Omnibus Amendment”), whereby: (i) the maturity date of the April 2021 Notes was changed from April 8, 2024 to April 1, 2023; (ii) the definition of “Permitted Investment” in the April 2021 Notes was modified to include an exception for certain acquisitions of all or substantially all of the assets of another person or a majority of the equity interests of another person; (iii) the definition of “Target Adjusted EBITDA” was modified to reflect certain updated projections of the Company; (iv) the liquidity requirements as set forth in the Omnibus Amendment were removed; (v) the minimum cash threshold covenant was changed from $30.0 million to $15.0 million; (vi) the definition of “Adjusted EBITDA” in the April 2021 Notes was modified to be equal to not less than the Target Adjusted EBITDA for the three-month period ending on the last day of each applicable fiscal quarter instead of the 12-month period ending on such day; and (vii) the exercise prices of the High Trail Warrants were modified to be equal to $0.01. High Trail reserved the right to void the term of the Second Omnibus Amendment in full or in part in the event that the Company breaches any of the terms of the September Letter Agreements or otherwise fails to timely deliver shares of stock of the Company to High Trail as required thereunder.</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April 2021 Notes and the September Letter Agreements, effective September 22, 2021, the Company issued to High Trail an aggregate of 3,474,814 shares of its common stock, and effective September 23, 2021, the Company issued to High Trail an aggregate of 5,838,096 shares of its common stock, satisfying its obligation to repay the Acceleration Amount in full.</w:t>
      </w:r>
    </w:p>
    <w:p>
      <w:pPr>
        <w:spacing w:after="0" w:line="183" w:lineRule="exact"/>
        <w:rPr>
          <w:sz w:val="20"/>
          <w:szCs w:val="20"/>
          <w:color w:val="auto"/>
        </w:rPr>
      </w:pPr>
    </w:p>
    <w:p>
      <w:pPr>
        <w:jc w:val="both"/>
        <w:spacing w:after="0" w:line="340" w:lineRule="auto"/>
        <w:rPr>
          <w:sz w:val="20"/>
          <w:szCs w:val="20"/>
          <w:color w:val="auto"/>
        </w:rPr>
      </w:pPr>
      <w:r>
        <w:rPr>
          <w:rFonts w:ascii="Arial" w:cs="Arial" w:eastAsia="Arial" w:hAnsi="Arial"/>
          <w:sz w:val="17"/>
          <w:szCs w:val="17"/>
          <w:color w:val="auto"/>
        </w:rPr>
        <w:t>Pursuant to ASC 470, Debt, the Company concluded that as a result of the High Trail Letter Agreements and Omnibus Amendment and the High Trail Debt Repayment, the April 2021 Notes were extinguished on September 22, 2021 in exchange for the Notes due April 2023 of $25.0 million.</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paid off the remaining $25.0 million High Trail Term Loan as of December 31, 2021 (see the discussion under the heading MidCap Credit Facility December 2021 of this Note 9 below). Pursuant to ASC 470, Debt, the Company concluded the High Trail Term Loan transaction resulted in the extinguishment of the High Trail Term Loan in the amount of $2.5 million of extinguishment of which has been classified within loss on extinguishment of debt on the Consolidated Statements of Operations.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year-ended December 31, 2021, the Company has recorded a total of $138.9 million of debt extinguishment loss which includes the $107.0 million from the High Trail Letter Agreements and Omnibus Amendment and the High Trail Debt Repayment, $28.2 million from the High Trail December 2020 and February 2021 term loans as part of the issuance of the April 2021 Notes, of $2.5 million of extinguishment from the remaining $25.0 million of High Trail Term Loan and $1.5 million from the repayment of the Credit Facility.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Credit Facility – December 2021</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200,000 shares of common stock of the Company, par value $0.0001 per share, in exchange for the Lenders extending loans and other extensions of credit to the Company under the Credit Agreement.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22, 2021, the Company used $27.6 million of the net proceeds from the initial loan under the Credit Agreement to repay all remaining amounts owed under those certain senior secured promissory notes issued by the Company to High Trail Investments SA LLC and High Trail Investments ON LLC in an initial principal amount of $110.0 million, as amended (the “Terminated Notes”).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jc w:val="both"/>
        <w:spacing w:after="0" w:line="256" w:lineRule="auto"/>
        <w:rPr>
          <w:sz w:val="20"/>
          <w:szCs w:val="20"/>
          <w:color w:val="auto"/>
        </w:rPr>
      </w:pPr>
      <w:r>
        <w:rPr>
          <w:rFonts w:ascii="Arial" w:cs="Arial" w:eastAsia="Arial" w:hAnsi="Arial"/>
          <w:sz w:val="18"/>
          <w:szCs w:val="18"/>
          <w:color w:val="auto"/>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through and including May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of each calendar year, $12.5 million and (b) at all other times, $15.0 million. The Credit Agreement includes events of default that are customary for these types of credit facilities, including the occurrence of a change of control. The Company was in compliance with the financial covenants contained within the Credit Agreement as of December 31, 2021.</w:t>
      </w:r>
    </w:p>
    <w:p>
      <w:pPr>
        <w:spacing w:after="0" w:line="172"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 Midcap Warrant has an exercise price of $4.70 per share, subject to adjustment for stock splits, reverse stock splits, stock dividends and similar transactions, is immediately exercisable, has a term of ten years from the date of issuance and is exercisable on a cash or cashless basis.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facility consisted of the following as of December 31, 2021 and 2022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5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MidCap Credit Facility – December 2021</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34,119</w:t>
            </w:r>
          </w:p>
        </w:tc>
        <w:tc>
          <w:tcPr>
            <w:tcW w:w="10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21,899</w:t>
            </w:r>
          </w:p>
        </w:tc>
        <w:tc>
          <w:tcPr>
            <w:tcW w:w="100" w:type="dxa"/>
            <w:vAlign w:val="bottom"/>
            <w:shd w:val="clear" w:color="auto" w:fill="CFF0FC"/>
          </w:tcPr>
          <w:p>
            <w:pPr>
              <w:spacing w:after="0"/>
              <w:rPr>
                <w:sz w:val="21"/>
                <w:szCs w:val="21"/>
                <w:color w:val="auto"/>
              </w:rPr>
            </w:pPr>
          </w:p>
        </w:tc>
      </w:tr>
      <w:tr>
        <w:trPr>
          <w:trHeight w:val="249"/>
        </w:trPr>
        <w:tc>
          <w:tcPr>
            <w:tcW w:w="7700" w:type="dxa"/>
            <w:vAlign w:val="bottom"/>
          </w:tcPr>
          <w:p>
            <w:pPr>
              <w:ind w:left="20"/>
              <w:spacing w:after="0"/>
              <w:rPr>
                <w:sz w:val="20"/>
                <w:szCs w:val="20"/>
                <w:color w:val="auto"/>
              </w:rPr>
            </w:pPr>
            <w:r>
              <w:rPr>
                <w:rFonts w:ascii="Arial" w:cs="Arial" w:eastAsia="Arial" w:hAnsi="Arial"/>
                <w:sz w:val="18"/>
                <w:szCs w:val="18"/>
                <w:color w:val="auto"/>
              </w:rPr>
              <w:t>Less: deferred debt issuance costs</w:t>
            </w:r>
          </w:p>
        </w:tc>
        <w:tc>
          <w:tcPr>
            <w:tcW w:w="24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(691 )</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(459 )</w:t>
            </w: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discount associated with issuance of warrants</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(583 )</w:t>
            </w:r>
          </w:p>
        </w:tc>
        <w:tc>
          <w:tcPr>
            <w:tcW w:w="160" w:type="dxa"/>
            <w:vAlign w:val="bottom"/>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(387 )</w:t>
            </w:r>
          </w:p>
        </w:tc>
      </w:tr>
      <w:tr>
        <w:trPr>
          <w:trHeight w:val="236"/>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MidCap Credit Facility – December 2021</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32,845</w:t>
            </w:r>
          </w:p>
        </w:tc>
        <w:tc>
          <w:tcPr>
            <w:tcW w:w="100" w:type="dxa"/>
            <w:vAlign w:val="bottom"/>
            <w:tcBorders>
              <w:top w:val="single" w:sz="8" w:color="CFF0FC"/>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21,053</w:t>
            </w:r>
          </w:p>
        </w:tc>
        <w:tc>
          <w:tcPr>
            <w:tcW w:w="100" w:type="dxa"/>
            <w:vAlign w:val="bottom"/>
            <w:tcBorders>
              <w:top w:val="single" w:sz="8" w:color="CFF0FC"/>
            </w:tcBorders>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 for the years-ended December 31, 2021 and 2022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Years-Ended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13,250</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FF0FC"/>
          </w:tcPr>
          <w:p>
            <w:pPr>
              <w:spacing w:after="0"/>
              <w:rPr>
                <w:sz w:val="21"/>
                <w:szCs w:val="21"/>
                <w:color w:val="auto"/>
              </w:rPr>
            </w:pPr>
          </w:p>
        </w:tc>
      </w:tr>
      <w:tr>
        <w:trPr>
          <w:trHeight w:val="236"/>
        </w:trPr>
        <w:tc>
          <w:tcPr>
            <w:tcW w:w="78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(595 )</w:t>
            </w:r>
          </w:p>
        </w:tc>
        <w:tc>
          <w:tcPr>
            <w:tcW w:w="108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(93 )</w:t>
            </w:r>
          </w:p>
        </w:tc>
      </w:tr>
      <w:tr>
        <w:trPr>
          <w:trHeight w:val="276"/>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expense, net</w:t>
            </w: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12,655</w:t>
            </w:r>
          </w:p>
        </w:tc>
        <w:tc>
          <w:tcPr>
            <w:tcW w:w="2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Shares</w:t>
      </w:r>
      <w:r>
        <w:rPr>
          <w:rFonts w:ascii="Arial" w:cs="Arial" w:eastAsia="Arial" w:hAnsi="Arial"/>
          <w:sz w:val="16"/>
          <w:szCs w:val="16"/>
          <w:color w:val="auto"/>
        </w:rPr>
        <w:t>—The Company has one class of common shares issued and available. Each share of common stock has the right to one vote per share.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June 10, 2021, the Company entered into a Securities Purchase Agreement with certain accredited investors (collectively, the “Investors”) pursuant to which, among other things, the Company issued and sold to the Investors, in a private placement transaction, an aggregate of 2,666,667 shares of common stock, of the Company (the “Shares”), at an offering price of $15.00 per Share, with proceeds to the Company, net of offering costs, of $36.7 million.</w:t>
      </w:r>
    </w:p>
    <w:p>
      <w:pPr>
        <w:spacing w:after="0" w:line="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 2022, we entered into Securities Purchase Agreements (the “Purchase Agreements”) with certain accredited investors identified on the signature pages to the Purchase Agreements (collectively, the “Purchasers”) pursuant to which, among other things, we issued and sold to the Purchasers, in a private placement transaction, (i) 6,436,322 shares of our common stock (the “Shares”), par value $0.0001 per share (“Common Stock”), and accompanying warrants to purchase an aggregate of 4,827,242 shares of common stock, and (ii) prefunded warrants to purchase up to an aggregate of 3,013,850 shares of common stock (the “Prefunded Warrants”) and accompanying warrants to purchase an aggregate of 2,260,388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$2.91, for gross proceeds of approximately $27.5 million.</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29, 2022, we entered into securities purchase agreements (the “September Purchase Agreements”) with certain accredited investors, pursuant to which, among other things, we agreed to sell and issue, in a registered direct offering (the “Registered Direct Offering”), an aggregate of 10,643,034 shares of its Shares and accompanying warrants to purchase an aggregate of 10,643,034 shares of its common stock. 10,526,368 of the shares and the accompanying warrants to purchase 10,526,368 shares of common stock were sold to certain accredited purchasers that are not affiliated with us at a combined offering price of $1.90 per share and accompanying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warrant to purchase one share of common stock. The remaining 116,666 shares of Common Stock and the accompanying warrants to purchase 116,666 shares of Common Stock were sold to certain of our insiders, comprised of our President and Chief Executive Officer, Chief Financial Officer, Chief Legal Officer and Global Head of M&amp;A and Chief Technology Officer, at a combined offering price of $2.10 per share and accompanying warrant to purchase one share of common stock.</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Registered Direct Offering closed on October 4, 2022 and the Company issued and sold an aggregate of 10,643,034 shares of common stock to the Purchasers. The gross proceeds to us from the Registered Direct Offering were approximately $20.2 million, before deducting fees payable to the placement agent and other estimated offering expenses payable by us. We currently intend to use the net proceeds from the Registered Direct Offering for working capital purposes, the conduct of its business and other general corporate purposes, which may include acquisitions, investments in or licenses of complementary products, technologies or businesses.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ASC 815-40, the September Purchase Agreement represents a legally binding contract that meets the definition of a firm commitment and as such we recorded a derivative related to the offering of common stock (“forward contract”). Additionally, we recorded $12.8 million derivative expense derived from the excess of the fair-value of the issuances of equity of common shares and common stock warrants over the anticipated proceeds to be received by us. This expense was recorded in loss on initial issuance of equity on the consolidated statement of operations for the year-ended December 31, 2022.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four equity plans: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Amended and Restated Equity Incentive Plan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December 31, 2022, 81,935 shares were reserved for awards available for future issuance under the Aterian 2014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board of directors adopted the Aterian, Inc. 2018 Equity Incentive Plan (the “2018 Plan”) on October 11, 2018. The 2018 Plan was approved by its stockholders on May 24, 2020. As of December 31, 2022, 724,880 shares were reserved for awards available for future issuance under the 2018 Plan.</w:t>
      </w:r>
    </w:p>
    <w:p>
      <w:pPr>
        <w:spacing w:after="0" w:line="18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Plan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board of directors adopted the Aterian, Inc. 2019 Equity Plan (the “2020 Equity Plan”) on March 20, 2019. The 2019 Equity Plan was approved by its stockholders on May 24, 2019. As of December 31, 2022, no shares were reserved for future issuance. Shares of restricted common stock granted under the 2019 Equity Plan initially vested in substantially equal installments on the 6th, 12th, 18th and 24th monthly anniversary of the closing of the Company’s initial public offering (“IPO”). The Company and the 2021 Equity Plan participants subsequently agreed to extend (i) the vesting date for the first installment of shares of restricted common stock under the 2019 Equity Plan to March 13, 2020, (ii) the vesting date for the second installment of shares of restricted common stock to December 15, 2020, (iii) the vesting date for the third installment of shares of restricted common stock to either January 18, 2021 or March 10, 2021, and (iv) the vesting date for the fourth installment of shares of restricted common stock to July 1, 2021 or December 14, 2021. Awards granted under the 2019 Equity Plan and not previously forfeited upon termination of service carry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catch-up expense and the remaining expense will be recorded under graded vesting. In the event the service of a participant in the 2019 Equity Plan (each, a “Participant”) is terminated due to an “involuntary termination”, then all of such Participant’s unvested shares of restricted common stock shall vest on the date of such involuntary termination unless, within three business days of such termination (1) the Company’s board of directors unanimously determines that such vesting shall not occur and (2) the remaining Participants holding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8"/>
          <w:szCs w:val="18"/>
          <w:color w:val="auto"/>
        </w:rPr>
        <w:t>restricted share awards covering at least 70% of the shares of restricted common stock issued and outstanding under the 2019 Equity Plan determine that such vesting shall not occur. In the event of a forfeiture, voluntary or involuntary, of shares of restricted common stock granted under the 2019 Equity Plan, such shares are automatically reallocated to the remaining Participants in proportion to the number of shares of restricted common stock covered by outstanding awards that each such Participant holds.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Inducement Equity Incentive Plan</w:t>
      </w:r>
    </w:p>
    <w:p>
      <w:pPr>
        <w:spacing w:after="0" w:line="12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27, 2022, the Compensation Committee of the Board (the “Compensation Committee”) adopted the Aterian, Inc. 2022 Inducement Equity Incentive Plan (the “Inducement Plan”). The Inducement Plan serves to advance the interests of the Company by providing a material inducement for the best available individuals to join the Company as employees by affording such individuals an opportunity to acquire a proprietary interest in the Company.</w:t>
      </w:r>
    </w:p>
    <w:p>
      <w:pPr>
        <w:spacing w:after="0" w:line="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2,700,000 shares of the Company’s common stock (subject to adjustment for recapitalizations, stock splits, reorganizations and similar transactions). The Inducement Plan is administered by the Compensation Committee and expires ten years from the date of effectiveness. As of December 31, 2022, 2,050,000 shares were reserved for future issuance under the Inducement Plan.</w:t>
      </w:r>
    </w:p>
    <w:p>
      <w:pPr>
        <w:spacing w:after="0" w:line="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options activity during the year-ended December 31, 2022:</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24"/>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6"/>
                <w:szCs w:val="16"/>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Balance—January 1,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522,905</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Options granted</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Options canceled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(154,309 )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368,596</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Exercisable as of December 31, 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368,596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December 31, 2022</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368,596</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-384810</wp:posOffset>
            </wp:positionV>
            <wp:extent cx="68580"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year-ended December 31, 2022, no options were granted. All Options have vested and have been fully expensed as of December 31,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within the Company’s equity plans and changes for the year-ended December 31, 2022, is as follows: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r>
      <w:tr>
        <w:trPr>
          <w:trHeight w:val="148"/>
        </w:trPr>
        <w:tc>
          <w:tcPr>
            <w:tcW w:w="15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80" w:type="dxa"/>
            <w:vAlign w:val="bottom"/>
          </w:tcPr>
          <w:p>
            <w:pPr>
              <w:spacing w:after="0"/>
              <w:rPr>
                <w:sz w:val="12"/>
                <w:szCs w:val="12"/>
                <w:color w:val="auto"/>
              </w:rPr>
            </w:pPr>
          </w:p>
        </w:tc>
      </w:tr>
      <w:tr>
        <w:trPr>
          <w:trHeight w:val="17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Restricted Stock Awards</w:t>
            </w: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4"/>
                <w:szCs w:val="14"/>
                <w:b w:val="1"/>
                <w:bCs w:val="1"/>
                <w:color w:val="auto"/>
                <w:w w:val="94"/>
              </w:rPr>
              <w:t>Date Fair Value</w:t>
            </w:r>
          </w:p>
        </w:tc>
        <w:tc>
          <w:tcPr>
            <w:tcW w:w="80" w:type="dxa"/>
            <w:vAlign w:val="bottom"/>
          </w:tcPr>
          <w:p>
            <w:pPr>
              <w:spacing w:after="0"/>
              <w:rPr>
                <w:sz w:val="14"/>
                <w:szCs w:val="14"/>
                <w:color w:val="auto"/>
              </w:rPr>
            </w:pPr>
          </w:p>
        </w:tc>
      </w:tr>
      <w:tr>
        <w:trPr>
          <w:trHeight w:val="27"/>
        </w:trPr>
        <w:tc>
          <w:tcPr>
            <w:tcW w:w="1520" w:type="dxa"/>
            <w:vAlign w:val="bottom"/>
            <w:shd w:val="clear" w:color="auto" w:fill="000000"/>
          </w:tcPr>
          <w:p>
            <w:pPr>
              <w:spacing w:after="0"/>
              <w:rPr>
                <w:sz w:val="2"/>
                <w:szCs w:val="2"/>
                <w:color w:val="auto"/>
              </w:rPr>
            </w:pPr>
          </w:p>
        </w:tc>
        <w:tc>
          <w:tcPr>
            <w:tcW w:w="36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Nonvested at January 1, 2022</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2,106,180</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CFF0FC"/>
          </w:tcPr>
          <w:p>
            <w:pPr>
              <w:spacing w:after="0"/>
              <w:rPr>
                <w:sz w:val="21"/>
                <w:szCs w:val="21"/>
                <w:color w:val="auto"/>
              </w:rPr>
            </w:pPr>
          </w:p>
        </w:tc>
      </w:tr>
      <w:tr>
        <w:trPr>
          <w:trHeight w:val="236"/>
        </w:trPr>
        <w:tc>
          <w:tcPr>
            <w:tcW w:w="51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4,428,662</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20"/>
                <w:szCs w:val="20"/>
                <w:color w:val="auto"/>
              </w:rPr>
            </w:pPr>
          </w:p>
        </w:tc>
      </w:tr>
      <w:tr>
        <w:trPr>
          <w:trHeight w:val="249"/>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(1,888,337 )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FF0FC"/>
          </w:tcPr>
          <w:p>
            <w:pPr>
              <w:spacing w:after="0"/>
              <w:rPr>
                <w:sz w:val="21"/>
                <w:szCs w:val="21"/>
                <w:color w:val="auto"/>
              </w:rPr>
            </w:pPr>
          </w:p>
        </w:tc>
      </w:tr>
      <w:tr>
        <w:trPr>
          <w:trHeight w:val="236"/>
        </w:trPr>
        <w:tc>
          <w:tcPr>
            <w:tcW w:w="51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(423,482 )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0"/>
                <w:szCs w:val="20"/>
                <w:color w:val="auto"/>
              </w:rPr>
            </w:pPr>
          </w:p>
        </w:tc>
      </w:tr>
      <w:tr>
        <w:trPr>
          <w:trHeight w:val="276"/>
        </w:trPr>
        <w:tc>
          <w:tcPr>
            <w:tcW w:w="5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December 31, 2022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4,223,023</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-24765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2022, the total unrecognized compensation expense related to unvested shares of restricted common stock was $17.7 million, which the Company expects to recognize over an estimated weighted-average period of 1.1 years.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jc w:val="both"/>
        <w:spacing w:after="0" w:line="299" w:lineRule="auto"/>
        <w:rPr>
          <w:sz w:val="20"/>
          <w:szCs w:val="20"/>
          <w:color w:val="auto"/>
        </w:rPr>
      </w:pPr>
      <w:r>
        <w:rPr>
          <w:rFonts w:ascii="Arial" w:cs="Arial" w:eastAsia="Arial" w:hAnsi="Arial"/>
          <w:sz w:val="17"/>
          <w:szCs w:val="17"/>
          <w:color w:val="auto"/>
        </w:rPr>
        <w:t>Stock-based compensation expense is allocated based on the cost center to which the award holder belongs. The following table summarizes the total stock-based compensation expense by function, including expense related to consultants for years-ended December 31, 2021 and 2022</w:t>
      </w:r>
      <w:r>
        <w:rPr>
          <w:rFonts w:ascii="Arial" w:cs="Arial" w:eastAsia="Arial" w:hAnsi="Arial"/>
          <w:sz w:val="20"/>
          <w:szCs w:val="20"/>
          <w:color w:val="222222"/>
        </w:rPr>
        <w: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w w:val="91"/>
              </w:rPr>
              <w:t>Years-Ended December 31,</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9"/>
        </w:trPr>
        <w:tc>
          <w:tcPr>
            <w:tcW w:w="7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169"/>
        </w:trPr>
        <w:tc>
          <w:tcPr>
            <w:tcW w:w="7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88"/>
              </w:rPr>
              <w:t>(in thousands,</w:t>
            </w:r>
          </w:p>
        </w:tc>
        <w:tc>
          <w:tcPr>
            <w:tcW w:w="460" w:type="dxa"/>
            <w:vAlign w:val="bottom"/>
          </w:tcPr>
          <w:p>
            <w:pPr>
              <w:ind w:left="40"/>
              <w:spacing w:after="0"/>
              <w:rPr>
                <w:sz w:val="20"/>
                <w:szCs w:val="20"/>
                <w:color w:val="auto"/>
              </w:rPr>
            </w:pPr>
            <w:r>
              <w:rPr>
                <w:rFonts w:ascii="Arial" w:cs="Arial" w:eastAsia="Arial" w:hAnsi="Arial"/>
                <w:sz w:val="14"/>
                <w:szCs w:val="14"/>
                <w:color w:val="auto"/>
                <w:w w:val="96"/>
              </w:rPr>
              <w:t>except</w:t>
            </w:r>
          </w:p>
        </w:tc>
        <w:tc>
          <w:tcPr>
            <w:tcW w:w="960" w:type="dxa"/>
            <w:vAlign w:val="bottom"/>
          </w:tcPr>
          <w:p>
            <w:pPr>
              <w:spacing w:after="0"/>
              <w:rPr>
                <w:sz w:val="20"/>
                <w:szCs w:val="20"/>
                <w:color w:val="auto"/>
              </w:rPr>
            </w:pPr>
            <w:r>
              <w:rPr>
                <w:rFonts w:ascii="Arial" w:cs="Arial" w:eastAsia="Arial" w:hAnsi="Arial"/>
                <w:sz w:val="14"/>
                <w:szCs w:val="14"/>
                <w:color w:val="auto"/>
              </w:rPr>
              <w:t>percentages)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distribution expenses</w:t>
            </w: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6,809</w:t>
            </w:r>
          </w:p>
        </w:tc>
        <w:tc>
          <w:tcPr>
            <w:tcW w:w="142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280" w:type="dxa"/>
            <w:vAlign w:val="bottom"/>
            <w:shd w:val="clear" w:color="auto" w:fill="CFF0FC"/>
          </w:tcPr>
          <w:p>
            <w:pPr>
              <w:spacing w:after="0"/>
              <w:rPr>
                <w:sz w:val="21"/>
                <w:szCs w:val="2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5,339</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1,871</w:t>
            </w:r>
          </w:p>
        </w:tc>
        <w:tc>
          <w:tcPr>
            <w:tcW w:w="280" w:type="dxa"/>
            <w:vAlign w:val="bottom"/>
          </w:tcPr>
          <w:p>
            <w:pPr>
              <w:spacing w:after="0"/>
              <w:rPr>
                <w:sz w:val="20"/>
                <w:szCs w:val="20"/>
                <w:color w:val="auto"/>
              </w:rPr>
            </w:pPr>
          </w:p>
        </w:tc>
      </w:tr>
      <w:tr>
        <w:trPr>
          <w:trHeight w:val="243"/>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16,839</w:t>
            </w:r>
          </w:p>
        </w:tc>
        <w:tc>
          <w:tcPr>
            <w:tcW w:w="4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7,709</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28,987</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14,594</w:t>
            </w:r>
          </w:p>
        </w:tc>
        <w:tc>
          <w:tcPr>
            <w:tcW w:w="280" w:type="dxa"/>
            <w:vAlign w:val="bottom"/>
          </w:tcPr>
          <w:p>
            <w:pPr>
              <w:spacing w:after="0"/>
              <w:rPr>
                <w:sz w:val="20"/>
                <w:szCs w:val="20"/>
                <w:color w:val="auto"/>
              </w:rPr>
            </w:pPr>
          </w:p>
        </w:tc>
      </w:tr>
      <w:tr>
        <w:trPr>
          <w:trHeight w:val="20"/>
        </w:trPr>
        <w:tc>
          <w:tcPr>
            <w:tcW w:w="7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-928370</wp:posOffset>
            </wp:positionV>
            <wp:extent cx="2628900" cy="278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28900" cy="278130"/>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-187960</wp:posOffset>
            </wp:positionV>
            <wp:extent cx="76835"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-187960</wp:posOffset>
            </wp:positionV>
            <wp:extent cx="6858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 AND CONTINGENCIES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Inventory Purchases</w:t>
      </w:r>
      <w:r>
        <w:rPr>
          <w:rFonts w:ascii="Arial" w:cs="Arial" w:eastAsia="Arial" w:hAnsi="Arial"/>
          <w:sz w:val="18"/>
          <w:szCs w:val="18"/>
          <w:color w:val="auto"/>
        </w:rPr>
        <w:t>—As of December 31, 2021 and 2022, the Company had $32.3 million and $13.5 million, respectively, of inventory purchase orders</w:t>
      </w:r>
      <w:r>
        <w:rPr>
          <w:rFonts w:ascii="Arial" w:cs="Arial" w:eastAsia="Arial" w:hAnsi="Arial"/>
          <w:sz w:val="18"/>
          <w:szCs w:val="18"/>
          <w:b w:val="1"/>
          <w:bCs w:val="1"/>
          <w:color w:val="auto"/>
        </w:rPr>
        <w:t xml:space="preserve"> </w:t>
      </w:r>
      <w:r>
        <w:rPr>
          <w:rFonts w:ascii="Arial" w:cs="Arial" w:eastAsia="Arial" w:hAnsi="Arial"/>
          <w:sz w:val="18"/>
          <w:szCs w:val="18"/>
          <w:color w:val="auto"/>
        </w:rPr>
        <w:t>placed with vendors waiting to be fulfilled.</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Sales or Other Similar Taxes</w:t>
      </w:r>
      <w:r>
        <w:rPr>
          <w:rFonts w:ascii="Arial" w:cs="Arial" w:eastAsia="Arial" w:hAnsi="Arial"/>
          <w:sz w:val="18"/>
          <w:szCs w:val="18"/>
          <w:color w:val="auto"/>
        </w:rPr>
        <w:t>—Based on the location of the Company’s current operations, the majority of sales tax is collected and remitted either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each of December 31, 2021 and December 31, 2022, the Company estimates that the potential liability, including current sales tax payable is approximately $0.7 million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Settlement Agreement</w:t>
      </w:r>
      <w:r>
        <w:rPr>
          <w:rFonts w:ascii="Arial" w:cs="Arial" w:eastAsia="Arial" w:hAnsi="Arial"/>
          <w:sz w:val="16"/>
          <w:szCs w:val="16"/>
          <w:color w:val="auto"/>
        </w:rPr>
        <w:t>—</w:t>
      </w:r>
      <w:r>
        <w:rPr>
          <w:rFonts w:ascii="Arial" w:cs="Arial" w:eastAsia="Arial" w:hAnsi="Arial"/>
          <w:sz w:val="17"/>
          <w:szCs w:val="17"/>
          <w:color w:val="auto"/>
        </w:rPr>
        <w:t>On May 2, 2021, the Company entered into a settlement agreement with one of the Company’s suppliers who agreed to pay the</w:t>
      </w:r>
      <w:r>
        <w:rPr>
          <w:rFonts w:ascii="Arial" w:cs="Arial" w:eastAsia="Arial" w:hAnsi="Arial"/>
          <w:sz w:val="16"/>
          <w:szCs w:val="16"/>
          <w:b w:val="1"/>
          <w:bCs w:val="1"/>
          <w:color w:val="auto"/>
        </w:rPr>
        <w:t xml:space="preserve"> </w:t>
      </w:r>
      <w:r>
        <w:rPr>
          <w:rFonts w:ascii="Arial" w:cs="Arial" w:eastAsia="Arial" w:hAnsi="Arial"/>
          <w:sz w:val="17"/>
          <w:szCs w:val="17"/>
          <w:color w:val="auto"/>
        </w:rPr>
        <w:t>amount of $3.0 million to the Company in three installments of $1.0 million each, with the first payment to be paid on or before May 31, 2021, the second payment to be paid on or before September 30, 2021, and the third payment to be paid on or before November 30, 2021. Further, the supplier agreed to deliver certain goods as part of this settlement by September 30, 2021. Through the date of the accompanying Consolidated Financial Statements, the supplier has not paid in full its required first payment of $1.0 million nor has it delivered the required quantity of goods. The Company fully reserved $4.1 million within prepaid and other current assets on its Consolidated Financial Statements during the year-ended December 31, 2021 and December 31, 2022. The Company has commenced legal action against the supplier and certain other parties to the matter. One of the parties to the matter has filed for bankruptcy and such legal action is being stayed until the resolution of such bankruptcy. The Company continues to reserve its legal options and rights on this matter as of December 31, 2022.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right="280"/>
        <w:spacing w:after="0" w:line="275" w:lineRule="auto"/>
        <w:rPr>
          <w:sz w:val="20"/>
          <w:szCs w:val="20"/>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w:t>
      </w:r>
      <w:r>
        <w:rPr>
          <w:rFonts w:ascii="Arial" w:cs="Arial" w:eastAsia="Arial" w:hAnsi="Arial"/>
          <w:sz w:val="17"/>
          <w:szCs w:val="17"/>
          <w:color w:val="auto"/>
        </w:rPr>
        <w:t>The Company is party to various actions and claims arising in the normal course of business. The Company does not believe that the</w:t>
      </w:r>
      <w:r>
        <w:rPr>
          <w:rFonts w:ascii="Arial" w:cs="Arial" w:eastAsia="Arial" w:hAnsi="Arial"/>
          <w:sz w:val="16"/>
          <w:szCs w:val="16"/>
          <w:b w:val="1"/>
          <w:bCs w:val="1"/>
          <w:color w:val="auto"/>
        </w:rPr>
        <w:t xml:space="preserve"> </w:t>
      </w:r>
      <w:r>
        <w:rPr>
          <w:rFonts w:ascii="Arial" w:cs="Arial" w:eastAsia="Arial" w:hAnsi="Arial"/>
          <w:sz w:val="17"/>
          <w:szCs w:val="17"/>
          <w:color w:val="auto"/>
        </w:rPr>
        <w:t>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color w:val="auto"/>
        </w:rPr>
        <w:t>Securities Class Action</w:t>
      </w:r>
      <w:r>
        <w:rPr>
          <w:rFonts w:ascii="Arial" w:cs="Arial" w:eastAsia="Arial" w:hAnsi="Arial"/>
          <w:sz w:val="16"/>
          <w:szCs w:val="16"/>
          <w:color w:val="auto"/>
        </w:rPr>
        <w:t>—</w:t>
      </w:r>
      <w:r>
        <w:rPr>
          <w:rFonts w:ascii="Arial" w:cs="Arial" w:eastAsia="Arial" w:hAnsi="Arial"/>
          <w:sz w:val="17"/>
          <w:szCs w:val="17"/>
          <w:color w:val="auto"/>
        </w:rPr>
        <w:t>Following a mediation, an initial settlement-in-principle, and further negotiations, on April 22, 2022, the Company, in conjunction</w:t>
      </w:r>
      <w:r>
        <w:rPr>
          <w:rFonts w:ascii="Arial" w:cs="Arial" w:eastAsia="Arial" w:hAnsi="Arial"/>
          <w:sz w:val="16"/>
          <w:szCs w:val="16"/>
          <w:b w:val="1"/>
          <w:bCs w:val="1"/>
          <w:color w:val="auto"/>
        </w:rPr>
        <w:t xml:space="preserve"> </w:t>
      </w:r>
      <w:r>
        <w:rPr>
          <w:rFonts w:ascii="Arial" w:cs="Arial" w:eastAsia="Arial" w:hAnsi="Arial"/>
          <w:sz w:val="17"/>
          <w:szCs w:val="17"/>
          <w:color w:val="auto"/>
        </w:rPr>
        <w:t>with its codefendants Yaniv Sarig, Fabrice Hamaide, and Arturo Rodriguez, entered into a formal settlement agreement to resolve the purported class action lawsuits filed in the U.S. District Court for the Southern District of New York (the “Court”) by Andrew Tate on May 13, 2021, and by Jeff Coon, on June 10, 2021, consolidated under the caption Tate v. Aterian, Inc., et. al., 21-cv-04323-VM (the “Action”).</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Action, plaintiffs claimed that defendants made false and materially misleading statements and failed to disclose material adverse facts regarding the Company’s business, operations, and prospects, and that this was revealed on May 4, 2021, in a report issued by Culper Research. The Company and its codefendants denied, and continue to deny, that these allegations have any merit. The settlement agreement contains no admission of wrongdoing and expressly states that the Company and its codefendants have entered into a settlement solely to avoid the uncertainties, burden, and expense of further litigation.</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settlement class consists of purchasers of the Company’s securities during the period from August 24, 2020, through May 3, 2021, inclusive (the “Class Period”). Under the terms of the proposed settlement, members of the settlement class release the Company and its codefendants from, among other things, all claims and causes of action of every nature and description, whether known or unknown, that were asserted in the Action; could have been asserted in the Action; relate in any way to transactions in the Company’s securities during the Class Period and any facts, transactions, or occurrences referred to in any of the pleadings or other documents filed in the Action. Under the agreement, the Company was to pay $1.3 million, within 10 business days of the Court’s preliminary approval of the settlement, which would, after final court approval, be distributed to claimants in the settlement class pursuant to the plan of allocation filed with the Court on May 4, 2022. To the extent permitted by the Court, this payment will also fund the legal fees of plaintiffs’ counsel and the costs of administering the settlement.</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proposed settlement was preliminarily approved by the Court on May 6, 2022, and the Company thereafter paid $1.3 million into the designated escrow. On September 12, 2022, the Court entered a final judgment approving the class action settlement. The claims administrator is in the process of distributing funds to claimants. The Company does not anticipate any further action in this matter. In connection with the settlement, the Company accrued approximately $1.3 million during the year ended December 31, 2021 and paid approximately $1.3 million in the second quarter of 2022.</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Shareholder Derivative Actions Related to the Securities Class Action—</w:t>
      </w:r>
      <w:r>
        <w:rPr>
          <w:rFonts w:ascii="Arial" w:cs="Arial" w:eastAsia="Arial" w:hAnsi="Arial"/>
          <w:sz w:val="17"/>
          <w:szCs w:val="17"/>
          <w:color w:val="auto"/>
        </w:rPr>
        <w:t>On October 21, October 25 and November 10, 2021, three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actions were filed on behalf of the Company by Shaoxuan Zhang, Michael Sheller and Tyler Magnus in the U.S. District Court for the Southern District of New York. These actions, collectively, name Yaniv Sarig, Fabrice Hamaide, Arturo Rodriguez, Greg B. Petersen, Bari A. Harlam, Amy von Walter, William Kurtz, Roi Zion Zahut, Joseph A. Risico, Tomer Pascal and Mihal Chaouat-Fix as individual defendants, and the Company as a nominal defendant. These actions are predicated on substantively the same factual allegations contained in the above-described securities class action which was resolved via settlement in September 2022 The Company believes the allegations are without merit and continues to deny each of the claims and allegations of wrongdoing. On December 12, 2022, the parties reached an agreement and entered into a Stipulation and Agreement of Settlement (the “Stipulation”) to resolve this derivative action. Under the Stipulation, the Company agreed to adopt certain corporate governance reforms, the terms of which are outlined in Exhibit A to the Stipulation, and a payment of the Plaintiffs’ attorneys’ fees and expenses of $0.3 million The proposed settlement was preliminarily approved by the Court on December 29, 2022, the Company made the agreed $0.3 million payment, and a hearing to determine whether the Court should give final approval to the settlement is scheduled for March 2023.</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Investor Contract Action</w:t>
      </w:r>
      <w:r>
        <w:rPr>
          <w:rFonts w:ascii="Arial" w:cs="Arial" w:eastAsia="Arial" w:hAnsi="Arial"/>
          <w:sz w:val="16"/>
          <w:szCs w:val="16"/>
          <w:b w:val="1"/>
          <w:bCs w:val="1"/>
          <w:color w:val="222222"/>
        </w:rPr>
        <w:t>—</w:t>
      </w:r>
      <w:r>
        <w:rPr>
          <w:rFonts w:ascii="Arial" w:cs="Arial" w:eastAsia="Arial" w:hAnsi="Arial"/>
          <w:sz w:val="17"/>
          <w:szCs w:val="17"/>
          <w:color w:val="auto"/>
        </w:rPr>
        <w:t>On September 20, 2021, Sabby Volatility Warrant Master Fund Ltd. (the “Investor”) sued the Company in the Supreme Court of</w:t>
      </w:r>
      <w:r>
        <w:rPr>
          <w:rFonts w:ascii="Arial" w:cs="Arial" w:eastAsia="Arial" w:hAnsi="Arial"/>
          <w:sz w:val="16"/>
          <w:szCs w:val="16"/>
          <w:b w:val="1"/>
          <w:bCs w:val="1"/>
          <w:color w:val="auto"/>
        </w:rPr>
        <w:t xml:space="preserve"> </w:t>
      </w:r>
      <w:r>
        <w:rPr>
          <w:rFonts w:ascii="Arial" w:cs="Arial" w:eastAsia="Arial" w:hAnsi="Arial"/>
          <w:sz w:val="17"/>
          <w:szCs w:val="17"/>
          <w:color w:val="auto"/>
        </w:rPr>
        <w:t>the State of New York, New York County, alleging that the Company breached the Securities Purchase Agreement, dated June 10, 2021 (the “Purchase Agreement”), pursuant to which the Investor purchased 400,000 shares of the Company’s common stock, for an aggregate price of approximately $6.0 million. The Investor contended that certain of the representations and warranties made by the Company in the Purchase Agreement concerning its financial condition and the accuracy of its prior disclosures were untrue and that the Company breached the Purchase Agreement’s anti-dilution and use-of-proceeds covenants on both August 9, 2021 and September 23, 2021, when the Company resolved certain defaults with High Trail. The parties reached a settlement agreement for $1.6 million. In this action, the Company denied, and it continues to deny, the Investor’s allegations, and the settlement agreement contains no admission of wrongdoing; the Company nevertheless determined that a resolution was warranted to minimize the costs and risks of ongoing litigation. The Company recorded a $1.6 million expense in general and administrative expenses on the Consolidated Statement of Operations for the year-ended December 31, 2022.</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8" w:name="page69"/>
    <w:bookmarkEnd w:id="68"/>
    <w:p>
      <w:pPr>
        <w:jc w:val="both"/>
        <w:spacing w:after="0" w:line="275" w:lineRule="auto"/>
        <w:rPr>
          <w:sz w:val="20"/>
          <w:szCs w:val="20"/>
          <w:color w:val="auto"/>
        </w:rPr>
      </w:pPr>
      <w:r>
        <w:rPr>
          <w:rFonts w:ascii="Arial" w:cs="Arial" w:eastAsia="Arial" w:hAnsi="Arial"/>
          <w:sz w:val="16"/>
          <w:szCs w:val="16"/>
          <w:b w:val="1"/>
          <w:bCs w:val="1"/>
          <w:color w:val="auto"/>
        </w:rPr>
        <w:t>Mueller Action</w:t>
      </w:r>
      <w:r>
        <w:rPr>
          <w:rFonts w:ascii="Arial" w:cs="Arial" w:eastAsia="Arial" w:hAnsi="Arial"/>
          <w:sz w:val="16"/>
          <w:szCs w:val="16"/>
          <w:color w:val="222222"/>
        </w:rPr>
        <w:t>—</w:t>
      </w:r>
      <w:r>
        <w:rPr>
          <w:rFonts w:ascii="Arial" w:cs="Arial" w:eastAsia="Arial" w:hAnsi="Arial"/>
          <w:sz w:val="17"/>
          <w:szCs w:val="17"/>
          <w:color w:val="auto"/>
        </w:rPr>
        <w:t>In October 2021, the Company received a class action notification and pre-lawsuit demand letter demanding corrective action with respect</w:t>
      </w:r>
      <w:r>
        <w:rPr>
          <w:rFonts w:ascii="Arial" w:cs="Arial" w:eastAsia="Arial" w:hAnsi="Arial"/>
          <w:sz w:val="16"/>
          <w:szCs w:val="16"/>
          <w:b w:val="1"/>
          <w:bCs w:val="1"/>
          <w:color w:val="auto"/>
        </w:rPr>
        <w:t xml:space="preserve"> </w:t>
      </w:r>
      <w:r>
        <w:rPr>
          <w:rFonts w:ascii="Arial" w:cs="Arial" w:eastAsia="Arial" w:hAnsi="Arial"/>
          <w:sz w:val="17"/>
          <w:szCs w:val="17"/>
          <w:color w:val="auto"/>
        </w:rPr>
        <w:t>to the marketing, advertising and labeling of certain products under the Mueller brand (the “Mueller Action”). In April 2022, the parties reached an agreement in principle to resolve this potential action for $0.5 million in cash and $0.3 million worth of coupons, which the Company accrued $0.8 million in the three months ended March 31, 2022, subject to negotiation and the execution of final settlement documents and court approval. If that process does not succeed, the Company is prepared to continue the full defense of this action.</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5"/>
          <w:szCs w:val="15"/>
          <w:b w:val="1"/>
          <w:bCs w:val="1"/>
          <w:color w:val="auto"/>
        </w:rPr>
        <w:t>Sentia Wellness Action</w:t>
      </w:r>
      <w:r>
        <w:rPr>
          <w:rFonts w:ascii="Arial" w:cs="Arial" w:eastAsia="Arial" w:hAnsi="Arial"/>
          <w:sz w:val="15"/>
          <w:szCs w:val="15"/>
          <w:color w:val="222222"/>
        </w:rPr>
        <w:t>—</w:t>
      </w:r>
      <w:r>
        <w:rPr>
          <w:rFonts w:ascii="Arial" w:cs="Arial" w:eastAsia="Arial" w:hAnsi="Arial"/>
          <w:sz w:val="16"/>
          <w:szCs w:val="16"/>
          <w:color w:val="auto"/>
        </w:rPr>
        <w:t>On June 7, 2022, Sentia Wellness Inc. (“Sentia”) filed an action in Multnomah County, Oregon against Boris Jordan; Measure 8</w:t>
      </w:r>
      <w:r>
        <w:rPr>
          <w:rFonts w:ascii="Arial" w:cs="Arial" w:eastAsia="Arial" w:hAnsi="Arial"/>
          <w:sz w:val="15"/>
          <w:szCs w:val="15"/>
          <w:b w:val="1"/>
          <w:bCs w:val="1"/>
          <w:color w:val="auto"/>
        </w:rPr>
        <w:t xml:space="preserve"> </w:t>
      </w:r>
      <w:r>
        <w:rPr>
          <w:rFonts w:ascii="Arial" w:cs="Arial" w:eastAsia="Arial" w:hAnsi="Arial"/>
          <w:sz w:val="16"/>
          <w:szCs w:val="16"/>
          <w:color w:val="auto"/>
        </w:rPr>
        <w:t>Ventures, LP; Gron Ventures Fund I, LP; Zola Global Investors Ltd.; Anson Advisors Inc.; AC Anson Investments Ltd.; Anson Investments Master Fund LP; Anson Opportunities Master Fund LP; Serendipity SPC -Trimble Fund SP; Lapid Us Investments LLC; Hadron Healthcare and Consumer Special Opportunities Master Fund; Alliance Global Partners LLC; Sunny Puri; Juan Martinez; Peter Clateman; Wilder Ramsey; Gregory Crowe; Igor Gimelshtein; Tarik Ouass; Andrea Oriani; Marco D’attanseo; Afzal Hasan; and the Company. Sentia asserts claims for breach of fiduciary duty, breach of duty of good faith and fair dealing, intentional interference with prospective economic relations, intentional interference with contractual relationship, negligent misrepresentation, and unjust enrichment against various of these defendants, based on the allegation that Sentia’s debt holders conspired to take control of Sentia and direct its resources and acquisition efforts to the debt holders’ individual financial interests. Sentia alleges that Aterian—then known as Mohawk —contemplated a partial acquisition of Sentia that played some role in these events. The Company filed a motion to dismiss the action and, in response, on December 8, 2022, counsel for Sentia agreed to dismiss the Company from the action (without prejudice).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Earn-out Payment Dispute</w:t>
      </w:r>
      <w:r>
        <w:rPr>
          <w:rFonts w:ascii="Arial" w:cs="Arial" w:eastAsia="Arial" w:hAnsi="Arial"/>
          <w:sz w:val="16"/>
          <w:szCs w:val="16"/>
          <w:color w:val="222222"/>
        </w:rPr>
        <w:t>—</w:t>
      </w:r>
      <w:r>
        <w:rPr>
          <w:rFonts w:ascii="Arial" w:cs="Arial" w:eastAsia="Arial" w:hAnsi="Arial"/>
          <w:sz w:val="17"/>
          <w:szCs w:val="17"/>
          <w:color w:val="auto"/>
        </w:rPr>
        <w:t>On February 24, 2022, the Company received a notice disputing the Company’s calculation of the earn-out payment to be paid</w:t>
      </w:r>
      <w:r>
        <w:rPr>
          <w:rFonts w:ascii="Arial" w:cs="Arial" w:eastAsia="Arial" w:hAnsi="Arial"/>
          <w:sz w:val="16"/>
          <w:szCs w:val="16"/>
          <w:b w:val="1"/>
          <w:bCs w:val="1"/>
          <w:color w:val="auto"/>
        </w:rPr>
        <w:t xml:space="preserve"> </w:t>
      </w:r>
      <w:r>
        <w:rPr>
          <w:rFonts w:ascii="Arial" w:cs="Arial" w:eastAsia="Arial" w:hAnsi="Arial"/>
          <w:sz w:val="17"/>
          <w:szCs w:val="17"/>
          <w:color w:val="auto"/>
        </w:rPr>
        <w:t>to Josef Eitan and Ran Nir pursuant to the Stock Purchase Agreement (the “PPD Stock Purchase Agreement”), dated as of May 5, 2021, by and among the Company, Truweo, LLC, Photo Paper Direct Ltd, Josef Eitan and Ran Nir. The Company is in discussions with representatives of Mr. Eitan and Mr. Nir, who believe they are entitled to the full earn-out under the terms of the PPD Stock Purchase Agreement, whereas the Company believes they are not. Mr. Eitan and Mr. Nir filed a motion to compel arbitration in the Southern District of New York on September 14, 2022. The Company filed its motion to oppose such motion on October 28, 2022, believes its calculations are accurate and intends to vigorously defend itself.</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provision for income taxes consisted of the following for the periods indicated (in thousands):</w:t>
      </w:r>
    </w:p>
    <w:p>
      <w:pPr>
        <w:spacing w:after="0" w:line="1"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(233,846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(196,166</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558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0"/>
                <w:szCs w:val="20"/>
                <w:color w:val="auto"/>
              </w:rPr>
            </w:pP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(1,646 )</w:t>
            </w: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(502 )</w:t>
            </w:r>
          </w:p>
        </w:tc>
      </w:tr>
      <w:tr>
        <w:trPr>
          <w:trHeight w:val="276"/>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(235,492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(196,668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-24765</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-24765</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-7620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income tax provision were as follows for the periods indicated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Pr>
          <w:p>
            <w:pPr>
              <w:spacing w:after="0"/>
              <w:rPr>
                <w:sz w:val="14"/>
                <w:szCs w:val="14"/>
                <w:color w:val="auto"/>
              </w:rPr>
            </w:pPr>
          </w:p>
        </w:tc>
        <w:tc>
          <w:tcPr>
            <w:tcW w:w="120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w w:val="96"/>
              </w:rPr>
              <w:t>December 31,</w:t>
            </w:r>
          </w:p>
        </w:tc>
        <w:tc>
          <w:tcPr>
            <w:tcW w:w="1120" w:type="dxa"/>
            <w:vAlign w:val="bottom"/>
          </w:tcPr>
          <w:p>
            <w:pPr>
              <w:spacing w:after="0"/>
              <w:rPr>
                <w:sz w:val="14"/>
                <w:szCs w:val="14"/>
                <w:color w:val="auto"/>
              </w:rPr>
            </w:pPr>
          </w:p>
        </w:tc>
      </w:tr>
      <w:tr>
        <w:trPr>
          <w:trHeight w:val="185"/>
        </w:trPr>
        <w:tc>
          <w:tcPr>
            <w:tcW w:w="11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Federal</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2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Foreign</w:t>
            </w:r>
          </w:p>
        </w:tc>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income tax expense</w:t>
            </w:r>
          </w:p>
        </w:tc>
        <w:tc>
          <w:tcPr>
            <w:tcW w:w="2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478"/>
        </w:trPr>
        <w:tc>
          <w:tcPr>
            <w:tcW w:w="1140" w:type="dxa"/>
            <w:vAlign w:val="bottom"/>
          </w:tcPr>
          <w:p>
            <w:pPr>
              <w:spacing w:after="0"/>
              <w:rPr>
                <w:sz w:val="24"/>
                <w:szCs w:val="24"/>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Deferred:</w:t>
            </w: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9"/>
        </w:trPr>
        <w:tc>
          <w:tcPr>
            <w:tcW w:w="1140" w:type="dxa"/>
            <w:vAlign w:val="bottom"/>
          </w:tcPr>
          <w:p>
            <w:pPr>
              <w:spacing w:after="0"/>
              <w:rPr>
                <w:sz w:val="21"/>
                <w:szCs w:val="21"/>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2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(270 )</w:t>
            </w: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State</w:t>
            </w: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(90 )</w:t>
            </w: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(241 )</w:t>
            </w: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deferred income tax expense (benefit)</w:t>
            </w: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xml:space="preserve">(546 </w:t>
            </w:r>
            <w:r>
              <w:rPr>
                <w:rFonts w:ascii="Arial" w:cs="Arial" w:eastAsia="Arial" w:hAnsi="Arial"/>
                <w:sz w:val="18"/>
                <w:szCs w:val="18"/>
                <w:color w:val="auto"/>
                <w:highlight w:val="white"/>
              </w:rPr>
              <w:t>)</w:t>
            </w: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37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income tax provision (benefit)</w:t>
            </w:r>
          </w:p>
        </w:tc>
        <w:tc>
          <w:tcPr>
            <w:tcW w:w="23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24"/>
                <w:szCs w:val="24"/>
                <w:color w:val="auto"/>
              </w:rPr>
            </w:pPr>
          </w:p>
        </w:tc>
      </w:tr>
      <w:tr>
        <w:trPr>
          <w:trHeight w:val="634"/>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540" w:type="dxa"/>
            <w:vAlign w:val="bottom"/>
            <w:gridSpan w:val="2"/>
          </w:tcPr>
          <w:p>
            <w:pPr>
              <w:jc w:val="right"/>
              <w:ind w:right="1510"/>
              <w:spacing w:after="0"/>
              <w:rPr>
                <w:sz w:val="20"/>
                <w:szCs w:val="20"/>
                <w:color w:val="auto"/>
              </w:rPr>
            </w:pPr>
            <w:r>
              <w:rPr>
                <w:rFonts w:ascii="Arial" w:cs="Arial" w:eastAsia="Arial" w:hAnsi="Arial"/>
                <w:sz w:val="18"/>
                <w:szCs w:val="18"/>
                <w:color w:val="auto"/>
              </w:rPr>
              <w:t>F-29</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-1626235</wp:posOffset>
            </wp:positionV>
            <wp:extent cx="59690" cy="316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31686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-1626235</wp:posOffset>
            </wp:positionV>
            <wp:extent cx="51435" cy="316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-847090</wp:posOffset>
            </wp:positionV>
            <wp:extent cx="5969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-521970</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-504825</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-521970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ind w:right="120"/>
        <w:spacing w:after="0" w:line="277" w:lineRule="auto"/>
        <w:rPr>
          <w:sz w:val="20"/>
          <w:szCs w:val="20"/>
          <w:color w:val="auto"/>
        </w:rPr>
      </w:pPr>
      <w:r>
        <w:rPr>
          <w:rFonts w:ascii="Arial" w:cs="Arial" w:eastAsia="Arial" w:hAnsi="Arial"/>
          <w:sz w:val="18"/>
          <w:szCs w:val="18"/>
          <w:color w:val="auto"/>
        </w:rPr>
        <w:t>The reconciliation of the Federal statutory income tax provision to the Company’s effective income tax provision is as follows for the periods indicated (in thousands):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4"/>
              </w:rPr>
              <w:t>December 31,</w:t>
            </w:r>
          </w:p>
        </w:tc>
        <w:tc>
          <w:tcPr>
            <w:tcW w:w="240" w:type="dxa"/>
            <w:vAlign w:val="bottom"/>
          </w:tcPr>
          <w:p>
            <w:pPr>
              <w:spacing w:after="0"/>
              <w:rPr>
                <w:sz w:val="14"/>
                <w:szCs w:val="14"/>
                <w:color w:val="auto"/>
              </w:rPr>
            </w:pPr>
          </w:p>
        </w:tc>
        <w:tc>
          <w:tcPr>
            <w:tcW w:w="14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benefit at statutory rates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(41,300</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574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Debt extinguishment</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(481 )</w:t>
            </w:r>
          </w:p>
        </w:tc>
      </w:tr>
      <w:tr>
        <w:trPr>
          <w:trHeight w:val="236"/>
        </w:trPr>
        <w:tc>
          <w:tcPr>
            <w:tcW w:w="574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11,066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4,455</w:t>
            </w:r>
          </w:p>
        </w:tc>
        <w:tc>
          <w:tcPr>
            <w:tcW w:w="80" w:type="dxa"/>
            <w:vAlign w:val="bottom"/>
          </w:tcPr>
          <w:p>
            <w:pPr>
              <w:spacing w:after="0"/>
              <w:rPr>
                <w:sz w:val="20"/>
                <w:szCs w:val="20"/>
                <w:color w:val="auto"/>
              </w:rPr>
            </w:pPr>
          </w:p>
        </w:tc>
      </w:tr>
      <w:tr>
        <w:trPr>
          <w:trHeight w:val="24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80" w:type="dxa"/>
            <w:vAlign w:val="bottom"/>
            <w:shd w:val="clear" w:color="auto" w:fill="CFF0FC"/>
          </w:tcPr>
          <w:p>
            <w:pPr>
              <w:spacing w:after="0"/>
              <w:rPr>
                <w:sz w:val="21"/>
                <w:szCs w:val="21"/>
                <w:color w:val="auto"/>
              </w:rPr>
            </w:pPr>
          </w:p>
        </w:tc>
      </w:tr>
      <w:tr>
        <w:trPr>
          <w:trHeight w:val="236"/>
        </w:trPr>
        <w:tc>
          <w:tcPr>
            <w:tcW w:w="5740" w:type="dxa"/>
            <w:vAlign w:val="bottom"/>
            <w:gridSpan w:val="2"/>
          </w:tcPr>
          <w:p>
            <w:pPr>
              <w:spacing w:after="0"/>
              <w:rPr>
                <w:sz w:val="20"/>
                <w:szCs w:val="20"/>
                <w:color w:val="auto"/>
              </w:rPr>
            </w:pPr>
            <w:r>
              <w:rPr>
                <w:rFonts w:ascii="Arial" w:cs="Arial" w:eastAsia="Arial" w:hAnsi="Arial"/>
                <w:sz w:val="18"/>
                <w:szCs w:val="18"/>
                <w:color w:val="auto"/>
              </w:rPr>
              <w:t>Change in FV contingent consideration</w:t>
            </w:r>
          </w:p>
        </w:tc>
        <w:tc>
          <w:tcPr>
            <w:tcW w:w="14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(3,143 )</w:t>
            </w:r>
          </w:p>
        </w:tc>
        <w:tc>
          <w:tcPr>
            <w:tcW w:w="240" w:type="dxa"/>
            <w:vAlign w:val="bottom"/>
          </w:tcPr>
          <w:p>
            <w:pPr>
              <w:spacing w:after="0"/>
              <w:rPr>
                <w:sz w:val="20"/>
                <w:szCs w:val="20"/>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permanent differences</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1"/>
                <w:szCs w:val="21"/>
                <w:color w:val="auto"/>
              </w:rPr>
            </w:pPr>
          </w:p>
        </w:tc>
      </w:tr>
      <w:tr>
        <w:trPr>
          <w:trHeight w:val="236"/>
        </w:trPr>
        <w:tc>
          <w:tcPr>
            <w:tcW w:w="5740" w:type="dxa"/>
            <w:vAlign w:val="bottom"/>
            <w:gridSpan w:val="2"/>
          </w:tcPr>
          <w:p>
            <w:pPr>
              <w:spacing w:after="0"/>
              <w:rPr>
                <w:sz w:val="20"/>
                <w:szCs w:val="20"/>
                <w:color w:val="auto"/>
              </w:rPr>
            </w:pPr>
            <w:r>
              <w:rPr>
                <w:rFonts w:ascii="Arial" w:cs="Arial" w:eastAsia="Arial" w:hAnsi="Arial"/>
                <w:sz w:val="18"/>
                <w:szCs w:val="18"/>
                <w:color w:val="auto"/>
              </w:rPr>
              <w:t>Foreign rate differential</w:t>
            </w:r>
          </w:p>
        </w:tc>
        <w:tc>
          <w:tcPr>
            <w:tcW w:w="14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(44 )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r>
      <w:tr>
        <w:trPr>
          <w:trHeight w:val="24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 income taxes, net of federal tax benefit</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(6,424 )</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(5,644 )</w:t>
            </w:r>
          </w:p>
        </w:tc>
      </w:tr>
      <w:tr>
        <w:trPr>
          <w:trHeight w:val="236"/>
        </w:trPr>
        <w:tc>
          <w:tcPr>
            <w:tcW w:w="5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(389 )</w:t>
            </w:r>
          </w:p>
        </w:tc>
      </w:tr>
      <w:tr>
        <w:trPr>
          <w:trHeight w:val="24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Prior year true-up adjustments</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(5,577 )</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(352 )</w:t>
            </w:r>
          </w:p>
        </w:tc>
      </w:tr>
      <w:tr>
        <w:trPr>
          <w:trHeight w:val="236"/>
        </w:trPr>
        <w:tc>
          <w:tcPr>
            <w:tcW w:w="574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38,908</w:t>
            </w:r>
          </w:p>
        </w:tc>
        <w:tc>
          <w:tcPr>
            <w:tcW w:w="80" w:type="dxa"/>
            <w:vAlign w:val="bottom"/>
          </w:tcPr>
          <w:p>
            <w:pPr>
              <w:spacing w:after="0"/>
              <w:rPr>
                <w:sz w:val="20"/>
                <w:szCs w:val="20"/>
                <w:color w:val="auto"/>
              </w:rPr>
            </w:pPr>
          </w:p>
        </w:tc>
      </w:tr>
      <w:tr>
        <w:trPr>
          <w:trHeight w:val="276"/>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expense (benefit)</w:t>
            </w:r>
          </w:p>
        </w:tc>
        <w:tc>
          <w:tcPr>
            <w:tcW w:w="14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(376</w:t>
            </w:r>
          </w:p>
        </w:tc>
        <w:tc>
          <w:tcPr>
            <w:tcW w:w="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-24765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tax rate was 0.08% and (0.19)% for the years-ended December 31, 2021 and December 31, 2022, respectively. The effective tax rate in 2021 was principally due to minimum state taxes accrued against the Company's pre-tax operating loss in the fiscal period. The effective tax rate for 2022 was principally due to tax expense incurred on the operation of acquired goodwill that is deductible for tax purposes and which was fully impaired for book purposes during the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and liabilities as of the dates indicated were as follows (in thousands):</w:t>
      </w:r>
    </w:p>
    <w:p>
      <w:pPr>
        <w:spacing w:after="0" w:line="244"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Pr>
          <w:p>
            <w:pPr>
              <w:spacing w:after="0"/>
              <w:rPr>
                <w:sz w:val="14"/>
                <w:szCs w:val="14"/>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5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920" w:type="dxa"/>
            <w:vAlign w:val="bottom"/>
          </w:tcPr>
          <w:p>
            <w:pPr>
              <w:ind w:left="120"/>
              <w:spacing w:after="0"/>
              <w:rPr>
                <w:sz w:val="20"/>
                <w:szCs w:val="20"/>
                <w:color w:val="auto"/>
              </w:rPr>
            </w:pPr>
            <w:r>
              <w:rPr>
                <w:rFonts w:ascii="Arial" w:cs="Arial" w:eastAsia="Arial" w:hAnsi="Arial"/>
                <w:sz w:val="18"/>
                <w:szCs w:val="18"/>
                <w:color w:val="auto"/>
              </w:rPr>
              <w:t>Sales returns reserve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5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51,889</w:t>
            </w:r>
          </w:p>
        </w:tc>
        <w:tc>
          <w:tcPr>
            <w:tcW w:w="80" w:type="dxa"/>
            <w:vAlign w:val="bottom"/>
            <w:shd w:val="clear" w:color="auto" w:fill="CFF0FC"/>
          </w:tcPr>
          <w:p>
            <w:pPr>
              <w:spacing w:after="0"/>
              <w:rPr>
                <w:sz w:val="21"/>
                <w:szCs w:val="21"/>
                <w:color w:val="auto"/>
              </w:rPr>
            </w:pPr>
          </w:p>
        </w:tc>
      </w:tr>
      <w:tr>
        <w:trPr>
          <w:trHeight w:val="236"/>
        </w:trPr>
        <w:tc>
          <w:tcPr>
            <w:tcW w:w="592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1,712</w:t>
            </w:r>
          </w:p>
        </w:tc>
        <w:tc>
          <w:tcPr>
            <w:tcW w:w="80" w:type="dxa"/>
            <w:vAlign w:val="bottom"/>
          </w:tcPr>
          <w:p>
            <w:pPr>
              <w:spacing w:after="0"/>
              <w:rPr>
                <w:sz w:val="20"/>
                <w:szCs w:val="20"/>
                <w:color w:val="auto"/>
              </w:rPr>
            </w:pPr>
          </w:p>
        </w:tc>
      </w:tr>
      <w:tr>
        <w:trPr>
          <w:trHeight w:val="249"/>
        </w:trPr>
        <w:tc>
          <w:tcPr>
            <w:tcW w:w="5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5920" w:type="dxa"/>
            <w:vAlign w:val="bottom"/>
          </w:tcPr>
          <w:p>
            <w:pPr>
              <w:ind w:left="120"/>
              <w:spacing w:after="0"/>
              <w:rPr>
                <w:sz w:val="20"/>
                <w:szCs w:val="20"/>
                <w:color w:val="auto"/>
              </w:rPr>
            </w:pPr>
            <w:r>
              <w:rPr>
                <w:rFonts w:ascii="Arial" w:cs="Arial" w:eastAsia="Arial" w:hAnsi="Arial"/>
                <w:sz w:val="18"/>
                <w:szCs w:val="18"/>
                <w:color w:val="auto"/>
              </w:rPr>
              <w:t>Interest expense limitation</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10,151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10,959</w:t>
            </w:r>
          </w:p>
        </w:tc>
        <w:tc>
          <w:tcPr>
            <w:tcW w:w="80" w:type="dxa"/>
            <w:vAlign w:val="bottom"/>
          </w:tcPr>
          <w:p>
            <w:pPr>
              <w:spacing w:after="0"/>
              <w:rPr>
                <w:sz w:val="20"/>
                <w:szCs w:val="20"/>
                <w:color w:val="auto"/>
              </w:rPr>
            </w:pPr>
          </w:p>
        </w:tc>
      </w:tr>
      <w:tr>
        <w:trPr>
          <w:trHeight w:val="249"/>
        </w:trPr>
        <w:tc>
          <w:tcPr>
            <w:tcW w:w="5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Intangibles (definite life)</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21"/>
                <w:szCs w:val="21"/>
                <w:color w:val="auto"/>
              </w:rPr>
            </w:pPr>
          </w:p>
        </w:tc>
      </w:tr>
      <w:tr>
        <w:trPr>
          <w:trHeight w:val="236"/>
        </w:trPr>
        <w:tc>
          <w:tcPr>
            <w:tcW w:w="5920" w:type="dxa"/>
            <w:vAlign w:val="bottom"/>
          </w:tcPr>
          <w:p>
            <w:pPr>
              <w:ind w:left="120"/>
              <w:spacing w:after="0"/>
              <w:rPr>
                <w:sz w:val="20"/>
                <w:szCs w:val="20"/>
                <w:color w:val="auto"/>
              </w:rPr>
            </w:pPr>
            <w:r>
              <w:rPr>
                <w:rFonts w:ascii="Arial" w:cs="Arial" w:eastAsia="Arial" w:hAnsi="Arial"/>
                <w:sz w:val="18"/>
                <w:szCs w:val="18"/>
                <w:color w:val="auto"/>
              </w:rPr>
              <w:t>Intangibles (indefinite life)</w:t>
            </w:r>
          </w:p>
        </w:tc>
        <w:tc>
          <w:tcPr>
            <w:tcW w:w="140" w:type="dxa"/>
            <w:vAlign w:val="bottom"/>
          </w:tcPr>
          <w:p>
            <w:pPr>
              <w:spacing w:after="0"/>
              <w:rPr>
                <w:sz w:val="20"/>
                <w:szCs w:val="20"/>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21,386</w:t>
            </w:r>
          </w:p>
        </w:tc>
        <w:tc>
          <w:tcPr>
            <w:tcW w:w="80" w:type="dxa"/>
            <w:vAlign w:val="bottom"/>
          </w:tcPr>
          <w:p>
            <w:pPr>
              <w:spacing w:after="0"/>
              <w:rPr>
                <w:sz w:val="20"/>
                <w:szCs w:val="20"/>
                <w:color w:val="auto"/>
              </w:rPr>
            </w:pPr>
          </w:p>
        </w:tc>
      </w:tr>
      <w:tr>
        <w:trPr>
          <w:trHeight w:val="243"/>
        </w:trPr>
        <w:tc>
          <w:tcPr>
            <w:tcW w:w="59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920" w:type="dxa"/>
            <w:vAlign w:val="bottom"/>
          </w:tcPr>
          <w:p>
            <w:pPr>
              <w:ind w:left="120"/>
              <w:spacing w:after="0"/>
              <w:rPr>
                <w:sz w:val="20"/>
                <w:szCs w:val="20"/>
                <w:color w:val="auto"/>
              </w:rPr>
            </w:pPr>
            <w:r>
              <w:rPr>
                <w:rFonts w:ascii="Arial" w:cs="Arial" w:eastAsia="Arial" w:hAnsi="Arial"/>
                <w:sz w:val="18"/>
                <w:szCs w:val="18"/>
                <w:color w:val="auto"/>
              </w:rPr>
              <w:t>Total deferred tax assets before valuation allowance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52,502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88,099</w:t>
            </w:r>
          </w:p>
        </w:tc>
        <w:tc>
          <w:tcPr>
            <w:tcW w:w="80" w:type="dxa"/>
            <w:vAlign w:val="bottom"/>
          </w:tcPr>
          <w:p>
            <w:pPr>
              <w:spacing w:after="0"/>
              <w:rPr>
                <w:sz w:val="20"/>
                <w:szCs w:val="20"/>
                <w:color w:val="auto"/>
              </w:rPr>
            </w:pPr>
          </w:p>
        </w:tc>
      </w:tr>
      <w:tr>
        <w:trPr>
          <w:trHeight w:val="243"/>
        </w:trPr>
        <w:tc>
          <w:tcPr>
            <w:tcW w:w="5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(47,316 )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(86,224 )</w:t>
            </w:r>
          </w:p>
        </w:tc>
      </w:tr>
      <w:tr>
        <w:trPr>
          <w:trHeight w:val="236"/>
        </w:trPr>
        <w:tc>
          <w:tcPr>
            <w:tcW w:w="59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80" w:type="dxa"/>
            <w:vAlign w:val="bottom"/>
            <w:tcBorders>
              <w:top w:val="single" w:sz="8" w:color="CFF0FC"/>
            </w:tcBorders>
          </w:tcPr>
          <w:p>
            <w:pPr>
              <w:spacing w:after="0"/>
              <w:rPr>
                <w:sz w:val="20"/>
                <w:szCs w:val="20"/>
                <w:color w:val="auto"/>
              </w:rPr>
            </w:pPr>
          </w:p>
        </w:tc>
      </w:tr>
      <w:tr>
        <w:trPr>
          <w:trHeight w:val="242"/>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5920" w:type="dxa"/>
            <w:vAlign w:val="bottom"/>
          </w:tcPr>
          <w:p>
            <w:pPr>
              <w:ind w:left="120"/>
              <w:spacing w:after="0"/>
              <w:rPr>
                <w:sz w:val="20"/>
                <w:szCs w:val="20"/>
                <w:color w:val="auto"/>
              </w:rPr>
            </w:pPr>
            <w:r>
              <w:rPr>
                <w:rFonts w:ascii="Arial" w:cs="Arial" w:eastAsia="Arial" w:hAnsi="Arial"/>
                <w:sz w:val="18"/>
                <w:szCs w:val="18"/>
                <w:color w:val="auto"/>
              </w:rPr>
              <w:t>Fixed assets</w:t>
            </w:r>
          </w:p>
        </w:tc>
        <w:tc>
          <w:tcPr>
            <w:tcW w:w="140" w:type="dxa"/>
            <w:vAlign w:val="bottom"/>
          </w:tcPr>
          <w:p>
            <w:pPr>
              <w:spacing w:after="0"/>
              <w:rPr>
                <w:sz w:val="20"/>
                <w:szCs w:val="20"/>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(18 )</w:t>
            </w:r>
          </w:p>
        </w:tc>
        <w:tc>
          <w:tcPr>
            <w:tcW w:w="1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49"/>
        </w:trPr>
        <w:tc>
          <w:tcPr>
            <w:tcW w:w="59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(1,528 )</w:t>
            </w:r>
          </w:p>
        </w:tc>
        <w:tc>
          <w:tcPr>
            <w:tcW w:w="18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592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0"/>
                <w:szCs w:val="20"/>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(3,562 )</w:t>
            </w:r>
          </w:p>
        </w:tc>
        <w:tc>
          <w:tcPr>
            <w:tcW w:w="1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(1,808 )</w:t>
            </w:r>
          </w:p>
        </w:tc>
      </w:tr>
      <w:tr>
        <w:trPr>
          <w:trHeight w:val="249"/>
        </w:trPr>
        <w:tc>
          <w:tcPr>
            <w:tcW w:w="59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Intangibles</w:t>
            </w:r>
          </w:p>
        </w:tc>
        <w:tc>
          <w:tcPr>
            <w:tcW w:w="14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(560 )</w:t>
            </w:r>
          </w:p>
        </w:tc>
        <w:tc>
          <w:tcPr>
            <w:tcW w:w="18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592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20"/>
                <w:szCs w:val="20"/>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(1,084 )</w:t>
            </w:r>
          </w:p>
        </w:tc>
        <w:tc>
          <w:tcPr>
            <w:tcW w:w="1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(1,092 )</w:t>
            </w:r>
          </w:p>
        </w:tc>
      </w:tr>
      <w:tr>
        <w:trPr>
          <w:trHeight w:val="249"/>
        </w:trPr>
        <w:tc>
          <w:tcPr>
            <w:tcW w:w="59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(130 )</w:t>
            </w:r>
          </w:p>
        </w:tc>
        <w:tc>
          <w:tcPr>
            <w:tcW w:w="18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(130 )</w:t>
            </w:r>
          </w:p>
        </w:tc>
      </w:tr>
      <w:tr>
        <w:trPr>
          <w:trHeight w:val="20"/>
        </w:trPr>
        <w:tc>
          <w:tcPr>
            <w:tcW w:w="59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r>
      <w:tr>
        <w:trPr>
          <w:trHeight w:val="236"/>
        </w:trPr>
        <w:tc>
          <w:tcPr>
            <w:tcW w:w="5920" w:type="dxa"/>
            <w:vAlign w:val="bottom"/>
          </w:tcPr>
          <w:p>
            <w:pPr>
              <w:ind w:left="120"/>
              <w:spacing w:after="0"/>
              <w:rPr>
                <w:sz w:val="20"/>
                <w:szCs w:val="20"/>
                <w:color w:val="auto"/>
              </w:rPr>
            </w:pPr>
            <w:r>
              <w:rPr>
                <w:rFonts w:ascii="Arial" w:cs="Arial" w:eastAsia="Arial" w:hAnsi="Arial"/>
                <w:sz w:val="18"/>
                <w:szCs w:val="18"/>
                <w:color w:val="auto"/>
              </w:rPr>
              <w:t>Net deferred tax liabilities</w:t>
            </w:r>
          </w:p>
        </w:tc>
        <w:tc>
          <w:tcPr>
            <w:tcW w:w="140" w:type="dxa"/>
            <w:vAlign w:val="bottom"/>
          </w:tcPr>
          <w:p>
            <w:pPr>
              <w:spacing w:after="0"/>
              <w:rPr>
                <w:sz w:val="20"/>
                <w:szCs w:val="20"/>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(6,882 )</w:t>
            </w:r>
          </w:p>
        </w:tc>
        <w:tc>
          <w:tcPr>
            <w:tcW w:w="1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(3,033 )</w:t>
            </w:r>
          </w:p>
        </w:tc>
      </w:tr>
      <w:tr>
        <w:trPr>
          <w:trHeight w:val="236"/>
        </w:trPr>
        <w:tc>
          <w:tcPr>
            <w:tcW w:w="59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76"/>
        </w:trPr>
        <w:tc>
          <w:tcPr>
            <w:tcW w:w="59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Deferred tax liability, net</w:t>
            </w: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(1,696</w:t>
            </w:r>
          </w:p>
        </w:tc>
        <w:tc>
          <w:tcPr>
            <w:tcW w:w="200" w:type="dxa"/>
            <w:vAlign w:val="bottom"/>
            <w:tcBorders>
              <w:bottom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(1,158</w:t>
            </w:r>
          </w:p>
        </w:tc>
        <w:tc>
          <w:tcPr>
            <w:tcW w:w="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-2080260</wp:posOffset>
            </wp:positionV>
            <wp:extent cx="51435"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-2080260</wp:posOffset>
            </wp:positionV>
            <wp:extent cx="51435" cy="162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-1763395</wp:posOffset>
            </wp:positionV>
            <wp:extent cx="51435"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-1763395</wp:posOffset>
            </wp:positionV>
            <wp:extent cx="5143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-513080</wp:posOffset>
            </wp:positionV>
            <wp:extent cx="51435" cy="3340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33401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-513080</wp:posOffset>
            </wp:positionV>
            <wp:extent cx="51435" cy="3340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33401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8"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At December 31, 2022, the Company had approximately $216.4 million of gross net operating losses ("NOLs") which expire in fiscal 2034 if not used. The Company also has approximately $121.3 million of apportioned state and local NOLs that expire between 2026 and 2036, depending on the state.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jc w:val="both"/>
        <w:spacing w:after="0" w:line="269" w:lineRule="auto"/>
        <w:rPr>
          <w:sz w:val="20"/>
          <w:szCs w:val="20"/>
          <w:color w:val="auto"/>
        </w:rPr>
      </w:pPr>
      <w:r>
        <w:rPr>
          <w:rFonts w:ascii="Arial" w:cs="Arial" w:eastAsia="Arial" w:hAnsi="Arial"/>
          <w:sz w:val="17"/>
          <w:szCs w:val="17"/>
          <w:color w:val="auto"/>
        </w:rPr>
        <w:t>The Company has temporary differences due to differences in recognition of revenue and expenses for tax and financial reporting purposes, principally related to net operating losses, inventory, depreciation, and other expenses that are not currently deductible or realizable. At December 31, 2021, the Company had approximately $152.0 million of gross federal NOLs, which will begin to expire in fiscal year 2034 if unused and approximately $79.5 million apportioned state and local NOLs. At December 31, 2022, the Company had approximately $216.4 million of gross federal NOLs which will begin to expire in fiscal year 2034 if unused. The Company also has approximately $121.3 million apportioned state and local NOLs that expire between 2026 and 2036, depending on the state, if not used. The NOL carryforwards for federal and state income tax purposes which, generally, can be used to reduce future taxable income. The Company’s ability to utilize its NOL carryforwards may be limited pursuant to Section 382 of the Internal Revenue Code of 1986, as amended (the “Code”), if the Company has had a change in ownership of more than 50% of its capital stock over a three-year period pursuant to Section 382 of the Code. These complex changes of ownership rules generally focus on ownership changes involving stockholders owning directly or indirectly 5% or more of a company’s stock, including certain public “groups” of stockholders as set forth by Section 382 of the Code, including those arising from new stock issuances and other equity transactions</w:t>
      </w:r>
      <w:r>
        <w:rPr>
          <w:rFonts w:ascii="Arial" w:cs="Arial" w:eastAsia="Arial" w:hAnsi="Arial"/>
          <w:sz w:val="17"/>
          <w:szCs w:val="17"/>
          <w:color w:val="222222"/>
        </w:rPr>
        <w:t>.</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response to COVID-19, various governments worldwide have enacted, or are in the process of enacting, measures to provide relief to businesses negatively affected by the pandemic. On March 27, 2021, the Coronavirus Aid, Relief and Economic Security Act ("CARES Act") was signed into law in the U.S. The CARES Act provides relief to U.S. corporations through financial assistance programs and modifications to certain payroll and income tax provisions. In connection with the CARES Act and other financial relief measures worldwide, the Company has utilized $1.3 million of payroll related credits for the year-ended December 31, 2021. The payroll related credits are recorded in other current liabilities within the consolidated balance sheet.</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regularly assesses the realizability of its deferred tax assets and establishes a valuation allowance if it is more-likely-than-not that some portion of the deferred tax assets will not be realized. The ultimate realization of deferred tax assets is dependent upon the generation of future taxable income during the periods in which those temporary differences become deductible. Due to the Company’s history of net operating losses, the Company believes it is more likely than not its federal, state and foreign deferred tax assets will not be realized as of December 31, 2022.</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major taxing jurisdictions are New Jersey, New York, Florida, Texas, Pennsylvania, Tennessee, Virginia and California. The Company files a U.S. Consolidated income tax return as well as tax returns in certain foreign jurisdictions. The Company is subject to examination in these jurisdictions for all years since inception. Fiscal years outside the normal statute of limitations remain open to audit due to tax attributes generated in the early years which have been carried forward and may be audited in subsequent years when utilized. The Company is not currently under examination for income taxes in any jurisdiction. The Company may be subject to audits covering a variety of tax matters by taxing authorities in any taxing jurisdiction where the Company conducts business. While the Company believes that the tax returns filed, and tax positions taken are supportable and accurate, some tax authorities may not agree with the positions taken. This can give rise to tax uncertainties which, upon audit, may not be resolved in the Company’s favor. As of December 31, 2021 and 2022, the Company has not recorded any tax contingency accruals for uncertain tax positions.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16, 2022, Congress passed the Inflation Reduction Act of 2022 (the “IRA”). The IRA introduces a new 15% corporate alternative minimum tax and includes a substantial package of energy and climate-related provisions, among other revenue raisers and incentives. A 1% excise tax on stock repurchases was also introduced in the IRA and this is effective January 1, 2023. On June 11, 2022, Congress passed the CHIPS Act of 2022. CHIPS adds a one-time investment tax credit equal to 25% of a company’s investment in facilities that manufacture semiconductors or semiconductor manufacturing equipment. We evaluated the provisions of the IRA and the CHIPS Act and determined that there was no material impact for the year ended December 31,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15.  NET LOSS PER SHARE</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(236,024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(196,292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5"/>
        </w:trPr>
        <w:tc>
          <w:tcPr>
            <w:tcW w:w="5920" w:type="dxa"/>
            <w:vAlign w:val="bottom"/>
          </w:tcPr>
          <w:p>
            <w:pPr>
              <w:spacing w:after="0"/>
              <w:rPr>
                <w:sz w:val="20"/>
                <w:szCs w:val="20"/>
                <w:color w:val="auto"/>
              </w:rPr>
            </w:pPr>
            <w:r>
              <w:rPr>
                <w:rFonts w:ascii="Arial" w:cs="Arial" w:eastAsia="Arial" w:hAnsi="Arial"/>
                <w:sz w:val="18"/>
                <w:szCs w:val="18"/>
                <w:color w:val="auto"/>
              </w:rPr>
              <w:t>Weighted-average number of shares used in computing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20" w:type="dxa"/>
            <w:vAlign w:val="bottom"/>
          </w:tcPr>
          <w:p>
            <w:pPr>
              <w:ind w:left="140"/>
              <w:spacing w:after="0"/>
              <w:rPr>
                <w:sz w:val="20"/>
                <w:szCs w:val="20"/>
                <w:color w:val="auto"/>
              </w:rPr>
            </w:pPr>
            <w:r>
              <w:rPr>
                <w:rFonts w:ascii="Arial" w:cs="Arial" w:eastAsia="Arial" w:hAnsi="Arial"/>
                <w:sz w:val="18"/>
                <w:szCs w:val="18"/>
                <w:color w:val="auto"/>
              </w:rPr>
              <w:t>loss per share, basic and diluted</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35,379,005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66,529,565</w:t>
            </w:r>
          </w:p>
        </w:tc>
        <w:tc>
          <w:tcPr>
            <w:tcW w:w="100" w:type="dxa"/>
            <w:vAlign w:val="bottom"/>
          </w:tcPr>
          <w:p>
            <w:pPr>
              <w:spacing w:after="0"/>
              <w:rPr>
                <w:sz w:val="20"/>
                <w:szCs w:val="20"/>
                <w:color w:val="auto"/>
              </w:rPr>
            </w:pPr>
          </w:p>
        </w:tc>
      </w:tr>
      <w:tr>
        <w:trPr>
          <w:trHeight w:val="28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(6.67 )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(2.95 )</w:t>
            </w:r>
          </w:p>
        </w:tc>
      </w:tr>
      <w:tr>
        <w:trPr>
          <w:trHeight w:val="459"/>
        </w:trPr>
        <w:tc>
          <w:tcPr>
            <w:tcW w:w="5920" w:type="dxa"/>
            <w:vAlign w:val="bottom"/>
            <w:tcBorders>
              <w:top w:val="single" w:sz="8" w:color="CFF0FC"/>
            </w:tcBorders>
          </w:tcPr>
          <w:p>
            <w:pPr>
              <w:spacing w:after="0"/>
              <w:rPr>
                <w:sz w:val="20"/>
                <w:szCs w:val="20"/>
                <w:color w:val="auto"/>
              </w:rPr>
            </w:pPr>
            <w:r>
              <w:rPr>
                <w:rFonts w:ascii="Arial" w:cs="Arial" w:eastAsia="Arial" w:hAnsi="Arial"/>
                <w:sz w:val="18"/>
                <w:szCs w:val="18"/>
                <w:color w:val="auto"/>
                <w:w w:val="93"/>
              </w:rPr>
              <w:t>Anti-dilutive shares excluded from computation of net loss per share (in shares)</w:t>
            </w: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3,027,361</w:t>
            </w: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13,409,769</w:t>
            </w: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-324485</wp:posOffset>
            </wp:positionV>
            <wp:extent cx="984885" cy="3340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84885" cy="334010"/>
                    </a:xfrm>
                    <a:prstGeom prst="rect">
                      <a:avLst/>
                    </a:prstGeom>
                    <a:noFill/>
                  </pic:spPr>
                </pic:pic>
              </a:graphicData>
            </a:graphic>
          </wp:anchor>
        </w:drawing>
      </w:r>
    </w:p>
    <w:p>
      <w:pPr>
        <w:spacing w:after="0" w:line="222"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auto"/>
        </w:rPr>
        <w:t>All other outstanding potentially dilutive securities, including shares of restricted common stock, common stock options (See Note 11) and common stock warrants (See Note 2) were excluded from the computation of diluted net loss per share because including them would have had an anti-dilutive effect.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ACQUISITIONS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Healing Solutions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 2021 (the “Closing Date”), the Company entered into and closed the Asset Purchase Agreement with Healing Solutions, LLC (“Healing Solutions”). Pursuant to the Asset Purchase Agreement, the Company purchased and acquired certain assets of Healing Solutions (the “Healing Solutions Assets”) related to Healing Solutions’ retail and e-commerce business under the Healing Solutions’ brands, Tarvol, Sun Essential Oils and Artizen (among others), which primarily sells essential oils through Amazon and other marketplaces (the “Asset Purchase”). The Asset Purchase was accounted for as a business combination using the acquisition method of accounting in accordance with ASC 805, Business Combinations. As consideration for the Asset Purchase, the Company (i) paid to Healing Solutions $15.3 million in cash (the “Cash Purchase Price”), and (ii) issued 1,387,759 shares of common stock to Healing Solutions, the cost basis of which was the closing price per share of the common stock on the Closing Date. At the closing (the “Closing”), the Company withheld $2.0 million of the Cash Purchase Price to serve as collateral for Healing Solutions’ payment of certain overdue trade payables to be released to Healing Solutions in accordance with the terms of the Asset Purchase Agreement. This amount was paid by the Company within 60 days of the Closing Date.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jc w:val="both"/>
        <w:spacing w:after="0" w:line="286" w:lineRule="auto"/>
        <w:rPr>
          <w:sz w:val="20"/>
          <w:szCs w:val="20"/>
          <w:color w:val="auto"/>
        </w:rPr>
      </w:pPr>
      <w:r>
        <w:rPr>
          <w:rFonts w:ascii="Arial" w:cs="Arial" w:eastAsia="Arial" w:hAnsi="Arial"/>
          <w:sz w:val="16"/>
          <w:szCs w:val="16"/>
          <w:color w:val="auto"/>
        </w:rPr>
        <w:t xml:space="preserve">In addition, Healing Solutions will be entitled to receive 170,042 shares of common stock (up to a maximum of 280,000 shares pursuant to certain terms and valuation at the measurement date) in respect of certain inventory. The shares will be issued to Healing Solutions following the final determination of inventory values pursuant to the terms of the Asset Purchase Agreement, which determination is expected to occur approximately nine to ten months following the Closing Date and such shares will be subject to vesting restrictions which will lapse on the date that is the one-year anniversary after the Closing Date. Pursuant to the terms of the Asset Purchase Agreement, Healing Solutions is required to use its commercially reasonable efforts to identify one or more suppliers of finished goods inventory of all SKUs that constitute assets acquired in the Asset Purchase (“New Suppliers”) and to initiate discussions with such New Suppliers for the purpose of negotiating new supply agreements between the Company or its affiliates, on the one hand, and the New Supplier, on the other hand, for the purchase of such SKUs following the Closing on terms acceptable to the Company in its sole discretion, acting reasonably. If, on or before the date that is 15 months after the Closing Date, an Earn-Out Consideration Event (as defined in the Asset Purchase Agreement) has occurred, then Healing Solutions shall be entitled to receive up to a maximum of 528,670 shares of common stock (the “Earn-Out Shares”), which number of shares is subject to reduction in accordance with the terms of the Asset Purchase Agreement based on the time period within which the Earn-Out Consideration Event occurs. See </w:t>
      </w:r>
      <w:r>
        <w:rPr>
          <w:rFonts w:ascii="Arial" w:cs="Arial" w:eastAsia="Arial" w:hAnsi="Arial"/>
          <w:sz w:val="16"/>
          <w:szCs w:val="16"/>
          <w:i w:val="1"/>
          <w:iCs w:val="1"/>
          <w:color w:val="auto"/>
        </w:rPr>
        <w:t>Contingent earn-out liability considerations section</w:t>
      </w:r>
      <w:r>
        <w:rPr>
          <w:rFonts w:ascii="Arial" w:cs="Arial" w:eastAsia="Arial" w:hAnsi="Arial"/>
          <w:sz w:val="16"/>
          <w:szCs w:val="16"/>
          <w:color w:val="auto"/>
        </w:rPr>
        <w:t xml:space="preserve"> below</w:t>
      </w:r>
      <w:r>
        <w:rPr>
          <w:rFonts w:ascii="Arial" w:cs="Arial" w:eastAsia="Arial" w:hAnsi="Arial"/>
          <w:sz w:val="16"/>
          <w:szCs w:val="16"/>
          <w:i w:val="1"/>
          <w:iCs w:val="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the allocation of purchase price to the assets acquired and liabilities assumed, based on the estimated fair values at acquisition date: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18"/>
                <w:szCs w:val="18"/>
                <w:color w:val="auto"/>
              </w:rPr>
            </w:pPr>
          </w:p>
        </w:tc>
      </w:tr>
      <w:tr>
        <w:trPr>
          <w:trHeight w:val="241"/>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9"/>
              </w:rPr>
              <w:t>allocated</w:t>
            </w:r>
          </w:p>
        </w:tc>
        <w:tc>
          <w:tcPr>
            <w:tcW w:w="60" w:type="dxa"/>
            <w:vAlign w:val="bottom"/>
          </w:tcPr>
          <w:p>
            <w:pPr>
              <w:spacing w:after="0"/>
              <w:rPr>
                <w:sz w:val="20"/>
                <w:szCs w:val="20"/>
                <w:color w:val="auto"/>
              </w:rPr>
            </w:pPr>
          </w:p>
        </w:tc>
      </w:tr>
      <w:tr>
        <w:trPr>
          <w:trHeight w:val="236"/>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 thousands)</w:t>
            </w:r>
          </w:p>
        </w:tc>
        <w:tc>
          <w:tcPr>
            <w:tcW w:w="60" w:type="dxa"/>
            <w:vAlign w:val="bottom"/>
          </w:tcPr>
          <w:p>
            <w:pPr>
              <w:spacing w:after="0"/>
              <w:rPr>
                <w:sz w:val="20"/>
                <w:szCs w:val="20"/>
                <w:color w:val="auto"/>
              </w:rPr>
            </w:pPr>
          </w:p>
        </w:tc>
      </w:tr>
      <w:tr>
        <w:trPr>
          <w:trHeight w:val="249"/>
        </w:trPr>
        <w:tc>
          <w:tcPr>
            <w:tcW w:w="520" w:type="dxa"/>
            <w:vAlign w:val="bottom"/>
          </w:tcPr>
          <w:p>
            <w:pPr>
              <w:spacing w:after="0"/>
              <w:rPr>
                <w:sz w:val="21"/>
                <w:szCs w:val="21"/>
                <w:color w:val="auto"/>
              </w:rPr>
            </w:pPr>
          </w:p>
        </w:tc>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purchase price</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15,280</w:t>
            </w:r>
          </w:p>
        </w:tc>
        <w:tc>
          <w:tcPr>
            <w:tcW w:w="60" w:type="dxa"/>
            <w:vAlign w:val="bottom"/>
            <w:shd w:val="clear" w:color="auto" w:fill="CFF0FC"/>
          </w:tcPr>
          <w:p>
            <w:pPr>
              <w:spacing w:after="0"/>
              <w:rPr>
                <w:sz w:val="21"/>
                <w:szCs w:val="21"/>
                <w:color w:val="auto"/>
              </w:rPr>
            </w:pPr>
          </w:p>
        </w:tc>
      </w:tr>
      <w:tr>
        <w:trPr>
          <w:trHeight w:val="236"/>
        </w:trPr>
        <w:tc>
          <w:tcPr>
            <w:tcW w:w="52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1,387,759 shares of Common Stock issued at the Closing</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39,454</w:t>
            </w:r>
          </w:p>
        </w:tc>
        <w:tc>
          <w:tcPr>
            <w:tcW w:w="60" w:type="dxa"/>
            <w:vAlign w:val="bottom"/>
          </w:tcPr>
          <w:p>
            <w:pPr>
              <w:spacing w:after="0"/>
              <w:rPr>
                <w:sz w:val="20"/>
                <w:szCs w:val="20"/>
                <w:color w:val="auto"/>
              </w:rPr>
            </w:pPr>
          </w:p>
        </w:tc>
      </w:tr>
      <w:tr>
        <w:trPr>
          <w:trHeight w:val="249"/>
        </w:trPr>
        <w:tc>
          <w:tcPr>
            <w:tcW w:w="520" w:type="dxa"/>
            <w:vAlign w:val="bottom"/>
          </w:tcPr>
          <w:p>
            <w:pPr>
              <w:spacing w:after="0"/>
              <w:rPr>
                <w:sz w:val="21"/>
                <w:szCs w:val="21"/>
                <w:color w:val="auto"/>
              </w:rPr>
            </w:pPr>
          </w:p>
        </w:tc>
        <w:tc>
          <w:tcPr>
            <w:tcW w:w="7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Seller note for inventory</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5,285</w:t>
            </w:r>
          </w:p>
        </w:tc>
        <w:tc>
          <w:tcPr>
            <w:tcW w:w="60" w:type="dxa"/>
            <w:vAlign w:val="bottom"/>
            <w:shd w:val="clear" w:color="auto" w:fill="CFF0FC"/>
          </w:tcPr>
          <w:p>
            <w:pPr>
              <w:spacing w:after="0"/>
              <w:rPr>
                <w:sz w:val="21"/>
                <w:szCs w:val="21"/>
                <w:color w:val="auto"/>
              </w:rPr>
            </w:pPr>
          </w:p>
        </w:tc>
      </w:tr>
      <w:tr>
        <w:trPr>
          <w:trHeight w:val="236"/>
        </w:trPr>
        <w:tc>
          <w:tcPr>
            <w:tcW w:w="52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Estimated earn-out liability</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11,273</w:t>
            </w:r>
          </w:p>
        </w:tc>
        <w:tc>
          <w:tcPr>
            <w:tcW w:w="60" w:type="dxa"/>
            <w:vAlign w:val="bottom"/>
          </w:tcPr>
          <w:p>
            <w:pPr>
              <w:spacing w:after="0"/>
              <w:rPr>
                <w:sz w:val="20"/>
                <w:szCs w:val="20"/>
                <w:color w:val="auto"/>
              </w:rPr>
            </w:pPr>
          </w:p>
        </w:tc>
      </w:tr>
      <w:tr>
        <w:trPr>
          <w:trHeight w:val="282"/>
        </w:trPr>
        <w:tc>
          <w:tcPr>
            <w:tcW w:w="520" w:type="dxa"/>
            <w:vAlign w:val="bottom"/>
          </w:tcPr>
          <w:p>
            <w:pPr>
              <w:spacing w:after="0"/>
              <w:rPr>
                <w:sz w:val="24"/>
                <w:szCs w:val="24"/>
                <w:color w:val="auto"/>
              </w:rPr>
            </w:pPr>
          </w:p>
        </w:tc>
        <w:tc>
          <w:tcPr>
            <w:tcW w:w="79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consideration to be paid</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71,292</w:t>
            </w:r>
          </w:p>
        </w:tc>
        <w:tc>
          <w:tcPr>
            <w:tcW w:w="60" w:type="dxa"/>
            <w:vAlign w:val="bottom"/>
            <w:tcBorders>
              <w:bottom w:val="single" w:sz="8" w:color="CFF0FC"/>
            </w:tcBorders>
            <w:shd w:val="clear" w:color="auto" w:fill="CFF0FC"/>
          </w:tcPr>
          <w:p>
            <w:pPr>
              <w:spacing w:after="0"/>
              <w:rPr>
                <w:sz w:val="24"/>
                <w:szCs w:val="24"/>
                <w:color w:val="auto"/>
              </w:rPr>
            </w:pPr>
          </w:p>
        </w:tc>
      </w:tr>
      <w:tr>
        <w:trPr>
          <w:trHeight w:val="412"/>
        </w:trPr>
        <w:tc>
          <w:tcPr>
            <w:tcW w:w="8440" w:type="dxa"/>
            <w:vAlign w:val="bottom"/>
            <w:gridSpan w:val="3"/>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79"/>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4"/>
                <w:szCs w:val="24"/>
                <w:color w:val="auto"/>
              </w:rPr>
            </w:pPr>
          </w:p>
        </w:tc>
      </w:tr>
      <w:tr>
        <w:trPr>
          <w:trHeight w:val="236"/>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4"/>
              </w:rPr>
              <w:t>(in thousands)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Trademarks (10 year useful life)</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22,900</w:t>
            </w: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24"/>
                <w:szCs w:val="24"/>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71,292</w:t>
            </w:r>
          </w:p>
        </w:tc>
        <w:tc>
          <w:tcPr>
            <w:tcW w:w="100" w:type="dxa"/>
            <w:vAlign w:val="bottom"/>
            <w:tcBorders>
              <w:bottom w:val="single" w:sz="8" w:color="CFF0FC"/>
              <w:right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6760845</wp:posOffset>
            </wp:positionH>
            <wp:positionV relativeFrom="paragraph">
              <wp:posOffset>-1574800</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-1557655</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Goodwill is expected to be deductible for tax purposes. The goodwill is attributable to expected synergies resulting from integrating the Healing Solutions’ products into the Company’s existing sales channels.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Squatty Potty Assets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5, 2021, the Company acquired the business of e-commerce and retail company Squatty Potty, LLC (“Squatty Potty”), a leading online seller of health and wellness products, in an asset purchase transaction. Currently, Squatty Potty products are sold in thousands of retail locations including Bed, Bath &amp; Beyond, Walmart and Target. As consideration for Squatty Potty’s assets, the Company paid approximately $19.0 million in cash. The Company also paid approximately $1.1 million as consideration related to acquired inventory. In addition, and subject to the achievement of contribution margin metrics for the year-ended December 31, 2021, the Company agreed to pay Squatty Potty a maximum earn-out of approximately $4.0 million, payable in shares of common stock or cash at Squatty Potty’s discretion. The Company also agreed to pay Squatty Potty $8.0 million for transition services, payable in shares of common stock or cash at Squatty Potty’s discretion. See Contingent earn-out liability considerations section below.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The following presents the allocation of purchase price to the assets acquired and liabilities assumed, based on the estimated fair values at acquisition date: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center"/>
              <w:ind w:right="31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7"/>
              </w:rPr>
              <w:t>allocated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center"/>
              <w:ind w:right="310"/>
              <w:spacing w:after="0"/>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Cash purchase price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Transition services payments</w:t>
            </w: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Estimated earn-out liability</w:t>
            </w:r>
          </w:p>
        </w:tc>
        <w:tc>
          <w:tcPr>
            <w:tcW w:w="400" w:type="dxa"/>
            <w:vAlign w:val="bottom"/>
            <w:tcBorders>
              <w:bottom w:val="single" w:sz="8" w:color="auto"/>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Total consideration</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center"/>
              <w:ind w:right="310"/>
              <w:spacing w:after="0"/>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Working Capital</w:t>
            </w: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Trademarks (10 year useful life)</w:t>
            </w:r>
          </w:p>
        </w:tc>
        <w:tc>
          <w:tcPr>
            <w:tcW w:w="40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(1)</w:t>
            </w:r>
          </w:p>
        </w:tc>
        <w:tc>
          <w:tcPr>
            <w:tcW w:w="400" w:type="dxa"/>
            <w:vAlign w:val="bottom"/>
            <w:tcBorders>
              <w:bottom w:val="single" w:sz="8" w:color="auto"/>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-1908810</wp:posOffset>
            </wp:positionV>
            <wp:extent cx="59690"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08" w:lineRule="exact"/>
        <w:rPr>
          <w:sz w:val="20"/>
          <w:szCs w:val="20"/>
          <w:color w:val="auto"/>
        </w:rPr>
      </w:pPr>
    </w:p>
    <w:p>
      <w:pPr>
        <w:ind w:left="380" w:right="100" w:hanging="372"/>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Goodwill is expected to be deductible for tax purposes. The goodwill is attributable to expected synergies resulting from integrating the Squatty Potty products into the Company’s existing sales channel.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Photo Paper Direct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May 5, 2021, the Company closed the acquisition of all outstanding stock of e-commerce company Photo Paper Direct Ltd. (“Photo Paper Direct”), a leading online seller of printing supplies. As consideration for Photo Paper Direct’s stock, the Company paid approximately $8.3 million in cash and issued approximately 704,500 shares of the Company’s common stock. The Company also paid approximately $5.4 million in cash as consideration related to Photo Paper Direct’s inventory and other working capital assets, including cash on hand of approximately $3.0 million. In addition, and subject to the achievement of certain Adjusted EBITDA metrics by December 31, 2021, the Company agreed to issue to Photo Paper Direct a maximum earn-out of $6.0 million in cash and $2.0 million in the Company’s common stock. See </w:t>
      </w:r>
      <w:r>
        <w:rPr>
          <w:rFonts w:ascii="Arial" w:cs="Arial" w:eastAsia="Arial" w:hAnsi="Arial"/>
          <w:sz w:val="16"/>
          <w:szCs w:val="16"/>
          <w:i w:val="1"/>
          <w:iCs w:val="1"/>
          <w:color w:val="auto"/>
        </w:rPr>
        <w:t>Contingent Earn-out Liability Considerations</w:t>
      </w:r>
      <w:r>
        <w:rPr>
          <w:rFonts w:ascii="Arial" w:cs="Arial" w:eastAsia="Arial" w:hAnsi="Arial"/>
          <w:sz w:val="16"/>
          <w:szCs w:val="16"/>
          <w:color w:val="auto"/>
        </w:rPr>
        <w:t xml:space="preserve"> section below</w:t>
      </w:r>
      <w:r>
        <w:rPr>
          <w:rFonts w:ascii="Arial" w:cs="Arial" w:eastAsia="Arial" w:hAnsi="Arial"/>
          <w:sz w:val="16"/>
          <w:szCs w:val="16"/>
          <w:i w:val="1"/>
          <w:iCs w:val="1"/>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the allocation of purchase price to the assets acquired and liabilities assumed, based on the estimated fair values at acquisition date: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center"/>
              <w:ind w:right="31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7"/>
              </w:rPr>
              <w:t>allocated</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center"/>
              <w:ind w:right="310"/>
              <w:spacing w:after="0"/>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Cash purchase price</w:t>
            </w:r>
          </w:p>
        </w:tc>
        <w:tc>
          <w:tcPr>
            <w:tcW w:w="41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704,548 shares of common stock issued</w:t>
            </w:r>
          </w:p>
        </w:tc>
        <w:tc>
          <w:tcPr>
            <w:tcW w:w="3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11,075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adjustment</w:t>
            </w:r>
          </w:p>
        </w:tc>
        <w:tc>
          <w:tcPr>
            <w:tcW w:w="37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Estimated earn-out liability</w:t>
            </w:r>
          </w:p>
        </w:tc>
        <w:tc>
          <w:tcPr>
            <w:tcW w:w="3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2"/>
        </w:trPr>
        <w:tc>
          <w:tcPr>
            <w:tcW w:w="580" w:type="dxa"/>
            <w:vAlign w:val="bottom"/>
          </w:tcPr>
          <w:p>
            <w:pPr>
              <w:spacing w:after="0"/>
              <w:rPr>
                <w:sz w:val="24"/>
                <w:szCs w:val="24"/>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consideration</w:t>
            </w:r>
          </w:p>
        </w:tc>
        <w:tc>
          <w:tcPr>
            <w:tcW w:w="37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25,617</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28"/>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120" w:type="dxa"/>
            <w:vAlign w:val="bottom"/>
            <w:gridSpan w:val="2"/>
          </w:tcPr>
          <w:p>
            <w:pPr>
              <w:jc w:val="right"/>
              <w:ind w:right="2690"/>
              <w:spacing w:after="0"/>
              <w:rPr>
                <w:sz w:val="20"/>
                <w:szCs w:val="20"/>
                <w:color w:val="auto"/>
              </w:rPr>
            </w:pPr>
            <w:r>
              <w:rPr>
                <w:rFonts w:ascii="Arial" w:cs="Arial" w:eastAsia="Arial" w:hAnsi="Arial"/>
                <w:sz w:val="18"/>
                <w:szCs w:val="18"/>
                <w:color w:val="auto"/>
              </w:rPr>
              <w:t>F-34</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-521970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-504825</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Total</w:t>
            </w:r>
          </w:p>
        </w:tc>
      </w:tr>
      <w:tr>
        <w:trPr>
          <w:trHeight w:val="236"/>
        </w:trPr>
        <w:tc>
          <w:tcPr>
            <w:tcW w:w="58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10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PP&amp;E</w:t>
            </w: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Real Property</w:t>
            </w:r>
          </w:p>
        </w:tc>
        <w:tc>
          <w:tcPr>
            <w:tcW w:w="40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Working Capital</w:t>
            </w: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Trademarks (10 year useful life)</w:t>
            </w:r>
          </w:p>
        </w:tc>
        <w:tc>
          <w:tcPr>
            <w:tcW w:w="40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Goodwill (1)</w:t>
            </w: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15,774</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 (2)</w:t>
            </w:r>
          </w:p>
        </w:tc>
        <w:tc>
          <w:tcPr>
            <w:tcW w:w="400" w:type="dxa"/>
            <w:vAlign w:val="bottom"/>
            <w:shd w:val="clear" w:color="auto" w:fill="CFF0FC"/>
          </w:tcPr>
          <w:p>
            <w:pPr>
              <w:spacing w:after="0"/>
              <w:rPr>
                <w:sz w:val="21"/>
                <w:szCs w:val="21"/>
                <w:color w:val="auto"/>
              </w:rPr>
            </w:pP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(1,481 )</w:t>
            </w:r>
          </w:p>
        </w:tc>
      </w:tr>
      <w:tr>
        <w:trPr>
          <w:trHeight w:val="242"/>
        </w:trPr>
        <w:tc>
          <w:tcPr>
            <w:tcW w:w="580" w:type="dxa"/>
            <w:vAlign w:val="bottom"/>
          </w:tcPr>
          <w:p>
            <w:pPr>
              <w:spacing w:after="0"/>
              <w:rPr>
                <w:sz w:val="21"/>
                <w:szCs w:val="21"/>
                <w:color w:val="auto"/>
              </w:rPr>
            </w:pPr>
          </w:p>
        </w:tc>
        <w:tc>
          <w:tcPr>
            <w:tcW w:w="76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25,617</w:t>
            </w:r>
          </w:p>
        </w:tc>
        <w:tc>
          <w:tcPr>
            <w:tcW w:w="100" w:type="dxa"/>
            <w:vAlign w:val="bottom"/>
            <w:tcBorders>
              <w:top w:val="single" w:sz="8" w:color="CFF0FC"/>
            </w:tcBorders>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08" w:lineRule="exact"/>
        <w:rPr>
          <w:sz w:val="20"/>
          <w:szCs w:val="20"/>
          <w:color w:val="auto"/>
        </w:rPr>
      </w:pPr>
    </w:p>
    <w:p>
      <w:pPr>
        <w:jc w:val="both"/>
        <w:ind w:left="760" w:hanging="378"/>
        <w:spacing w:after="0" w:line="254"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Estimate based on preliminary purchase price and most recent book values of tangible assets and prior to any deferred tax assets/liabilities. Subject to change based on the actual closing balance sheet and any purchase accounting adjustments. Goodwill is expected to be deductible for tax purposes. The goodwill is attributable to expected synergies resulting from integrating the Photo Paper Direct products into the Company’s existing sales channels.</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measurement period adjustment was recorded that resulted in a deferred tax liability of $1.5 million, and corresponding increase in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134"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The following unaudited pro forma information illustrates the impact of the acquisitions on the Company’s net revenue for the year-ended December 31, 2021. The acquisitions are reflected in the following pro forma information as if the acquisitions had occurred on January 1, 2021.</w:t>
      </w:r>
    </w:p>
    <w:p>
      <w:pPr>
        <w:spacing w:after="0" w:line="14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96"/>
              </w:rPr>
              <w:t>Year-Ended December</w:t>
            </w:r>
          </w:p>
        </w:tc>
      </w:tr>
      <w:tr>
        <w:trPr>
          <w:trHeight w:val="185"/>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31, 2021</w:t>
            </w:r>
          </w:p>
        </w:tc>
        <w:tc>
          <w:tcPr>
            <w:tcW w:w="100" w:type="dxa"/>
            <w:vAlign w:val="bottom"/>
          </w:tcPr>
          <w:p>
            <w:pPr>
              <w:spacing w:after="0"/>
              <w:rPr>
                <w:sz w:val="16"/>
                <w:szCs w:val="16"/>
                <w:color w:val="auto"/>
              </w:rPr>
            </w:pPr>
          </w:p>
        </w:tc>
      </w:tr>
      <w:tr>
        <w:trPr>
          <w:trHeight w:val="236"/>
        </w:trPr>
        <w:tc>
          <w:tcPr>
            <w:tcW w:w="8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Net revenue as reported</w:t>
            </w:r>
          </w:p>
        </w:tc>
        <w:tc>
          <w:tcPr>
            <w:tcW w:w="32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247,767</w:t>
            </w:r>
          </w:p>
        </w:tc>
        <w:tc>
          <w:tcPr>
            <w:tcW w:w="100" w:type="dxa"/>
            <w:vAlign w:val="bottom"/>
            <w:shd w:val="clear" w:color="auto" w:fill="CFF0FC"/>
          </w:tcPr>
          <w:p>
            <w:pPr>
              <w:spacing w:after="0"/>
              <w:rPr>
                <w:sz w:val="20"/>
                <w:szCs w:val="20"/>
                <w:color w:val="auto"/>
              </w:rPr>
            </w:pPr>
          </w:p>
        </w:tc>
      </w:tr>
      <w:tr>
        <w:trPr>
          <w:trHeight w:val="236"/>
        </w:trPr>
        <w:tc>
          <w:tcPr>
            <w:tcW w:w="8340" w:type="dxa"/>
            <w:vAlign w:val="bottom"/>
          </w:tcPr>
          <w:p>
            <w:pPr>
              <w:ind w:left="60"/>
              <w:spacing w:after="0"/>
              <w:rPr>
                <w:sz w:val="20"/>
                <w:szCs w:val="20"/>
                <w:color w:val="auto"/>
              </w:rPr>
            </w:pPr>
            <w:r>
              <w:rPr>
                <w:rFonts w:ascii="Arial" w:cs="Arial" w:eastAsia="Arial" w:hAnsi="Arial"/>
                <w:sz w:val="18"/>
                <w:szCs w:val="18"/>
                <w:color w:val="auto"/>
              </w:rPr>
              <w:t>Healing Solutions net revenue (1)</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20"/>
                <w:szCs w:val="20"/>
                <w:color w:val="auto"/>
              </w:rPr>
            </w:pPr>
          </w:p>
        </w:tc>
      </w:tr>
      <w:tr>
        <w:trPr>
          <w:trHeight w:val="249"/>
        </w:trPr>
        <w:tc>
          <w:tcPr>
            <w:tcW w:w="8340" w:type="dxa"/>
            <w:vAlign w:val="bottom"/>
            <w:shd w:val="clear" w:color="auto" w:fill="CCECFF"/>
          </w:tcPr>
          <w:p>
            <w:pPr>
              <w:ind w:left="60"/>
              <w:spacing w:after="0"/>
              <w:rPr>
                <w:sz w:val="20"/>
                <w:szCs w:val="20"/>
                <w:color w:val="auto"/>
              </w:rPr>
            </w:pPr>
            <w:r>
              <w:rPr>
                <w:rFonts w:ascii="Arial" w:cs="Arial" w:eastAsia="Arial" w:hAnsi="Arial"/>
                <w:sz w:val="18"/>
                <w:szCs w:val="18"/>
                <w:color w:val="auto"/>
              </w:rPr>
              <w:t>Squatty Potty net revenue (2)</w:t>
            </w:r>
          </w:p>
        </w:tc>
        <w:tc>
          <w:tcPr>
            <w:tcW w:w="320" w:type="dxa"/>
            <w:vAlign w:val="bottom"/>
            <w:shd w:val="clear" w:color="auto" w:fill="CCECFF"/>
          </w:tcPr>
          <w:p>
            <w:pPr>
              <w:spacing w:after="0"/>
              <w:rPr>
                <w:sz w:val="21"/>
                <w:szCs w:val="21"/>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6,024</w:t>
            </w:r>
          </w:p>
        </w:tc>
        <w:tc>
          <w:tcPr>
            <w:tcW w:w="100" w:type="dxa"/>
            <w:vAlign w:val="bottom"/>
            <w:shd w:val="clear" w:color="auto" w:fill="CCECFF"/>
          </w:tcPr>
          <w:p>
            <w:pPr>
              <w:spacing w:after="0"/>
              <w:rPr>
                <w:sz w:val="21"/>
                <w:szCs w:val="21"/>
                <w:color w:val="auto"/>
              </w:rPr>
            </w:pPr>
          </w:p>
        </w:tc>
      </w:tr>
      <w:tr>
        <w:trPr>
          <w:trHeight w:val="236"/>
        </w:trPr>
        <w:tc>
          <w:tcPr>
            <w:tcW w:w="8340" w:type="dxa"/>
            <w:vAlign w:val="bottom"/>
          </w:tcPr>
          <w:p>
            <w:pPr>
              <w:ind w:left="60"/>
              <w:spacing w:after="0"/>
              <w:rPr>
                <w:sz w:val="20"/>
                <w:szCs w:val="20"/>
                <w:color w:val="auto"/>
              </w:rPr>
            </w:pPr>
            <w:r>
              <w:rPr>
                <w:rFonts w:ascii="Arial" w:cs="Arial" w:eastAsia="Arial" w:hAnsi="Arial"/>
                <w:sz w:val="18"/>
                <w:szCs w:val="18"/>
                <w:color w:val="auto"/>
              </w:rPr>
              <w:t>Photo Paper Direct net revenue (3)</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20"/>
                <w:szCs w:val="20"/>
                <w:color w:val="auto"/>
              </w:rPr>
            </w:pPr>
          </w:p>
        </w:tc>
      </w:tr>
      <w:tr>
        <w:trPr>
          <w:trHeight w:val="276"/>
        </w:trPr>
        <w:tc>
          <w:tcPr>
            <w:tcW w:w="83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Net revenue pro forma</w:t>
            </w: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264,725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9"/>
        </w:trPr>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r>
      <w:tr>
        <w:trPr>
          <w:trHeight w:val="243"/>
        </w:trPr>
        <w:tc>
          <w:tcPr>
            <w:tcW w:w="8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Operating loss as reported</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(34,077 )</w:t>
            </w:r>
          </w:p>
        </w:tc>
      </w:tr>
      <w:tr>
        <w:trPr>
          <w:trHeight w:val="236"/>
        </w:trPr>
        <w:tc>
          <w:tcPr>
            <w:tcW w:w="8340" w:type="dxa"/>
            <w:vAlign w:val="bottom"/>
          </w:tcPr>
          <w:p>
            <w:pPr>
              <w:ind w:left="60"/>
              <w:spacing w:after="0"/>
              <w:rPr>
                <w:sz w:val="20"/>
                <w:szCs w:val="20"/>
                <w:color w:val="auto"/>
              </w:rPr>
            </w:pPr>
            <w:r>
              <w:rPr>
                <w:rFonts w:ascii="Arial" w:cs="Arial" w:eastAsia="Arial" w:hAnsi="Arial"/>
                <w:sz w:val="18"/>
                <w:szCs w:val="18"/>
                <w:color w:val="auto"/>
              </w:rPr>
              <w:t>Healing Solutions operating income (1)</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r>
      <w:tr>
        <w:trPr>
          <w:trHeight w:val="249"/>
        </w:trPr>
        <w:tc>
          <w:tcPr>
            <w:tcW w:w="8340" w:type="dxa"/>
            <w:vAlign w:val="bottom"/>
            <w:shd w:val="clear" w:color="auto" w:fill="CCECFF"/>
          </w:tcPr>
          <w:p>
            <w:pPr>
              <w:ind w:left="60"/>
              <w:spacing w:after="0"/>
              <w:rPr>
                <w:sz w:val="20"/>
                <w:szCs w:val="20"/>
                <w:color w:val="auto"/>
              </w:rPr>
            </w:pPr>
            <w:r>
              <w:rPr>
                <w:rFonts w:ascii="Arial" w:cs="Arial" w:eastAsia="Arial" w:hAnsi="Arial"/>
                <w:sz w:val="18"/>
                <w:szCs w:val="18"/>
                <w:color w:val="auto"/>
              </w:rPr>
              <w:t>Squatty Potty operating income (2)</w:t>
            </w:r>
          </w:p>
        </w:tc>
        <w:tc>
          <w:tcPr>
            <w:tcW w:w="320" w:type="dxa"/>
            <w:vAlign w:val="bottom"/>
            <w:shd w:val="clear" w:color="auto" w:fill="CCECFF"/>
          </w:tcPr>
          <w:p>
            <w:pPr>
              <w:spacing w:after="0"/>
              <w:rPr>
                <w:sz w:val="21"/>
                <w:szCs w:val="21"/>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CFF"/>
          </w:tcPr>
          <w:p>
            <w:pPr>
              <w:spacing w:after="0"/>
              <w:rPr>
                <w:sz w:val="21"/>
                <w:szCs w:val="21"/>
                <w:color w:val="auto"/>
              </w:rPr>
            </w:pPr>
          </w:p>
        </w:tc>
      </w:tr>
      <w:tr>
        <w:trPr>
          <w:trHeight w:val="236"/>
        </w:trPr>
        <w:tc>
          <w:tcPr>
            <w:tcW w:w="8340" w:type="dxa"/>
            <w:vAlign w:val="bottom"/>
          </w:tcPr>
          <w:p>
            <w:pPr>
              <w:ind w:left="60"/>
              <w:spacing w:after="0"/>
              <w:rPr>
                <w:sz w:val="20"/>
                <w:szCs w:val="20"/>
                <w:color w:val="auto"/>
              </w:rPr>
            </w:pPr>
            <w:r>
              <w:rPr>
                <w:rFonts w:ascii="Arial" w:cs="Arial" w:eastAsia="Arial" w:hAnsi="Arial"/>
                <w:sz w:val="18"/>
                <w:szCs w:val="18"/>
                <w:color w:val="auto"/>
              </w:rPr>
              <w:t>Photo Paper Direct operating income (3)</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0"/>
                <w:szCs w:val="20"/>
                <w:color w:val="auto"/>
              </w:rPr>
            </w:pPr>
          </w:p>
        </w:tc>
      </w:tr>
      <w:tr>
        <w:trPr>
          <w:trHeight w:val="276"/>
        </w:trPr>
        <w:tc>
          <w:tcPr>
            <w:tcW w:w="8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loss (income) pro forma</w:t>
            </w: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6683375</wp:posOffset>
            </wp:positionH>
            <wp:positionV relativeFrom="paragraph">
              <wp:posOffset>-984250</wp:posOffset>
            </wp:positionV>
            <wp:extent cx="59690"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-24765</wp:posOffset>
            </wp:positionV>
            <wp:extent cx="59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-7620</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jc w:val="both"/>
        <w:ind w:left="760" w:hanging="378"/>
        <w:spacing w:after="0" w:line="255"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accompanying Consolidated Financial Statements for the year-ended December 31, 2021, net revenue, as reported, includes $33.1 million of net revenue from this acquisition. For the year-ended December 31, 2022, operating income, as reported, includes $10.7 million of operating income from this acquisition.</w:t>
      </w:r>
    </w:p>
    <w:p>
      <w:pPr>
        <w:spacing w:after="0" w:line="1" w:lineRule="exact"/>
        <w:rPr>
          <w:rFonts w:ascii="Arial" w:cs="Arial" w:eastAsia="Arial" w:hAnsi="Arial"/>
          <w:sz w:val="18"/>
          <w:szCs w:val="18"/>
          <w:color w:val="auto"/>
        </w:rPr>
      </w:pPr>
    </w:p>
    <w:p>
      <w:pPr>
        <w:jc w:val="both"/>
        <w:ind w:left="760" w:hanging="378"/>
        <w:spacing w:after="0" w:line="250"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accompanying Consolidated Financial Statements for the year-ended December 31, 2021, net revenue, as reported includes $10.1 million of net revenue from this acquisition. For the year-ended December 31, 2022, operating income, as reported, includes $4.2 million of operating income from this acquisition</w:t>
      </w:r>
    </w:p>
    <w:p>
      <w:pPr>
        <w:jc w:val="both"/>
        <w:ind w:left="760" w:hanging="378"/>
        <w:spacing w:after="0" w:line="255"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accompanying Consolidated Financial Statements for the year-ended December 31, 2021, net revenue, as reported includes $11.6 million of net revenue from this acquisition. For the year-ended December 31, 2022, operating loss, as reported, includes $1.3 million of operating income from this acquisition.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engaged a third-party valuation specialist to perform a valuation of the intangible assets acquired for all acquisitions. In performing the valuation, the Company’s management assessed the reasonableness of the projected financial information (“PFI”) by comparing it to the Company’s historical results and financial information for a peer group of the most similar public companies. Based on this review, the Company’s management determined the PFI is reasonable for business and intangible asset valuation purposes.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Step and Go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4, 2022, the Company acquired Step and Go, a brand in the health and wellness category, for $0.7 million. The acquisition is deemed immaterial to the Company’s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Liability Considerations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 2020, the Company acquired the assets of leading e-commerce business brands Mueller, Pursteam, Pohl and Schmitt, and Spiralizer (the “Smash Assets”) for total consideration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part of the acquisition of the Smash Assets, the sellers of the Smash Assets are entitled to earn-out payments based on the achievement of certain contribution margin thresholds on certain products of the acquired business. Earn-out payments will be due to the sellers for year one, or calendar year 2022 in the first quarter of 2022, and year two, or calendar year 2022, will be due in the first quarter of 2023. For the year-ended December 31, 2022 (year one of the earn-out), the earn-out payment will be calculated based on the contribution margin generated on certain products for an amount equal to $1.67 for every $1.00 of such contribution margin that is greater than $15.5 million and less than or equal to $18.5 million. Such earn-out payment cannot exceed $5.0 million. In addition, during the year-ending December 31, 2022 (year two of the earn-out), for each $0.5 million of contribution margin generated on certain products in excess of $15.5 million, subject to a cap of $27.5 million, the sellers shall be entitled to receive an amount in cash equal to the value of 0.1 million shares of the Company’s common stock multiplied by the average of the volume-weighted-average closing price per share of the Company’s common stock, for the 30 consecutive trading days ending on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fair value amount of the earn-out payment was approximately $5.2 million. As of December 31, 2022, there is no remaining earn-out liability related to Smash assets as earn-out payment was not earned.</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acquisition of the Healing Solutions Assets, Healing Solutions was entitled to earn-out payments based on the achievement of certain contribution margin thresholds on certain products of the acquired business. If the earn-out consideration event occurred: (i) prior to the date that is nine months following the Closing Date, the Company will issue 528,670 shares of its common stock to Healing Solutions; (ii) on or after the date that is nine months following the Closing Date but before the date that is 12 months following the Closing Date, the Company was to issue 396,502 shares of common stock to Healing Solutions; or (iii) on or after the date that is 12 months following the Closing Date but before the date that is 15 months following the Closing Date (the date that is 15 months following the Closing Date, the “Earn-Out Termination Date”), the Company was to issue 264,335 shares of common stock to Healing Solutions; or after 15 months, the Company would not had any obligation to issue any shares of its common stock to Healing Solutions.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 2021, the acquisition date, the initial fair value amount of the earn-out payment with respect to the Healing Solutions Assets was appropriately $16.5 million. In November 2021, the Company issued 1.4 million shares of common stock in full settlement of the earn-out. As of December 31, 2022 there is no remaining earn-out liability related to Healing Solutions.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acquisition of the Squatty Potty Assets, Squatty Potty is entitled to earn-out payments based on the achievement of certain contribution margin thresholds on certain products of the acquired business. If the earn-out consideration event occurs in 12 months ended December 31, 2021, the maximum payment amount is $3.9 million and if the termination of the transition service agreement is prior to the date that is nine months following the Closing Date, an additional $3.9 million.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5, 2021, the acquisition date, the initial fair value amount of the earn-out payment with respect to the Squatty Potty Assets was appropriately $3.5 million. As of December 31, 2022, there is no remaining earn-out liability related to Squatty Potty.</w:t>
      </w:r>
    </w:p>
    <w:p>
      <w:pPr>
        <w:spacing w:after="0" w:line="1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May 5, 2021, the acquisition date of Photo Paper Direct Ltd. (“Photo Paper Direct”), the initial fair value amount of the earn-out payment with respect to the Photo Paper Direct acquisition was appropriately $0.9 million. As of December 31, 2021 and 2022, the fair value amount of the earn-out payment with respect to the Photo Paper Direct acquisition was zero as earn-out payment was not earned.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line="277" w:lineRule="auto"/>
        <w:rPr>
          <w:sz w:val="20"/>
          <w:szCs w:val="20"/>
          <w:color w:val="auto"/>
        </w:rPr>
      </w:pPr>
      <w:r>
        <w:rPr>
          <w:rFonts w:ascii="Arial" w:cs="Arial" w:eastAsia="Arial" w:hAnsi="Arial"/>
          <w:sz w:val="18"/>
          <w:szCs w:val="18"/>
          <w:color w:val="auto"/>
        </w:rPr>
        <w:t>The following table summarizes the changes in the carrying value of estimated contingent earn-out liabilities (in thousands) as of December 31, 2022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80" w:type="dxa"/>
            <w:vAlign w:val="bottom"/>
            <w:gridSpan w:val="11"/>
          </w:tcPr>
          <w:p>
            <w:pPr>
              <w:jc w:val="right"/>
              <w:ind w:right="1050"/>
              <w:spacing w:after="0"/>
              <w:rPr>
                <w:sz w:val="20"/>
                <w:szCs w:val="20"/>
                <w:color w:val="auto"/>
              </w:rPr>
            </w:pPr>
            <w:r>
              <w:rPr>
                <w:rFonts w:ascii="Arial" w:cs="Arial" w:eastAsia="Arial" w:hAnsi="Arial"/>
                <w:sz w:val="16"/>
                <w:szCs w:val="16"/>
                <w:b w:val="1"/>
                <w:bCs w:val="1"/>
                <w:color w:val="auto"/>
              </w:rPr>
              <w:t>Year-Ended December 31, 2021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Smash</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3"/>
              </w:rPr>
              <w:t>Healing</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6"/>
                <w:szCs w:val="16"/>
                <w:b w:val="1"/>
                <w:bCs w:val="1"/>
                <w:color w:val="auto"/>
                <w:w w:val="91"/>
              </w:rPr>
              <w:t>Squatty</w:t>
            </w:r>
          </w:p>
        </w:tc>
        <w:tc>
          <w:tcPr>
            <w:tcW w:w="9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5"/>
              </w:rPr>
              <w:t>Photo Paper</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Solutions</w:t>
            </w:r>
          </w:p>
        </w:tc>
        <w:tc>
          <w:tcPr>
            <w:tcW w:w="140" w:type="dxa"/>
            <w:vAlign w:val="bottom"/>
          </w:tcPr>
          <w:p>
            <w:pPr>
              <w:spacing w:after="0"/>
              <w:rPr>
                <w:sz w:val="19"/>
                <w:szCs w:val="19"/>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Potty</w:t>
            </w:r>
          </w:p>
        </w:tc>
        <w:tc>
          <w:tcPr>
            <w:tcW w:w="180" w:type="dxa"/>
            <w:vAlign w:val="bottom"/>
          </w:tcPr>
          <w:p>
            <w:pPr>
              <w:spacing w:after="0"/>
              <w:rPr>
                <w:sz w:val="19"/>
                <w:szCs w:val="19"/>
                <w:color w:val="auto"/>
              </w:rPr>
            </w:pPr>
          </w:p>
        </w:tc>
        <w:tc>
          <w:tcPr>
            <w:tcW w:w="1280" w:type="dxa"/>
            <w:vAlign w:val="bottom"/>
            <w:gridSpan w:val="4"/>
          </w:tcPr>
          <w:p>
            <w:pPr>
              <w:jc w:val="right"/>
              <w:ind w:right="690"/>
              <w:spacing w:after="0"/>
              <w:rPr>
                <w:sz w:val="20"/>
                <w:szCs w:val="20"/>
                <w:color w:val="auto"/>
              </w:rPr>
            </w:pPr>
            <w:r>
              <w:rPr>
                <w:rFonts w:ascii="Arial" w:cs="Arial" w:eastAsia="Arial" w:hAnsi="Arial"/>
                <w:sz w:val="16"/>
                <w:szCs w:val="16"/>
                <w:b w:val="1"/>
                <w:bCs w:val="1"/>
                <w:color w:val="auto"/>
              </w:rPr>
              <w:t>Direct</w:t>
            </w:r>
          </w:p>
        </w:tc>
        <w:tc>
          <w:tcPr>
            <w:tcW w:w="11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Total</w:t>
            </w:r>
          </w:p>
        </w:tc>
      </w:tr>
      <w:tr>
        <w:trPr>
          <w:trHeight w:val="252"/>
        </w:trPr>
        <w:tc>
          <w:tcPr>
            <w:tcW w:w="448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Balance –January 1, 2021</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22,531</w:t>
            </w:r>
          </w:p>
        </w:tc>
        <w:tc>
          <w:tcPr>
            <w:tcW w:w="120" w:type="dxa"/>
            <w:vAlign w:val="bottom"/>
            <w:shd w:val="clear" w:color="auto" w:fill="CCECFF"/>
          </w:tcPr>
          <w:p>
            <w:pPr>
              <w:spacing w:after="0"/>
              <w:rPr>
                <w:sz w:val="21"/>
                <w:szCs w:val="21"/>
                <w:color w:val="auto"/>
              </w:rPr>
            </w:pP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CFF"/>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22,531</w:t>
            </w:r>
          </w:p>
        </w:tc>
        <w:tc>
          <w:tcPr>
            <w:tcW w:w="100" w:type="dxa"/>
            <w:vAlign w:val="bottom"/>
            <w:shd w:val="clear" w:color="auto" w:fill="CCECFF"/>
          </w:tcPr>
          <w:p>
            <w:pPr>
              <w:spacing w:after="0"/>
              <w:rPr>
                <w:sz w:val="21"/>
                <w:szCs w:val="21"/>
                <w:color w:val="auto"/>
              </w:rPr>
            </w:pPr>
          </w:p>
        </w:tc>
      </w:tr>
      <w:tr>
        <w:trPr>
          <w:trHeight w:val="215"/>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Acquisition date fair value of contingent earn-out</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liabilities and inventory to be settled in shares</w:t>
            </w:r>
          </w:p>
        </w:tc>
        <w:tc>
          <w:tcPr>
            <w:tcW w:w="28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16,558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20,971</w:t>
            </w:r>
          </w:p>
        </w:tc>
        <w:tc>
          <w:tcPr>
            <w:tcW w:w="100" w:type="dxa"/>
            <w:vAlign w:val="bottom"/>
          </w:tcPr>
          <w:p>
            <w:pPr>
              <w:spacing w:after="0"/>
              <w:rPr>
                <w:sz w:val="20"/>
                <w:szCs w:val="20"/>
                <w:color w:val="auto"/>
              </w:rPr>
            </w:pPr>
          </w:p>
        </w:tc>
      </w:tr>
      <w:tr>
        <w:trPr>
          <w:trHeight w:val="249"/>
        </w:trPr>
        <w:tc>
          <w:tcPr>
            <w:tcW w:w="448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Change in fair value of contingent earn-out liabilities</w:t>
            </w:r>
          </w:p>
        </w:tc>
        <w:tc>
          <w:tcPr>
            <w:tcW w:w="28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(17,291 )</w:t>
            </w:r>
          </w:p>
        </w:tc>
        <w:tc>
          <w:tcPr>
            <w:tcW w:w="1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(12,808 )</w:t>
            </w: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(911 )</w:t>
            </w:r>
          </w:p>
        </w:tc>
        <w:tc>
          <w:tcPr>
            <w:tcW w:w="1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(30,529 )</w:t>
            </w:r>
          </w:p>
        </w:tc>
      </w:tr>
      <w:tr>
        <w:trPr>
          <w:trHeight w:val="243"/>
        </w:trPr>
        <w:tc>
          <w:tcPr>
            <w:tcW w:w="4480" w:type="dxa"/>
            <w:vAlign w:val="bottom"/>
            <w:gridSpan w:val="2"/>
          </w:tcPr>
          <w:p>
            <w:pPr>
              <w:ind w:left="60"/>
              <w:spacing w:after="0"/>
              <w:rPr>
                <w:sz w:val="20"/>
                <w:szCs w:val="20"/>
                <w:color w:val="auto"/>
              </w:rPr>
            </w:pPr>
            <w:r>
              <w:rPr>
                <w:rFonts w:ascii="Arial" w:cs="Arial" w:eastAsia="Arial" w:hAnsi="Arial"/>
                <w:sz w:val="18"/>
                <w:szCs w:val="18"/>
                <w:color w:val="auto"/>
              </w:rPr>
              <w:t>Payment of contingent earn-out liability</w:t>
            </w:r>
          </w:p>
        </w:tc>
        <w:tc>
          <w:tcPr>
            <w:tcW w:w="28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(3,750 )</w:t>
            </w:r>
          </w:p>
        </w:tc>
        <w:tc>
          <w:tcPr>
            <w:tcW w:w="140" w:type="dxa"/>
            <w:vAlign w:val="bottom"/>
          </w:tcPr>
          <w:p>
            <w:pPr>
              <w:spacing w:after="0"/>
              <w:rPr>
                <w:sz w:val="21"/>
                <w:szCs w:val="21"/>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4"/>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(3,750 )</w:t>
            </w:r>
          </w:p>
        </w:tc>
      </w:tr>
      <w:tr>
        <w:trPr>
          <w:trHeight w:val="270"/>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Balance—December 31, 2021</w:t>
            </w:r>
          </w:p>
        </w:tc>
        <w:tc>
          <w:tcPr>
            <w:tcW w:w="180" w:type="dxa"/>
            <w:vAlign w:val="bottom"/>
            <w:tcBorders>
              <w:bottom w:val="single" w:sz="8" w:color="CCECFF"/>
            </w:tcBorders>
            <w:shd w:val="clear" w:color="auto" w:fill="CCECFF"/>
          </w:tcPr>
          <w:p>
            <w:pPr>
              <w:spacing w:after="0"/>
              <w:rPr>
                <w:sz w:val="23"/>
                <w:szCs w:val="23"/>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5,240</w:t>
            </w:r>
          </w:p>
        </w:tc>
        <w:tc>
          <w:tcPr>
            <w:tcW w:w="120" w:type="dxa"/>
            <w:vAlign w:val="bottom"/>
            <w:tcBorders>
              <w:bottom w:val="single" w:sz="8" w:color="CCECFF"/>
            </w:tcBorders>
            <w:shd w:val="clear" w:color="auto" w:fill="CCECFF"/>
          </w:tcPr>
          <w:p>
            <w:pPr>
              <w:spacing w:after="0"/>
              <w:rPr>
                <w:sz w:val="23"/>
                <w:szCs w:val="23"/>
                <w:color w:val="auto"/>
              </w:rPr>
            </w:pPr>
          </w:p>
        </w:tc>
        <w:tc>
          <w:tcPr>
            <w:tcW w:w="140" w:type="dxa"/>
            <w:vAlign w:val="bottom"/>
            <w:tcBorders>
              <w:bottom w:val="single" w:sz="8" w:color="CCECFF"/>
            </w:tcBorders>
            <w:shd w:val="clear" w:color="auto" w:fill="CCECFF"/>
          </w:tcPr>
          <w:p>
            <w:pPr>
              <w:spacing w:after="0"/>
              <w:rPr>
                <w:sz w:val="23"/>
                <w:szCs w:val="23"/>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CFF"/>
            </w:tcBorders>
            <w:shd w:val="clear" w:color="auto" w:fill="CCECFF"/>
          </w:tcPr>
          <w:p>
            <w:pPr>
              <w:spacing w:after="0"/>
              <w:rPr>
                <w:sz w:val="23"/>
                <w:szCs w:val="23"/>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Borders>
              <w:bottom w:val="single" w:sz="8" w:color="CCECFF"/>
            </w:tcBorders>
            <w:shd w:val="clear" w:color="auto" w:fill="CCECFF"/>
          </w:tcPr>
          <w:p>
            <w:pPr>
              <w:spacing w:after="0"/>
              <w:rPr>
                <w:sz w:val="23"/>
                <w:szCs w:val="23"/>
                <w:color w:val="auto"/>
              </w:rPr>
            </w:pPr>
          </w:p>
        </w:tc>
        <w:tc>
          <w:tcPr>
            <w:tcW w:w="16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top w:val="single" w:sz="8" w:color="auto"/>
              <w:bottom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gridSpan w:val="2"/>
            <w:shd w:val="clear" w:color="auto" w:fill="CCECFF"/>
          </w:tcPr>
          <w:p>
            <w:pPr>
              <w:spacing w:after="0"/>
              <w:rPr>
                <w:sz w:val="23"/>
                <w:szCs w:val="23"/>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Borders>
              <w:bottom w:val="single" w:sz="8" w:color="CCECFF"/>
            </w:tcBorders>
            <w:shd w:val="clear" w:color="auto" w:fill="CCECFF"/>
          </w:tcPr>
          <w:p>
            <w:pPr>
              <w:spacing w:after="0"/>
              <w:rPr>
                <w:sz w:val="23"/>
                <w:szCs w:val="23"/>
                <w:color w:val="auto"/>
              </w:rPr>
            </w:pPr>
          </w:p>
        </w:tc>
      </w:tr>
      <w:tr>
        <w:trPr>
          <w:trHeight w:val="695"/>
        </w:trPr>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6"/>
                <w:szCs w:val="16"/>
                <w:b w:val="1"/>
                <w:bCs w:val="1"/>
                <w:color w:val="auto"/>
              </w:rPr>
              <w:t>Year-ended December 31, 2022</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Smash</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Squatty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Potty</w:t>
            </w:r>
          </w:p>
        </w:tc>
        <w:tc>
          <w:tcPr>
            <w:tcW w:w="140" w:type="dxa"/>
            <w:vAlign w:val="bottom"/>
          </w:tcPr>
          <w:p>
            <w:pPr>
              <w:spacing w:after="0"/>
              <w:rPr>
                <w:sz w:val="19"/>
                <w:szCs w:val="19"/>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4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Balance—January 1, 2022</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1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10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contingent earn-out liabilities</w:t>
            </w:r>
          </w:p>
        </w:tc>
        <w:tc>
          <w:tcPr>
            <w:tcW w:w="2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(5,240 )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(5,240 )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Payment of contingent earn-out liability</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(3,983 )</w:t>
            </w: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(3,983 )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48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Balance—December 31, 2022</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-1412240</wp:posOffset>
            </wp:positionV>
            <wp:extent cx="3364865" cy="1412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4865" cy="141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GOODWILL AND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changes in the Company’s intangible assets as of December 31, 2021 and December 31, 2022 (in thousands):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7"/>
              </w:rPr>
              <w:t>For the Year-Ended December 31, 2021</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Pr>
          <w:p>
            <w:pPr>
              <w:spacing w:after="0"/>
              <w:rPr>
                <w:sz w:val="16"/>
                <w:szCs w:val="16"/>
                <w:color w:val="auto"/>
              </w:rPr>
            </w:pPr>
          </w:p>
        </w:tc>
      </w:tr>
      <w:tr>
        <w:trPr>
          <w:trHeight w:val="169"/>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Gross Carrying Amount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Additions</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Net Book Value</w:t>
            </w:r>
          </w:p>
        </w:tc>
        <w:tc>
          <w:tcPr>
            <w:tcW w:w="100" w:type="dxa"/>
            <w:vAlign w:val="bottom"/>
          </w:tcPr>
          <w:p>
            <w:pPr>
              <w:spacing w:after="0"/>
              <w:rPr>
                <w:sz w:val="14"/>
                <w:szCs w:val="14"/>
                <w:color w:val="auto"/>
              </w:rPr>
            </w:pPr>
          </w:p>
        </w:tc>
      </w:tr>
      <w:tr>
        <w:trPr>
          <w:trHeight w:val="236"/>
        </w:trPr>
        <w:tc>
          <w:tcPr>
            <w:tcW w:w="444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CFF"/>
          </w:tcPr>
          <w:p>
            <w:pPr>
              <w:jc w:val="right"/>
              <w:ind w:right="19"/>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47,318</w:t>
            </w:r>
          </w:p>
        </w:tc>
        <w:tc>
          <w:tcPr>
            <w:tcW w:w="120" w:type="dxa"/>
            <w:vAlign w:val="bottom"/>
            <w:shd w:val="clear" w:color="auto" w:fill="CCECFF"/>
          </w:tcPr>
          <w:p>
            <w:pPr>
              <w:spacing w:after="0"/>
              <w:rPr>
                <w:sz w:val="20"/>
                <w:szCs w:val="20"/>
                <w:color w:val="auto"/>
              </w:rPr>
            </w:pPr>
          </w:p>
        </w:tc>
        <w:tc>
          <w:tcPr>
            <w:tcW w:w="380" w:type="dxa"/>
            <w:vAlign w:val="bottom"/>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72,623</w:t>
            </w:r>
          </w:p>
        </w:tc>
        <w:tc>
          <w:tcPr>
            <w:tcW w:w="100" w:type="dxa"/>
            <w:vAlign w:val="bottom"/>
            <w:shd w:val="clear" w:color="auto" w:fill="CCECFF"/>
          </w:tcPr>
          <w:p>
            <w:pPr>
              <w:spacing w:after="0"/>
              <w:rPr>
                <w:sz w:val="20"/>
                <w:szCs w:val="20"/>
                <w:color w:val="auto"/>
              </w:rPr>
            </w:pPr>
          </w:p>
        </w:tc>
        <w:tc>
          <w:tcPr>
            <w:tcW w:w="3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119,941</w:t>
            </w:r>
          </w:p>
        </w:tc>
        <w:tc>
          <w:tcPr>
            <w:tcW w:w="100" w:type="dxa"/>
            <w:vAlign w:val="bottom"/>
            <w:shd w:val="clear" w:color="auto" w:fill="CCECFF"/>
          </w:tcPr>
          <w:p>
            <w:pPr>
              <w:spacing w:after="0"/>
              <w:rPr>
                <w:sz w:val="20"/>
                <w:szCs w:val="20"/>
                <w:color w:val="auto"/>
              </w:rPr>
            </w:pPr>
          </w:p>
        </w:tc>
      </w:tr>
      <w:tr>
        <w:trPr>
          <w:trHeight w:val="472"/>
        </w:trPr>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December 31, 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w w:val="97"/>
              </w:rPr>
              <w:t>For the Year-Ended December 31, 2022</w:t>
            </w:r>
          </w:p>
        </w:tc>
        <w:tc>
          <w:tcPr>
            <w:tcW w:w="280" w:type="dxa"/>
            <w:vAlign w:val="bottom"/>
            <w:gridSpan w:val="2"/>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24"/>
                <w:szCs w:val="24"/>
                <w:color w:val="auto"/>
              </w:rPr>
            </w:pPr>
          </w:p>
        </w:tc>
      </w:tr>
      <w:tr>
        <w:trPr>
          <w:trHeight w:val="223"/>
        </w:trPr>
        <w:tc>
          <w:tcPr>
            <w:tcW w:w="4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Gross Carrying Amount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22"/>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Impairments</w:t>
            </w:r>
          </w:p>
        </w:tc>
        <w:tc>
          <w:tcPr>
            <w:tcW w:w="140" w:type="dxa"/>
            <w:vAlign w:val="bottom"/>
          </w:tcPr>
          <w:p>
            <w:pPr>
              <w:spacing w:after="0"/>
              <w:rPr>
                <w:sz w:val="19"/>
                <w:szCs w:val="19"/>
                <w:color w:val="auto"/>
              </w:rPr>
            </w:pPr>
          </w:p>
        </w:tc>
        <w:tc>
          <w:tcPr>
            <w:tcW w:w="120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Net Book Value</w:t>
            </w:r>
          </w:p>
        </w:tc>
        <w:tc>
          <w:tcPr>
            <w:tcW w:w="100" w:type="dxa"/>
            <w:vAlign w:val="bottom"/>
          </w:tcPr>
          <w:p>
            <w:pPr>
              <w:spacing w:after="0"/>
              <w:rPr>
                <w:sz w:val="19"/>
                <w:szCs w:val="19"/>
                <w:color w:val="auto"/>
              </w:rPr>
            </w:pPr>
          </w:p>
        </w:tc>
      </w:tr>
      <w:tr>
        <w:trPr>
          <w:trHeight w:val="23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CFF"/>
          </w:tcPr>
          <w:p>
            <w:pPr>
              <w:spacing w:after="0"/>
              <w:rPr>
                <w:sz w:val="20"/>
                <w:szCs w:val="20"/>
                <w:color w:val="auto"/>
              </w:rPr>
            </w:pPr>
          </w:p>
        </w:tc>
        <w:tc>
          <w:tcPr>
            <w:tcW w:w="200" w:type="dxa"/>
            <w:vAlign w:val="bottom"/>
            <w:tcBorders>
              <w:top w:val="single" w:sz="8" w:color="auto"/>
            </w:tcBorders>
            <w:shd w:val="clear" w:color="auto" w:fill="CCECFF"/>
          </w:tcPr>
          <w:p>
            <w:pPr>
              <w:jc w:val="right"/>
              <w:ind w:right="19"/>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119,941</w:t>
            </w:r>
          </w:p>
        </w:tc>
        <w:tc>
          <w:tcPr>
            <w:tcW w:w="280" w:type="dxa"/>
            <w:vAlign w:val="bottom"/>
            <w:gridSpan w:val="2"/>
            <w:shd w:val="clear" w:color="auto" w:fill="CCECFF"/>
          </w:tcPr>
          <w:p>
            <w:pPr>
              <w:spacing w:after="0"/>
              <w:rPr>
                <w:sz w:val="20"/>
                <w:szCs w:val="20"/>
                <w:color w:val="auto"/>
              </w:rPr>
            </w:pPr>
          </w:p>
        </w:tc>
        <w:tc>
          <w:tcPr>
            <w:tcW w:w="2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CFF"/>
          </w:tcPr>
          <w:p>
            <w:pPr>
              <w:spacing w:after="0"/>
              <w:rPr>
                <w:sz w:val="20"/>
                <w:szCs w:val="20"/>
                <w:color w:val="auto"/>
              </w:rPr>
            </w:pPr>
          </w:p>
        </w:tc>
        <w:tc>
          <w:tcPr>
            <w:tcW w:w="340" w:type="dxa"/>
            <w:vAlign w:val="bottom"/>
            <w:tcBorders>
              <w:top w:val="single" w:sz="8" w:color="auto"/>
            </w:tcBorders>
            <w:shd w:val="clear" w:color="auto" w:fill="CCECFF"/>
          </w:tcPr>
          <w:p>
            <w:pPr>
              <w:spacing w:after="0"/>
              <w:rPr>
                <w:sz w:val="20"/>
                <w:szCs w:val="20"/>
                <w:color w:val="auto"/>
              </w:rPr>
            </w:pP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(120,409</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0"/>
                <w:szCs w:val="20"/>
                <w:color w:val="auto"/>
              </w:rPr>
            </w:pPr>
          </w:p>
        </w:tc>
      </w:tr>
    </w:tbl>
    <w:p>
      <w:pPr>
        <w:spacing w:after="0" w:line="201" w:lineRule="exact"/>
        <w:rPr>
          <w:sz w:val="20"/>
          <w:szCs w:val="20"/>
          <w:color w:val="auto"/>
        </w:rPr>
      </w:pPr>
    </w:p>
    <w:p>
      <w:pPr>
        <w:jc w:val="both"/>
        <w:ind w:left="520" w:hanging="3"/>
        <w:spacing w:after="0" w:line="271" w:lineRule="auto"/>
        <w:tabs>
          <w:tab w:leader="none" w:pos="78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evaluated current economic conditions during 2022, including the impact of the Federal Reserve further increasing the risk-free interest rate, as well as the inflationary pressure on product and labor costs and operational impacts attributable to continued global supply chain disruptions. The Company believes that these conditions were factors in our market capitalization falling below the book value of net assets during the fiscal quarters ending March 31, 2022 and September 30, 2022. Accordingly, the Company concluded a triggering event had occurred in each of these periods and performed interim goodwill impairment analyses. As a result, the Company recorded a goodwill impairment charge of approximately $29.0 million and $90.9 during the three months ended March 31, 2022 and September 30, 2022, respectively. There was no remaining goodwill on the balance sheet as of September 30, 2022.</w:t>
      </w:r>
    </w:p>
    <w:p>
      <w:pPr>
        <w:spacing w:after="0" w:line="73" w:lineRule="exact"/>
        <w:rPr>
          <w:sz w:val="20"/>
          <w:szCs w:val="20"/>
          <w:color w:val="auto"/>
        </w:rPr>
      </w:pPr>
    </w:p>
    <w:p>
      <w:pPr>
        <w:jc w:val="both"/>
        <w:ind w:left="520"/>
        <w:spacing w:after="0" w:line="256" w:lineRule="auto"/>
        <w:rPr>
          <w:sz w:val="20"/>
          <w:szCs w:val="20"/>
          <w:color w:val="auto"/>
        </w:rPr>
      </w:pPr>
      <w:r>
        <w:rPr>
          <w:rFonts w:ascii="Arial" w:cs="Arial" w:eastAsia="Arial" w:hAnsi="Arial"/>
          <w:sz w:val="18"/>
          <w:szCs w:val="18"/>
          <w:color w:val="auto"/>
        </w:rPr>
        <w:t>On October 4, 2022, the Company acquired Step and Go, a brand in the health and Wellness category, for $0.7 million. As part of the purchase price allocation of the acquisition, $0.5 million was attributed to goodwill. As our market capitalization was further reduced below net assets as of December 31, 2022, we concluded a triggering event has occurred to test goodwill, an impairment loss on goodwill of $0.5 million was recorded for the three months ended December 31, 2022, which is included in impairment loss on goodwill in the Consolidated Statement of Operations for the year-ended December 31, 2022.</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goodwill impairment charge was approximately $120.4 million for the year-ended December 31,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The following tables summarize the changes in the Company’s intangible assets as of December 31, 2021 and December 31, 2022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3"/>
              </w:rPr>
              <w:t>January 1, 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Year-Ended December 31, 2021</w:t>
            </w:r>
          </w:p>
        </w:tc>
        <w:tc>
          <w:tcPr>
            <w:tcW w:w="240" w:type="dxa"/>
            <w:vAlign w:val="bottom"/>
            <w:gridSpan w:val="2"/>
            <w:vMerge w:val="restart"/>
          </w:tcPr>
          <w:p>
            <w:pPr>
              <w:spacing w:after="0"/>
              <w:rPr>
                <w:sz w:val="14"/>
                <w:szCs w:val="14"/>
                <w:color w:val="auto"/>
              </w:rPr>
            </w:pPr>
          </w:p>
        </w:tc>
        <w:tc>
          <w:tcPr>
            <w:tcW w:w="13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12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1"/>
                <w:szCs w:val="11"/>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Impairments (1)</w:t>
            </w: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3"/>
              </w:rPr>
              <w:t>Net Book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120" w:type="dxa"/>
            <w:vAlign w:val="bottom"/>
            <w:shd w:val="clear" w:color="auto" w:fill="CFF0FC"/>
          </w:tcPr>
          <w:p>
            <w:pPr>
              <w:spacing w:after="0"/>
              <w:rPr>
                <w:sz w:val="20"/>
                <w:szCs w:val="20"/>
                <w:color w:val="auto"/>
              </w:rPr>
            </w:pPr>
          </w:p>
        </w:tc>
        <w:tc>
          <w:tcPr>
            <w:tcW w:w="3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34,100</w:t>
            </w:r>
          </w:p>
        </w:tc>
        <w:tc>
          <w:tcPr>
            <w:tcW w:w="12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8"/>
                <w:szCs w:val="18"/>
                <w:color w:val="auto"/>
              </w:rPr>
              <w:t>Non-competition agreement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Transition services agreement</w:t>
            </w: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8"/>
                <w:szCs w:val="18"/>
                <w:color w:val="auto"/>
              </w:rPr>
              <w:t>Customer relations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(700 )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8"/>
                <w:szCs w:val="18"/>
                <w:color w:val="auto"/>
              </w:rPr>
              <w:t>Total intangibles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31,944</w:t>
            </w:r>
          </w:p>
        </w:tc>
        <w:tc>
          <w:tcPr>
            <w:tcW w:w="12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40,500</w:t>
            </w:r>
          </w:p>
        </w:tc>
        <w:tc>
          <w:tcPr>
            <w:tcW w:w="120" w:type="dxa"/>
            <w:vAlign w:val="bottom"/>
          </w:tcPr>
          <w:p>
            <w:pPr>
              <w:spacing w:after="0"/>
              <w:rPr>
                <w:sz w:val="20"/>
                <w:szCs w:val="20"/>
                <w:color w:val="auto"/>
              </w:rPr>
            </w:pPr>
          </w:p>
        </w:tc>
        <w:tc>
          <w:tcPr>
            <w:tcW w:w="5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(7,489 )</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64,955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3"/>
              </w:rPr>
              <w:t>January 1, 2022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Year-Ended December 31, 2022</w:t>
            </w:r>
          </w:p>
        </w:tc>
        <w:tc>
          <w:tcPr>
            <w:tcW w:w="240" w:type="dxa"/>
            <w:vAlign w:val="bottom"/>
            <w:gridSpan w:val="2"/>
            <w:vMerge w:val="restart"/>
          </w:tcPr>
          <w:p>
            <w:pPr>
              <w:spacing w:after="0"/>
              <w:rPr>
                <w:sz w:val="24"/>
                <w:szCs w:val="24"/>
                <w:color w:val="auto"/>
              </w:rPr>
            </w:pPr>
          </w:p>
        </w:tc>
        <w:tc>
          <w:tcPr>
            <w:tcW w:w="13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24"/>
                <w:szCs w:val="24"/>
                <w:color w:val="auto"/>
              </w:rPr>
            </w:pPr>
          </w:p>
        </w:tc>
        <w:tc>
          <w:tcPr>
            <w:tcW w:w="12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1"/>
                <w:szCs w:val="11"/>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Impairments (1)</w:t>
            </w: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3"/>
              </w:rPr>
              <w:t>Net Book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65,910</w:t>
            </w: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8"/>
                <w:szCs w:val="18"/>
                <w:color w:val="auto"/>
              </w:rPr>
              <w:t>Non-competition agreement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Transition services agreement</w:t>
            </w: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8"/>
                <w:szCs w:val="18"/>
                <w:color w:val="auto"/>
              </w:rPr>
              <w:t>Customer relations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(950 )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(700 )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8"/>
                <w:szCs w:val="18"/>
                <w:color w:val="auto"/>
              </w:rPr>
              <w:t>Total intangibles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72,444</w:t>
            </w:r>
          </w:p>
        </w:tc>
        <w:tc>
          <w:tcPr>
            <w:tcW w:w="12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5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(3,118 )</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(14,761 )</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-1729105</wp:posOffset>
            </wp:positionV>
            <wp:extent cx="76835" cy="3422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-1729105</wp:posOffset>
            </wp:positionV>
            <wp:extent cx="76835" cy="770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77089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-1729105</wp:posOffset>
            </wp:positionV>
            <wp:extent cx="68580" cy="770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77089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-1729105</wp:posOffset>
            </wp:positionV>
            <wp:extent cx="68580" cy="770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770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770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770890"/>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-187960</wp:posOffset>
            </wp:positionV>
            <wp:extent cx="76835"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-187960</wp:posOffset>
            </wp:positionV>
            <wp:extent cx="76835"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-187960</wp:posOffset>
            </wp:positionV>
            <wp:extent cx="68580"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-187960</wp:posOffset>
            </wp:positionV>
            <wp:extent cx="68580"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ind w:left="520" w:hanging="3"/>
        <w:spacing w:after="0" w:line="255" w:lineRule="auto"/>
        <w:tabs>
          <w:tab w:leader="none" w:pos="7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asset groups experienced a significant decrease in sales and contribution margin through September 30, 2022. This was considered an interim triggering event for the three months ended September 30, 2022. Based on the analysis of comparing the undiscounted cash flow to the carrying value of the asset group, one group tested indicated that the assets may not be recoverable. For this asset group, the Company compared the fair value to the carrying amount of the asset group and recorded an intangible impairment charge of $3.1 million. The Company did not have a triggering event during the three months ended December 31, 2022. For the year-ended December 31, 2022, the total impairment charge for intangibles was $3.1 million.</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estimated aggregate amortization of our in-place intangible assets and favorable intangible assets for the next five years and thereafter (amounts in thousands):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180" w:type="dxa"/>
            <w:vAlign w:val="bottom"/>
            <w:shd w:val="clear" w:color="auto" w:fill="CFF0FC"/>
          </w:tcPr>
          <w:p>
            <w:pPr>
              <w:jc w:val="right"/>
              <w:ind w:right="9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FF0FC"/>
          </w:tcPr>
          <w:p>
            <w:pPr>
              <w:spacing w:after="0"/>
              <w:rPr>
                <w:sz w:val="21"/>
                <w:szCs w:val="2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2024</w:t>
            </w:r>
          </w:p>
        </w:tc>
        <w:tc>
          <w:tcPr>
            <w:tcW w:w="1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6,801</w:t>
            </w:r>
          </w:p>
        </w:tc>
        <w:tc>
          <w:tcPr>
            <w:tcW w:w="100" w:type="dxa"/>
            <w:vAlign w:val="bottom"/>
          </w:tcPr>
          <w:p>
            <w:pPr>
              <w:spacing w:after="0"/>
              <w:rPr>
                <w:sz w:val="20"/>
                <w:szCs w:val="20"/>
                <w:color w:val="auto"/>
              </w:rPr>
            </w:pPr>
          </w:p>
        </w:tc>
      </w:tr>
      <w:tr>
        <w:trPr>
          <w:trHeight w:val="249"/>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1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100" w:type="dxa"/>
            <w:vAlign w:val="bottom"/>
            <w:shd w:val="clear" w:color="auto" w:fill="CFF0FC"/>
          </w:tcPr>
          <w:p>
            <w:pPr>
              <w:spacing w:after="0"/>
              <w:rPr>
                <w:sz w:val="21"/>
                <w:szCs w:val="2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2026</w:t>
            </w:r>
          </w:p>
        </w:tc>
        <w:tc>
          <w:tcPr>
            <w:tcW w:w="1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20"/>
                <w:szCs w:val="20"/>
                <w:color w:val="auto"/>
              </w:rPr>
            </w:pPr>
          </w:p>
        </w:tc>
      </w:tr>
      <w:tr>
        <w:trPr>
          <w:trHeight w:val="236"/>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118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54,757</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3422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90" cy="34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 13a-15(f)). Our principal executive officer and principal financial officer have concluded, based on their evaluation, that our disclosure controls and procedures were effective as of December 31, 2022. This Annual Report does not include an attestation report of our registered public accounting firm. Our independent registered public accounting firm will not be required to formally attest to the effectiveness of our internal control over financial reporting as long as we are an “emerging growth company” pursuant to the provisions of the JOBS Act.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 13a-15(f)).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Annual Report. Our internal control over financial reporting is designed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Our disclosure controls and procedures are designed to provide reasonable assurance of achieving their control objectives.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2022. In making this assessment, management used the criteria set forth in 2013 by the Committee of Sponsoring Organizations of the Treadway Commission (“COSO”) in “Internal Control-Integrated Framework.” Based on management’s assessment using the COSO criteria, management has concluded that our internal control over financial reporting was effective as of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2022 that have materially affected, or are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17"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executive officers and directors as of December 31, 2022:</w:t>
      </w: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3"/>
                <w:szCs w:val="23"/>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2"/>
              </w:rPr>
              <w:t>Age</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2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Position(s)</w:t>
            </w:r>
          </w:p>
        </w:tc>
      </w:tr>
      <w:tr>
        <w:trPr>
          <w:trHeight w:val="184"/>
        </w:trPr>
        <w:tc>
          <w:tcPr>
            <w:tcW w:w="3660" w:type="dxa"/>
            <w:vAlign w:val="bottom"/>
          </w:tcPr>
          <w:p>
            <w:pPr>
              <w:spacing w:after="0" w:line="183" w:lineRule="exact"/>
              <w:rPr>
                <w:sz w:val="20"/>
                <w:szCs w:val="20"/>
                <w:color w:val="auto"/>
              </w:rPr>
            </w:pPr>
            <w:r>
              <w:rPr>
                <w:rFonts w:ascii="Arial" w:cs="Arial" w:eastAsia="Arial" w:hAnsi="Arial"/>
                <w:sz w:val="18"/>
                <w:szCs w:val="18"/>
                <w:i w:val="1"/>
                <w:iCs w:val="1"/>
                <w:color w:val="auto"/>
              </w:rPr>
              <w:t>Executive Officers</w:t>
            </w: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20" w:type="dxa"/>
            <w:vAlign w:val="bottom"/>
          </w:tcPr>
          <w:p>
            <w:pPr>
              <w:spacing w:after="0"/>
              <w:rPr>
                <w:sz w:val="15"/>
                <w:szCs w:val="15"/>
                <w:color w:val="auto"/>
              </w:rPr>
            </w:pPr>
          </w:p>
        </w:tc>
      </w:tr>
      <w:tr>
        <w:trPr>
          <w:trHeight w:val="241"/>
        </w:trPr>
        <w:tc>
          <w:tcPr>
            <w:tcW w:w="3660" w:type="dxa"/>
            <w:vAlign w:val="bottom"/>
          </w:tcPr>
          <w:p>
            <w:pPr>
              <w:spacing w:after="0"/>
              <w:rPr>
                <w:sz w:val="20"/>
                <w:szCs w:val="20"/>
                <w:color w:val="auto"/>
              </w:rPr>
            </w:pPr>
            <w:r>
              <w:rPr>
                <w:rFonts w:ascii="Arial" w:cs="Arial" w:eastAsia="Arial" w:hAnsi="Arial"/>
                <w:sz w:val="18"/>
                <w:szCs w:val="18"/>
                <w:color w:val="auto"/>
              </w:rPr>
              <w:t>Yaniv Sarig</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President and Chief Executive Officer, Director</w:t>
            </w: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Arturo Rodriguez</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Joseph A. Risico</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Legal Officer and Head of M&amp;A</w:t>
            </w: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Mihal Chaouat-Fix</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Roi Zahut</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458"/>
        </w:trPr>
        <w:tc>
          <w:tcPr>
            <w:tcW w:w="3660" w:type="dxa"/>
            <w:vAlign w:val="bottom"/>
          </w:tcPr>
          <w:p>
            <w:pPr>
              <w:spacing w:after="0"/>
              <w:rPr>
                <w:sz w:val="20"/>
                <w:szCs w:val="20"/>
                <w:color w:val="auto"/>
              </w:rPr>
            </w:pPr>
            <w:r>
              <w:rPr>
                <w:rFonts w:ascii="Arial" w:cs="Arial" w:eastAsia="Arial" w:hAnsi="Arial"/>
                <w:sz w:val="18"/>
                <w:szCs w:val="18"/>
                <w:i w:val="1"/>
                <w:iCs w:val="1"/>
                <w:color w:val="auto"/>
              </w:rPr>
              <w:t>Non-Employee Directors</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Bari A. Harlam</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William Kurtz</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Susan Lattmann</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Sarah Liebel</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Cynthia Williams</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directors or executive officers except that Yaniv Sarig and Mihal Chaouat-Fix are siblings.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Yaniv Sarig </w:t>
      </w:r>
      <w:r>
        <w:rPr>
          <w:rFonts w:ascii="Arial" w:cs="Arial" w:eastAsia="Arial" w:hAnsi="Arial"/>
          <w:sz w:val="16"/>
          <w:szCs w:val="16"/>
          <w:color w:val="auto"/>
        </w:rPr>
        <w:t>has served as a director and our President and Chief Executive Officer since September 2018, is a co-founder of Aterian Group, Inc. (“Aterian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Opco”) and has served as a director and President and Chief Executive Officer of Aterian Opco since June 2014. Prior to co-founding Aterian, Mr. Sarig led the Financial Services Engineering department at Coverity, a leading software startup providing code quality and security solutions for top financial institutions and hedge funds in New York including NYSE, Nasdaq, JPMC and Barclays, from April 2012 to April 2014. Before joining Coverity, Mr. Sarig held lead technical roles at Bloomberg from October 2011 to April 2012 and EPIQ Systems, Inc. (Nasdaq: EPIQ), a legal process outsourcing company, from February 2006 to October 2011. Prior to moving to New York City, Mr. Sarig lived in Israel where he held various software engineering roles at startups from various industries including companies involved in digital printing solutions and military navigation systems. Mr. Sarig also served in the IDF Special Forces from November 1995 to November 1998, where he obtained the rank of Sergeant First Class. Mr. Sarig holds a Bachelor of Science in Computer Science from Touro College, is fluent in English, French, Hebrew and C++. We believe that Mr. Sarig is qualified to serve as a member of our Board of Directors (“Board”) based on the perspective and experience he brings as our co-founder and President and Chief Executive Officer.</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Arturo Rodriguez </w:t>
      </w:r>
      <w:r>
        <w:rPr>
          <w:rFonts w:ascii="Arial" w:cs="Arial" w:eastAsia="Arial" w:hAnsi="Arial"/>
          <w:sz w:val="17"/>
          <w:szCs w:val="17"/>
          <w:color w:val="auto"/>
        </w:rPr>
        <w:t>has served as our Chief Financial Officer since March 2021. Prior to that, he served as our Senior Vice President of Finance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2017. Prior to joining the Company, Mr. Rodriguez served as Chief Accounting Officer and Global Controller for Piksel, Inc. from July 2012 to September 2017 and also held the role of Interim Chief Operating Officer in 2017. From 2000 to 2011, Mr. Rodriguez held several financial leadership roles with the Atari Group, most notably Acting Chief Financial Officer of Atari, Inc. (Nasdaq: ATAR) from 2007 to 2008, and Deputy CFO of Atari SA (Euronext: ATA) from 2008 to 2010. Mr. Rodriguez started his career at Arthur Andersen LLP in 1997 and is a CPA in the State of New York. Mr. Rodriguez holds a Bachelor of Business Administration – Accounting from Hofstra University.</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Joseph A. Risico </w:t>
      </w:r>
      <w:r>
        <w:rPr>
          <w:rFonts w:ascii="Arial" w:cs="Arial" w:eastAsia="Arial" w:hAnsi="Arial"/>
          <w:sz w:val="17"/>
          <w:szCs w:val="17"/>
          <w:color w:val="auto"/>
        </w:rPr>
        <w:t>has served as our Chief Legal Officer since March 2021 and Head of M&amp;A since July 2021. Prior to that, he served as our General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Counsel since September 2018 and has served as General Counsel for Aterian Opco since February 2018. Prior to joining Aterian, Mr. Risico held a number of legal and business positions, most recently at AutoModality, Inc., a UAV flight control software company, where he served as Chief Operating Officer and General Counsel from February 2017 to February 2018, Ecovative Design LLC, a biomaterials company, where he served as General Counsel and Head of Business Development from August 2011 to February 2017, and 3M Company, where he served as the General Counsel of 3M’s corporate ventures business from May 2010 to July 2011. Mr. Risico started his legal career as a corporate associate at the law firm of Cravath, Swaine &amp; Moore LLP from August 2001 to June 2006. Mr. Risico holds a B.A. from New York University with concentrations in accounting and economics and a J.D. from Columbia Law School. Mr. Risico also holds a CPA (not active).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Mihal Chaouat-Fix </w:t>
      </w:r>
      <w:r>
        <w:rPr>
          <w:rFonts w:ascii="Arial" w:cs="Arial" w:eastAsia="Arial" w:hAnsi="Arial"/>
          <w:sz w:val="18"/>
          <w:szCs w:val="18"/>
          <w:color w:val="auto"/>
        </w:rPr>
        <w:t>has served as our Chief Supply Chain Officer since February 2023 and previously our Chief Product Officer since September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taking the Chief Product Officer role, since June 2014, Ms. Chaouat-Fix served as our Chief Operating Officer,</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both"/>
        <w:ind w:right="20"/>
        <w:spacing w:after="0" w:line="286" w:lineRule="auto"/>
        <w:rPr>
          <w:sz w:val="20"/>
          <w:szCs w:val="20"/>
          <w:color w:val="auto"/>
        </w:rPr>
      </w:pPr>
      <w:r>
        <w:rPr>
          <w:rFonts w:ascii="Arial" w:cs="Arial" w:eastAsia="Arial" w:hAnsi="Arial"/>
          <w:sz w:val="17"/>
          <w:szCs w:val="17"/>
          <w:color w:val="auto"/>
        </w:rPr>
        <w:t>where she was responsible for our day-to-day leadership and operational management. Prior to joining Aterian, Ms. Chaouat-Fix worked in various strategic roles from April 2000 to March 2014 at Gottex Models Ltd., an international fashion swimwear company. Among her various roles spanning operations and marketing, she oversaw manufacturing, supply chain and distribution of 12 million units a year to over 40 countries world-wide.</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Roi Zahut </w:t>
      </w:r>
      <w:r>
        <w:rPr>
          <w:rFonts w:ascii="Arial" w:cs="Arial" w:eastAsia="Arial" w:hAnsi="Arial"/>
          <w:sz w:val="18"/>
          <w:szCs w:val="18"/>
          <w:color w:val="auto"/>
        </w:rPr>
        <w:t>has served as our Chief Technology Officer since January 2019. Prior to joining Aterian, he served in a number of roles, including as the CTO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Advanced Analytics global consulting team at IBM and as the architect of IBM Metropulse, a retail &amp; CPG analytics platform, from October 2016 to January 2019. Prior to that, Mr. Zahut lived in Israel where he held senior technical, business and data science roles in startups and consulting companies including IBM Israel from January 2015 to October 2016, Brainbow Ltd from October 2013 to January 2015 and Matrix IT Ltd, an information technology company, from October 2008 to October 2011, working across industries (CPG, industrial and defense). Mr. Zahut also served in the Israeli Air Force from September 2005 to October 2008 where he obtained the rank of Sergeant First Class. Mr.Zahut holds an MSc in Neuroscience with distinction from Bar Ilan University.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Bari A. Harlam </w:t>
      </w:r>
      <w:r>
        <w:rPr>
          <w:rFonts w:ascii="Arial" w:cs="Arial" w:eastAsia="Arial" w:hAnsi="Arial"/>
          <w:sz w:val="17"/>
          <w:szCs w:val="17"/>
          <w:color w:val="auto"/>
        </w:rPr>
        <w:t>has served as a director since February 2020, and is a business leader, marketer, educator and author. In February 2020, she co-founded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Trouble LLC, a pro-social, experience brand. Ms. Harlam has served on the Boards of Directors of Eastern Bank since February 2014, Champion Petfoods LP since April 2020, OneWater Marine Inc. (Nasdaq: ONEW) since May 2020 and Rite Aid (NYSE: RAD) since September 2020, and serves as the chair of the Compensation Committee for OneWater Marine Inc., as the chair of the Nominating and Governance Committee of Rite Aid and as the chair of the Risk, Trust, Innovation and Charitable Foundation Committees of Eastern Bank. From April 2018 to March 2020, she served as EVP, Chief Marketing Officer North America at Hudson’s Bay Company (TSX: HBC). Prior to her time at Hudson’s Bay Company, she was EVP, Membership, Marketing &amp; Analytics at BJ’s Wholesale Club (NYSE: BJ) from July 2012 to December 2016. Before joining BJ’s Wholesale Club, she served as Chief Marketing Officer at Swipely, now called Upserve, from August 2011 to July 2012 and prior to that, she served as SVP, Marketing at CVS Health (NYSE: CVS) from 2000 to August 2011. Early in her career, she was a Professor at Columbia University from July 1989 to July 1992 and The University of Rhode Island from July 1992 to July 2000. In addition, she was an Adjunct Professor at The Wharton School at The University of Pennsylvania from January 2015 to May 2018. She received a Bachelor of Science, a Master of Science and a Ph.D. in Marketing from The University of Pennsylvania, The Wharton School. We believe Ms. Harlam is qualified to serve as a member of our Board due to her experience in the consumer packaged goods and retail industries as well as her expertise in marketing.</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 xml:space="preserve">William Kurtz </w:t>
      </w:r>
      <w:r>
        <w:rPr>
          <w:rFonts w:ascii="Arial" w:cs="Arial" w:eastAsia="Arial" w:hAnsi="Arial"/>
          <w:sz w:val="17"/>
          <w:szCs w:val="17"/>
          <w:color w:val="auto"/>
        </w:rPr>
        <w:t>has served as a director since August 2019. Mr. Kurtz is a senior financial and operations executive with over 30 years of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as chief financial officer or chief operating officer at several private and public technology companies on the East Coast and in Silicon Valley. Since 2016, he has served as a member of the board of directors of Verint Systems Inc., a customer experience software SaaS company, and he currently serves as chairman of its Audit Committee and as a member of the Nominating &amp; Governance Committee. Mr. Kurtz has served as the Chief Financial and Commercial Officer for Ripcord, Inc. since January 2021 and as its Chief Commercial Officer since April 2021 and served as its interim Chief Executive Officer from June 2021 through January 2022 while the company conducted a search for a chief executive officer. He is also a member of the Board of Ripcord Inc. Mr. Kurtz also served as a Strategic Advisor for Bloom Energy Corporation, a manufacturer of on-site power generation platforms, from January 2019 to January 2021 and previously served as its Chief Commercial Officer (from May 2015 to December 2018) and Chief Commercial &amp; Financial Officer (from March 2008 to May 2015). Mr. Kurtz has also held a number of CFO or other senior finance and operations roles at a variety of organizations, including Novellus Systems, Inc. (from September 2005 to February 2008), Engenio Information Technologies, Inc. (from March 2004 to August 2005), 3PARdata, Inc. (from July 2001 to February 2004), Scient Corporation (from August 1998 to June 2001), AT&amp;T Corporation (from July 1983 to July 1998) and Price Waterhouse &amp; Co./Brout &amp; Company (from June 1979 to July 1983). Mr. Kurtz also served as a member of the board of directors and chair of the audit committee of Violin Memory Inc. (from November 2014 to February 2017), PMC-Sierra, Inc. (from April 2003 to January 2016), AuraSound, Inc. (from August 2010 to April 2012), ONStor, Inc. (from January 2008 to July 2009) and Redback Networks Inc. (from October 1999 to January 2007). Mr. Kurtz holds a Bachelor of Science in Commerce from Rider University and a Master of Science in Management Sciences from Stanford University. We believe Mr. Kurtz is qualified to serve as a member of our Board due to his experience in chief financial officer and chief operating officer roles and his experience in private and public technology companies.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Susan Lattmann </w:t>
      </w:r>
      <w:r>
        <w:rPr>
          <w:rFonts w:ascii="Arial" w:cs="Arial" w:eastAsia="Arial" w:hAnsi="Arial"/>
          <w:sz w:val="17"/>
          <w:szCs w:val="17"/>
          <w:color w:val="auto"/>
        </w:rPr>
        <w:t>has served as a director since February 2022. Ms. Lattmann currently serves on the board of directors for Landsea Homes 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(Nasdaq: LSEA), a national residential home builder, since December 2021, where she is the co-chair of the Compensation Committee. Ms. Lattmann also currently serves on the board of directors for Farmer Focus, a private organic chicken company, since November 2021 where she is the chair of the Audit Committee as well as ArcTrust III, a private growth and income real estate investment trust, since November 2020. Ms. Lattmann is presently the Chief Financial Officer for The Row, an international luxury apparel retailer since July 2021. Previously, she worked for Bed Bath &amp; Beyond Inc. (Nasdaq: BBBY), from August 1996 to December 2019, where she held several roles, including Chief Financial Officer (2014-2018) and Chief Administrative Officer (2018-2019). She began her professional career with Arthur Andersen LLP. Ms. Lattmann received her Bachelor of Science degree with honors from Bucknell University and is a certified public accountant. We believe Ms. Lattmann is qualified to serve as a member of our Board due to her extensive financial and leadership experience.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Sarah Liebel </w:t>
      </w:r>
      <w:r>
        <w:rPr>
          <w:rFonts w:ascii="Arial" w:cs="Arial" w:eastAsia="Arial" w:hAnsi="Arial"/>
          <w:sz w:val="17"/>
          <w:szCs w:val="17"/>
          <w:color w:val="auto"/>
        </w:rPr>
        <w:t>has served as a director since February 2022. Ms. Liebel has served as Chief Growth Officer and President of Consumer Products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BetterUp, a digital coaching company, since March 2022. Prior to joining BetterUp, Ms. Liebel served as Chief Revenue Officer at 1stdibs.com, Inc. (Nasdaq: DIBS) from January 2019 to March 2022, where she oversaw the sales and operations teams at the company, including Customer Experience, Logistics, Business Operations, Trade &amp; Private Client sales. Before joining 1stdibs in 2015, Ms. Liebel was most recently at Groupon, Inc. (Nasdaq: GRPN). During her five year tenure at Groupon, she held a number of leadership roles, including running operations &amp; sales at Ideeli, a fashion flash sales e-commerce company, after it was acquired by Groupon, as well as leading deals on the corporate development team. Ms. Liebel received her Bachelor of Science from Tulane University and her MBA from Northwestern’s Kellogg School of Management. We believe Ms. Liebel is qualified to serve as a member of our Board due to her experience in revenue generation, e-commerce and business leadership.</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Cynthia Williams </w:t>
      </w:r>
      <w:r>
        <w:rPr>
          <w:rFonts w:ascii="Arial" w:cs="Arial" w:eastAsia="Arial" w:hAnsi="Arial"/>
          <w:sz w:val="18"/>
          <w:szCs w:val="18"/>
          <w:color w:val="auto"/>
        </w:rPr>
        <w:t>has served as a director since April 2022. Ms. Williams currently serves as President of the Wizards of the Coast and Digital Gaming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Division of Hasbro, Inc. (Nasdaq: HAS). Prior to her role at Hasbro, Inc., Ms. Williams served as Vice President and General Manager at Microsoft Corporation (Nasdaq: MSFT) from September 2018 to February 2022. She previously worked at Amazon.com, Inc. (Nasdaq: AMZN) from August 2007 to July 2018 where she led their Fulfillment by Amazon division. Ms. Williams received her BSBA from Western Carolina University in 1989 and her MBA from Wake Forest University in 1995. We believe Ms. Williams is qualified to serve as a member of our Board due to her significant technology and e-commerce expertise.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with Directors or Executive Officers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legal proceedings related to any of our directors or executive officers that require disclosure pursuant to Items 103 or 401(f) of Regulation 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has adopted a Code of Conduct and Ethics that applies to all of our employees, officers and directors, including our Chief Executive Officer and other employees. We have posted the Code of Conduct and Ethics on our website at https://ir.aterian.io/corporate-governance/governance-highlights under “Governance Documents”. The Code of Conduct and Ethics can only be amended by the approval of our audit committee of the Board (the “Audit Committee”) and any waiver to the Code of Conduct and Ethics for an executive officer or director may only be granted by the Audit Committee and must be timely disclosed as required by applicable law. We expect that any amendments to the Code of Conduct and Ethics, or any waivers of its requirements, will be disclosed on our website.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 separately-designated standing Audit Committee established in accordance with Section 3(a)(58)(A) of the Exchange Act. Our Audit Committee is comprised of Mr. Kurtz, Ms. Lattmann, Ms. Liebel and Ms. Williams. Ms. Lattmann serves as Chairperson of the committee. Each member of the Audit Committee must be independent as defined under the applicable rules and listings standards of The Nasdaq Stock Market LLC (the “Nasdaq Rules”) and SEC rules and financially literate under the Nasdaq Rules. Our Board has determined that each member of the Audit Committee is “independent” and “financially literate” under the Nasdaq Rules and the SEC rules and that Ms. Lattmann is an “audit committee financial expert” under the rules of the SEC. The responsibilities of the Audit Committee are included in a written charter. The Audit Committee acts on behalf of our Board in fulfilling our Board’s oversight responsibilities with respect to our accounting and financial reporting processes, the systems of internal control over financial reporting and audits of financial statements and reports, and also assists our Board in its oversight of the quality and integrity of our financial statements and reports and the qualifications, independence and performance of our independent registered public accounting firm. For this purpose, the Audit Committee performs several functions. The Audit Committee’s responsibilities include, among others:</w:t>
      </w:r>
    </w:p>
    <w:p>
      <w:pPr>
        <w:spacing w:after="0" w:line="182" w:lineRule="exact"/>
        <w:rPr>
          <w:sz w:val="20"/>
          <w:szCs w:val="20"/>
          <w:color w:val="auto"/>
        </w:rPr>
      </w:pPr>
    </w:p>
    <w:p>
      <w:pPr>
        <w:ind w:left="1040" w:right="20" w:hanging="452"/>
        <w:spacing w:after="0" w:line="307"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appointing, determining the compensation of, retaining, overseeing and evaluating our independent registered public accounting firm and any other registered public accounting firm engaged for the purpose of performing other review or attest services for us;</w:t>
      </w:r>
    </w:p>
    <w:p>
      <w:pPr>
        <w:spacing w:after="0" w:line="160" w:lineRule="exact"/>
        <w:rPr>
          <w:rFonts w:ascii="Arial" w:cs="Arial" w:eastAsia="Arial" w:hAnsi="Arial"/>
          <w:sz w:val="17"/>
          <w:szCs w:val="17"/>
          <w:color w:val="auto"/>
        </w:rPr>
      </w:pPr>
    </w:p>
    <w:p>
      <w:pPr>
        <w:jc w:val="both"/>
        <w:ind w:left="1040" w:right="20" w:hanging="452"/>
        <w:spacing w:after="0" w:line="26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p>
      <w:pPr>
        <w:spacing w:after="0" w:line="196" w:lineRule="exact"/>
        <w:rPr>
          <w:rFonts w:ascii="Arial" w:cs="Arial" w:eastAsia="Arial" w:hAnsi="Arial"/>
          <w:sz w:val="18"/>
          <w:szCs w:val="18"/>
          <w:color w:val="auto"/>
        </w:rPr>
      </w:pPr>
    </w:p>
    <w:p>
      <w:pPr>
        <w:ind w:left="1040" w:right="240" w:hanging="452"/>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determining and approving engagements of the independent registered public accounting firm, prior to commencement of the engagement, and the scope of and plans for the audit;</w:t>
      </w:r>
    </w:p>
    <w:p>
      <w:pPr>
        <w:spacing w:after="0" w:line="182" w:lineRule="exact"/>
        <w:rPr>
          <w:rFonts w:ascii="Arial" w:cs="Arial" w:eastAsia="Arial" w:hAnsi="Arial"/>
          <w:sz w:val="18"/>
          <w:szCs w:val="18"/>
          <w:color w:val="auto"/>
        </w:rPr>
      </w:pPr>
    </w:p>
    <w:p>
      <w:pPr>
        <w:ind w:left="1040" w:hanging="45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monitoring the rotation of partners of the independent registered public accounting firm on our audit engagement;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ind w:left="1040" w:right="20" w:hanging="452"/>
        <w:spacing w:after="0" w:line="307"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reviewing with management and the independent registered public accounting firm any fraud that includes management or other employees who have a significant role in our internal control over financial reporting and any significant changes in internal controls;</w:t>
      </w:r>
    </w:p>
    <w:p>
      <w:pPr>
        <w:spacing w:after="0" w:line="160" w:lineRule="exact"/>
        <w:rPr>
          <w:rFonts w:ascii="Arial" w:cs="Arial" w:eastAsia="Arial" w:hAnsi="Arial"/>
          <w:sz w:val="17"/>
          <w:szCs w:val="17"/>
          <w:color w:val="auto"/>
        </w:rPr>
      </w:pPr>
    </w:p>
    <w:p>
      <w:pPr>
        <w:jc w:val="both"/>
        <w:ind w:left="1040" w:right="20" w:hanging="452"/>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p>
      <w:pPr>
        <w:spacing w:after="0" w:line="196" w:lineRule="exact"/>
        <w:rPr>
          <w:rFonts w:ascii="Arial" w:cs="Arial" w:eastAsia="Arial" w:hAnsi="Arial"/>
          <w:sz w:val="18"/>
          <w:szCs w:val="18"/>
          <w:color w:val="auto"/>
        </w:rPr>
      </w:pPr>
    </w:p>
    <w:p>
      <w:pPr>
        <w:ind w:left="1040" w:right="20" w:hanging="452"/>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the results of management’s efforts to monitor compliance with our programs and policies designed to ensure compliance with laws and rules; and</w:t>
      </w:r>
    </w:p>
    <w:p>
      <w:pPr>
        <w:spacing w:after="0" w:line="182" w:lineRule="exact"/>
        <w:rPr>
          <w:rFonts w:ascii="Arial" w:cs="Arial" w:eastAsia="Arial" w:hAnsi="Arial"/>
          <w:sz w:val="18"/>
          <w:szCs w:val="18"/>
          <w:color w:val="auto"/>
        </w:rPr>
      </w:pPr>
    </w:p>
    <w:p>
      <w:pPr>
        <w:jc w:val="both"/>
        <w:ind w:left="1040" w:right="20" w:hanging="452"/>
        <w:spacing w:after="0" w:line="275"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our Board for its consideration and approval.</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Typically, the Audit Committee meets at least quarterly and with greater frequency if necessary. Our Board has adopted a written charter of the Audit Committee that is available to stockholders on our internet website at https://ir.aterian.io/corporate-governance/governance-highlights under “Governance Charters”.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material changes have been made to the procedures by which security holders may recommend nominees to our Board from those that were described in our Definitive Proxy Statement for our 2022 Annual Meeting of Stockholders that was filed with the SEC on June 15,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16(a) of the Exchange Act requires our officers and directors, and persons who own more than 10% of a registered class of our equity securities, to file reports of ownership and changes in ownership with the SEC. Officers, directors, and greater than 10% stockholders are required by SEC regulations to furnish us with copies of all Section 16(a) forms they file. Based solely upon a review of the copies of such forms and amendments thereto, we believe that, during 2021, none of our officers, directors, and greater than 10% beneficial owners failed to file on a timely basis the reports required by Section 16(a).</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Compensation Discussion and Analysis describes the material elements of compensation for the following individuals who served as our name executive officers for the year that ended on December 31, 2022 (“Named Executive Officer”), which consist of our principal executive officer, up to two other most highly compensated executive officers who were serving as executive officers as of December 31, 2022, and up to two additional individuals who would have been most highly compensated executive officers but for the fact that such individual was not serving as an executive officer as of December 31, 2022 are:</w:t>
      </w:r>
    </w:p>
    <w:p>
      <w:pPr>
        <w:spacing w:after="0" w:line="191" w:lineRule="exact"/>
        <w:rPr>
          <w:sz w:val="20"/>
          <w:szCs w:val="20"/>
          <w:color w:val="auto"/>
        </w:rPr>
      </w:pPr>
    </w:p>
    <w:p>
      <w:pPr>
        <w:ind w:left="1000" w:hanging="42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Yaniv Sarig, our President and Chief Executive Officer;</w:t>
      </w:r>
    </w:p>
    <w:p>
      <w:pPr>
        <w:spacing w:after="0" w:line="237" w:lineRule="exact"/>
        <w:rPr>
          <w:rFonts w:ascii="Arial" w:cs="Arial" w:eastAsia="Arial" w:hAnsi="Arial"/>
          <w:sz w:val="18"/>
          <w:szCs w:val="18"/>
          <w:color w:val="auto"/>
        </w:rPr>
      </w:pPr>
    </w:p>
    <w:p>
      <w:pPr>
        <w:ind w:left="1020" w:hanging="44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Joseph A. Risico, our Chief Legal Officer and Head of M&amp;A; and</w:t>
      </w:r>
    </w:p>
    <w:p>
      <w:pPr>
        <w:spacing w:after="0" w:line="237" w:lineRule="exact"/>
        <w:rPr>
          <w:rFonts w:ascii="Arial" w:cs="Arial" w:eastAsia="Arial" w:hAnsi="Arial"/>
          <w:sz w:val="18"/>
          <w:szCs w:val="18"/>
          <w:color w:val="auto"/>
        </w:rPr>
      </w:pPr>
    </w:p>
    <w:p>
      <w:pPr>
        <w:ind w:left="1020" w:hanging="44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Roi Zahut, our Chief Technology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the compensation paid to our Named Executive Officers for the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2022:</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89"/>
              </w:rPr>
              <w:t>Salary/Fees</w:t>
            </w:r>
          </w:p>
        </w:tc>
        <w:tc>
          <w:tcPr>
            <w:tcW w:w="3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Bonus</w:t>
            </w:r>
          </w:p>
        </w:tc>
        <w:tc>
          <w:tcPr>
            <w:tcW w:w="260" w:type="dxa"/>
            <w:vAlign w:val="bottom"/>
          </w:tcPr>
          <w:p>
            <w:pPr>
              <w:spacing w:after="0"/>
              <w:rPr>
                <w:sz w:val="14"/>
                <w:szCs w:val="14"/>
                <w:color w:val="auto"/>
              </w:rPr>
            </w:pPr>
          </w:p>
        </w:tc>
        <w:tc>
          <w:tcPr>
            <w:tcW w:w="10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0"/>
              </w:rPr>
              <w:t>Stock Awards</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12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1060" w:type="dxa"/>
            <w:vAlign w:val="bottom"/>
          </w:tcPr>
          <w:p>
            <w:pPr>
              <w:jc w:val="right"/>
              <w:ind w:right="416"/>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$(1)</w:t>
            </w:r>
          </w:p>
        </w:tc>
        <w:tc>
          <w:tcPr>
            <w:tcW w:w="140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76"/>
              </w:rPr>
              <w:t>$</w:t>
            </w:r>
          </w:p>
        </w:tc>
        <w:tc>
          <w:tcPr>
            <w:tcW w:w="132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CFF"/>
          </w:tcPr>
          <w:p>
            <w:pPr>
              <w:spacing w:after="0"/>
              <w:rPr>
                <w:sz w:val="20"/>
                <w:szCs w:val="20"/>
                <w:color w:val="auto"/>
              </w:rPr>
            </w:pPr>
          </w:p>
        </w:tc>
        <w:tc>
          <w:tcPr>
            <w:tcW w:w="1740" w:type="dxa"/>
            <w:vAlign w:val="bottom"/>
            <w:shd w:val="clear" w:color="auto" w:fill="CCECFF"/>
          </w:tcPr>
          <w:p>
            <w:pPr>
              <w:spacing w:after="0"/>
              <w:rPr>
                <w:sz w:val="20"/>
                <w:szCs w:val="20"/>
                <w:color w:val="auto"/>
              </w:rPr>
            </w:pPr>
            <w:r>
              <w:rPr>
                <w:rFonts w:ascii="Arial" w:cs="Arial" w:eastAsia="Arial" w:hAnsi="Arial"/>
                <w:sz w:val="18"/>
                <w:szCs w:val="18"/>
                <w:color w:val="auto"/>
              </w:rPr>
              <w:t>Yaniv Sarig</w:t>
            </w:r>
          </w:p>
        </w:tc>
        <w:tc>
          <w:tcPr>
            <w:tcW w:w="1960" w:type="dxa"/>
            <w:vAlign w:val="bottom"/>
            <w:shd w:val="clear" w:color="auto" w:fill="CCECFF"/>
          </w:tcPr>
          <w:p>
            <w:pPr>
              <w:spacing w:after="0"/>
              <w:rPr>
                <w:sz w:val="20"/>
                <w:szCs w:val="20"/>
                <w:color w:val="auto"/>
              </w:rPr>
            </w:pPr>
          </w:p>
        </w:tc>
        <w:tc>
          <w:tcPr>
            <w:tcW w:w="460" w:type="dxa"/>
            <w:vAlign w:val="bottom"/>
            <w:shd w:val="clear" w:color="auto" w:fill="CCECFF"/>
          </w:tcPr>
          <w:p>
            <w:pPr>
              <w:spacing w:after="0"/>
              <w:rPr>
                <w:sz w:val="20"/>
                <w:szCs w:val="20"/>
                <w:color w:val="auto"/>
              </w:rPr>
            </w:pPr>
          </w:p>
        </w:tc>
        <w:tc>
          <w:tcPr>
            <w:tcW w:w="6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w w:val="99"/>
              </w:rPr>
              <w:t>2022</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349,999</w:t>
            </w:r>
          </w:p>
        </w:tc>
        <w:tc>
          <w:tcPr>
            <w:tcW w:w="300" w:type="dxa"/>
            <w:vAlign w:val="bottom"/>
            <w:shd w:val="clear" w:color="auto" w:fill="CCECFF"/>
          </w:tcPr>
          <w:p>
            <w:pPr>
              <w:spacing w:after="0"/>
              <w:rPr>
                <w:sz w:val="20"/>
                <w:szCs w:val="20"/>
                <w:color w:val="auto"/>
              </w:rPr>
            </w:pPr>
          </w:p>
        </w:tc>
        <w:tc>
          <w:tcPr>
            <w:tcW w:w="900" w:type="dxa"/>
            <w:vAlign w:val="bottom"/>
            <w:shd w:val="clear" w:color="auto" w:fill="CCECFF"/>
          </w:tcPr>
          <w:p>
            <w:pPr>
              <w:ind w:left="7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1,051,900</w:t>
            </w:r>
          </w:p>
        </w:tc>
        <w:tc>
          <w:tcPr>
            <w:tcW w:w="100" w:type="dxa"/>
            <w:vAlign w:val="bottom"/>
            <w:shd w:val="clear" w:color="auto" w:fill="CCECFF"/>
          </w:tcPr>
          <w:p>
            <w:pPr>
              <w:spacing w:after="0"/>
              <w:rPr>
                <w:sz w:val="20"/>
                <w:szCs w:val="20"/>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19,227</w:t>
            </w:r>
          </w:p>
        </w:tc>
        <w:tc>
          <w:tcPr>
            <w:tcW w:w="100" w:type="dxa"/>
            <w:vAlign w:val="bottom"/>
            <w:shd w:val="clear" w:color="auto" w:fill="CCECFF"/>
          </w:tcPr>
          <w:p>
            <w:pPr>
              <w:spacing w:after="0"/>
              <w:rPr>
                <w:sz w:val="20"/>
                <w:szCs w:val="20"/>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1,421,126</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shd w:val="clear" w:color="auto" w:fill="CCECFF"/>
          </w:tcPr>
          <w:p>
            <w:pPr>
              <w:spacing w:after="0"/>
              <w:rPr>
                <w:sz w:val="22"/>
                <w:szCs w:val="22"/>
                <w:color w:val="auto"/>
              </w:rPr>
            </w:pPr>
          </w:p>
        </w:tc>
        <w:tc>
          <w:tcPr>
            <w:tcW w:w="3700" w:type="dxa"/>
            <w:vAlign w:val="bottom"/>
            <w:gridSpan w:val="2"/>
            <w:shd w:val="clear" w:color="auto" w:fill="CCECFF"/>
          </w:tcPr>
          <w:p>
            <w:pPr>
              <w:ind w:left="100"/>
              <w:spacing w:after="0"/>
              <w:rPr>
                <w:sz w:val="20"/>
                <w:szCs w:val="20"/>
                <w:color w:val="auto"/>
              </w:rPr>
            </w:pPr>
            <w:r>
              <w:rPr>
                <w:rFonts w:ascii="Arial" w:cs="Arial" w:eastAsia="Arial" w:hAnsi="Arial"/>
                <w:sz w:val="18"/>
                <w:szCs w:val="18"/>
                <w:i w:val="1"/>
                <w:iCs w:val="1"/>
                <w:color w:val="auto"/>
              </w:rPr>
              <w:t>President and Chief Executive Officer</w:t>
            </w:r>
          </w:p>
        </w:tc>
        <w:tc>
          <w:tcPr>
            <w:tcW w:w="1140" w:type="dxa"/>
            <w:vAlign w:val="bottom"/>
            <w:gridSpan w:val="3"/>
            <w:shd w:val="clear" w:color="auto" w:fill="CCECFF"/>
          </w:tcPr>
          <w:p>
            <w:pPr>
              <w:jc w:val="right"/>
              <w:ind w:right="260"/>
              <w:spacing w:after="0"/>
              <w:rPr>
                <w:sz w:val="20"/>
                <w:szCs w:val="20"/>
                <w:color w:val="auto"/>
              </w:rPr>
            </w:pPr>
            <w:r>
              <w:rPr>
                <w:rFonts w:ascii="Arial" w:cs="Arial" w:eastAsia="Arial" w:hAnsi="Arial"/>
                <w:sz w:val="18"/>
                <w:szCs w:val="18"/>
                <w:color w:val="auto"/>
              </w:rPr>
              <w:t>2021</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333,333</w:t>
            </w:r>
          </w:p>
        </w:tc>
        <w:tc>
          <w:tcPr>
            <w:tcW w:w="300" w:type="dxa"/>
            <w:vAlign w:val="bottom"/>
            <w:shd w:val="clear" w:color="auto" w:fill="CCECFF"/>
          </w:tcPr>
          <w:p>
            <w:pPr>
              <w:spacing w:after="0"/>
              <w:rPr>
                <w:sz w:val="22"/>
                <w:szCs w:val="22"/>
                <w:color w:val="auto"/>
              </w:rPr>
            </w:pPr>
          </w:p>
        </w:tc>
        <w:tc>
          <w:tcPr>
            <w:tcW w:w="900" w:type="dxa"/>
            <w:vAlign w:val="bottom"/>
            <w:shd w:val="clear" w:color="auto" w:fill="CCECFF"/>
          </w:tcPr>
          <w:p>
            <w:pPr>
              <w:ind w:left="72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4,681,790</w:t>
            </w:r>
          </w:p>
        </w:tc>
        <w:tc>
          <w:tcPr>
            <w:tcW w:w="14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16,400</w:t>
            </w:r>
          </w:p>
        </w:tc>
        <w:tc>
          <w:tcPr>
            <w:tcW w:w="13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5,031,523</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i w:val="1"/>
                <w:iCs w:val="1"/>
                <w:color w:val="auto"/>
                <w:w w:val="91"/>
              </w:rPr>
              <w:t>Joseph A. Risico - Chief Legal Officer and Head of</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M&amp;A</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2022</w:t>
            </w:r>
          </w:p>
        </w:tc>
        <w:tc>
          <w:tcPr>
            <w:tcW w:w="1060" w:type="dxa"/>
            <w:vAlign w:val="bottom"/>
          </w:tcPr>
          <w:p>
            <w:pPr>
              <w:jc w:val="right"/>
              <w:spacing w:after="0"/>
              <w:rPr>
                <w:sz w:val="20"/>
                <w:szCs w:val="20"/>
                <w:color w:val="auto"/>
              </w:rPr>
            </w:pPr>
            <w:r>
              <w:rPr>
                <w:rFonts w:ascii="Arial" w:cs="Arial" w:eastAsia="Arial" w:hAnsi="Arial"/>
                <w:sz w:val="18"/>
                <w:szCs w:val="18"/>
                <w:color w:val="auto"/>
              </w:rPr>
              <w:t>310,000</w:t>
            </w:r>
          </w:p>
        </w:tc>
        <w:tc>
          <w:tcPr>
            <w:tcW w:w="300" w:type="dxa"/>
            <w:vAlign w:val="bottom"/>
          </w:tcPr>
          <w:p>
            <w:pPr>
              <w:spacing w:after="0"/>
              <w:rPr>
                <w:sz w:val="20"/>
                <w:szCs w:val="20"/>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977,768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8,309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1,296,077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CFF"/>
          </w:tcPr>
          <w:p>
            <w:pPr>
              <w:spacing w:after="0"/>
              <w:rPr>
                <w:sz w:val="21"/>
                <w:szCs w:val="21"/>
                <w:color w:val="auto"/>
              </w:rPr>
            </w:pPr>
          </w:p>
        </w:tc>
        <w:tc>
          <w:tcPr>
            <w:tcW w:w="37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 xml:space="preserve">Roi Zahut - </w:t>
            </w:r>
            <w:r>
              <w:rPr>
                <w:rFonts w:ascii="Arial" w:cs="Arial" w:eastAsia="Arial" w:hAnsi="Arial"/>
                <w:sz w:val="18"/>
                <w:szCs w:val="18"/>
                <w:i w:val="1"/>
                <w:iCs w:val="1"/>
                <w:color w:val="auto"/>
              </w:rPr>
              <w:t>Chief Technology Officer</w:t>
            </w:r>
          </w:p>
        </w:tc>
        <w:tc>
          <w:tcPr>
            <w:tcW w:w="1140" w:type="dxa"/>
            <w:vAlign w:val="bottom"/>
            <w:gridSpan w:val="3"/>
            <w:shd w:val="clear" w:color="auto" w:fill="CCECFF"/>
          </w:tcPr>
          <w:p>
            <w:pPr>
              <w:jc w:val="right"/>
              <w:ind w:right="260"/>
              <w:spacing w:after="0"/>
              <w:rPr>
                <w:sz w:val="20"/>
                <w:szCs w:val="20"/>
                <w:color w:val="auto"/>
              </w:rPr>
            </w:pPr>
            <w:r>
              <w:rPr>
                <w:rFonts w:ascii="Arial" w:cs="Arial" w:eastAsia="Arial" w:hAnsi="Arial"/>
                <w:sz w:val="18"/>
                <w:szCs w:val="18"/>
                <w:color w:val="auto"/>
              </w:rPr>
              <w:t>2022</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310,000</w:t>
            </w:r>
          </w:p>
        </w:tc>
        <w:tc>
          <w:tcPr>
            <w:tcW w:w="300" w:type="dxa"/>
            <w:vAlign w:val="bottom"/>
            <w:shd w:val="clear" w:color="auto" w:fill="CCECFF"/>
          </w:tcPr>
          <w:p>
            <w:pPr>
              <w:spacing w:after="0"/>
              <w:rPr>
                <w:sz w:val="21"/>
                <w:szCs w:val="21"/>
                <w:color w:val="auto"/>
              </w:rPr>
            </w:pPr>
          </w:p>
        </w:tc>
        <w:tc>
          <w:tcPr>
            <w:tcW w:w="900" w:type="dxa"/>
            <w:vAlign w:val="bottom"/>
            <w:shd w:val="clear" w:color="auto" w:fill="CCECFF"/>
          </w:tcPr>
          <w:p>
            <w:pPr>
              <w:ind w:left="72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977,768</w:t>
            </w:r>
          </w:p>
        </w:tc>
        <w:tc>
          <w:tcPr>
            <w:tcW w:w="14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6,955</w:t>
            </w:r>
          </w:p>
        </w:tc>
        <w:tc>
          <w:tcPr>
            <w:tcW w:w="13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1,294,723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left="480" w:right="20" w:hanging="459"/>
        <w:spacing w:after="0" w:line="256"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the restricted stock awards computed in accordance with Financial Accounting Standards Board (“FASB”) Accounting Standard Codification (“ASC”) Topic 718. Assumptions used in the calculation of these amounts are included in Note 11 to our Consolidated Financial Statements included in this Annual Report on Form 10-K. These amounts do not reflect the actual economic value that will be realized by the Named Executive Officer upon the vesting of the restricted stock awards or the sale of the common stock underlying such restricted stock awards.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Severance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Yaniv Sarig—</w:t>
      </w:r>
      <w:r>
        <w:rPr>
          <w:rFonts w:ascii="Arial" w:cs="Arial" w:eastAsia="Arial" w:hAnsi="Arial"/>
          <w:sz w:val="18"/>
          <w:szCs w:val="18"/>
          <w:color w:val="auto"/>
        </w:rPr>
        <w:t>We entered into an offer letter with Mr. Sarig, dated April 1, 2015. Pursuant to the offer letter, Mr. Sarig’s base salary was initially $120,000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year. During his employment, Mr. Sarig has received various base salary adjustments and his salary at the beginning of 2021 was $300,000 per year, which was increased to $350,000 per year, effective May 1, 2021. In January 2023, we amended Mr. Sarig’s salary to be received in mostly Common Stock. Per the terms of that amendment, Mr. Sarig is to receive $60,000 in cash and $290,000 in common stock of the Company after adding a 1.15x multiplier which results in 331,104 shares being issued based on the 20-day average closing price of the Company’s common stock on January 18, 2023. The shares are subject to vesting and will vest in full on January 19, 2024. Mr. Sarig’s employment is at will and may be terminated at any time by us or Mr. Sarig, with or without cause.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Joseph A. Risico </w:t>
      </w:r>
      <w:r>
        <w:rPr>
          <w:rFonts w:ascii="Arial" w:cs="Arial" w:eastAsia="Arial" w:hAnsi="Arial"/>
          <w:sz w:val="18"/>
          <w:szCs w:val="18"/>
          <w:color w:val="auto"/>
        </w:rPr>
        <w:t>— We entered into an offer letter with Mr. Risico, dated February 8, 2018. Pursuant to the offer letter, Mr. Risico’s base salary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initially $250,000 per year. During his employment, Mr. Risico has received various base salary adjustments and his salary at the beginning of 2022 was $310,000 per year.</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Roi Zahut </w:t>
      </w:r>
      <w:r>
        <w:rPr>
          <w:rFonts w:ascii="Arial" w:cs="Arial" w:eastAsia="Arial" w:hAnsi="Arial"/>
          <w:sz w:val="18"/>
          <w:szCs w:val="18"/>
          <w:color w:val="auto"/>
        </w:rPr>
        <w:t>— We entered into an offer letter with Mr. Zahut, dated January 14, 2019. Pursuant to the offer letter, Mr. Zahut's base salary was initially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$225,000 per year. During his employment, Mr. Zahut has received various base salary adjustments and his salary at the beginning of 2022 was $310,000 per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Salaries/Compensation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salaries recognize the experience, skills, knowledge, and responsibilities required of all employees, including our Named Executive Officers. Base salaries and base compensation are reviewed annually, typically in connection with our annual performance review process, and adjusted from time to time to realign salaries and compensation with market levels after taking into account individual responsibilities, performance and experience. As of December 31, 2022, the annual base salaries or base compensation for Mr. Sarig was $350,000. The annual and base salaries or base compensation for Messrs. Risico and Zahut was $310,000.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year ended December 31, 2022, no bonuses were paid to our Named Executive Officers and none of our Named Executive Officers received any non-equity incentive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periodically reviews the equity incentive compensation of our Named Executive Officers and from time to time may grant equity incentive awards to them.</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both"/>
        <w:spacing w:after="0" w:line="256" w:lineRule="auto"/>
        <w:rPr>
          <w:sz w:val="20"/>
          <w:szCs w:val="20"/>
          <w:color w:val="auto"/>
        </w:rPr>
      </w:pPr>
      <w:r>
        <w:rPr>
          <w:rFonts w:ascii="Arial" w:cs="Arial" w:eastAsia="Arial" w:hAnsi="Arial"/>
          <w:sz w:val="18"/>
          <w:szCs w:val="18"/>
          <w:color w:val="auto"/>
        </w:rPr>
        <w:t>On May 27, 2022, we granted 314,000 and 291,871 shares of our common stock subject to restricted stock awards to Mr. Sarig, Mr. Risico and Mr. Zahut, respectively, pursuant to the Aterian, Inc. 2018 Equity Incentive Plan (the “2018 Plan”), of which 14,000, 12,400 and 12,400 shares vested immediately for the respective recipients. Of the balance, 1/3rd of the shares of restricted common stock shall vest on May 27, 2023, and 1/12th of shares of restricted common stock shall vest each quarterly period thereafter, as described in more detail in the “Outstanding Equity Awards at December 31, 2022”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Health, Welfare and Retirement Plans and Benefits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provide healthcare coverage to our employees. In addition, we have adopted a 401(k) plan for eligible employees. However, we do not currently match any portion of the contributions made by our employees to the 401(k)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2022</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certain information concerning outstanding equity awards held by each of the Named Executive Officers at December 31,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center"/>
              <w:ind w:left="238"/>
              <w:spacing w:after="0"/>
              <w:rPr>
                <w:sz w:val="20"/>
                <w:szCs w:val="20"/>
                <w:color w:val="auto"/>
              </w:rPr>
            </w:pPr>
            <w:r>
              <w:rPr>
                <w:rFonts w:ascii="Arial" w:cs="Arial" w:eastAsia="Arial" w:hAnsi="Arial"/>
                <w:sz w:val="14"/>
                <w:szCs w:val="14"/>
                <w:b w:val="1"/>
                <w:bCs w:val="1"/>
                <w:color w:val="auto"/>
                <w:w w:val="94"/>
              </w:rPr>
              <w:t>Option awards</w:t>
            </w:r>
          </w:p>
        </w:tc>
        <w:tc>
          <w:tcPr>
            <w:tcW w:w="1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92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94"/>
              </w:rPr>
              <w:t>Number of</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securities</w:t>
            </w:r>
          </w:p>
        </w:tc>
        <w:tc>
          <w:tcPr>
            <w:tcW w:w="1340" w:type="dxa"/>
            <w:vAlign w:val="bottom"/>
            <w:vMerge w:val="continue"/>
          </w:tcPr>
          <w:p>
            <w:pPr>
              <w:spacing w:after="0"/>
              <w:rPr>
                <w:sz w:val="12"/>
                <w:szCs w:val="12"/>
                <w:color w:val="auto"/>
              </w:rPr>
            </w:pPr>
          </w:p>
        </w:tc>
        <w:tc>
          <w:tcPr>
            <w:tcW w:w="7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3"/>
              </w:rPr>
              <w:t>Option</w:t>
            </w:r>
          </w:p>
        </w:tc>
        <w:tc>
          <w:tcPr>
            <w:tcW w:w="1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underlying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7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shares or</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of shares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7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5"/>
              </w:rPr>
              <w:t>exercise</w:t>
            </w:r>
          </w:p>
        </w:tc>
        <w:tc>
          <w:tcPr>
            <w:tcW w:w="12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8"/>
              </w:rPr>
              <w:t>Option expiration</w:t>
            </w: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6"/>
              </w:rPr>
              <w:t>units of stock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8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Grant date</w:t>
            </w:r>
          </w:p>
        </w:tc>
        <w:tc>
          <w:tcPr>
            <w:tcW w:w="9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options (#)</w:t>
            </w:r>
          </w:p>
        </w:tc>
        <w:tc>
          <w:tcPr>
            <w:tcW w:w="2040" w:type="dxa"/>
            <w:vAlign w:val="bottom"/>
            <w:gridSpan w:val="2"/>
          </w:tcPr>
          <w:p>
            <w:pPr>
              <w:jc w:val="right"/>
              <w:ind w:right="55"/>
              <w:spacing w:after="0" w:line="149" w:lineRule="exact"/>
              <w:rPr>
                <w:sz w:val="20"/>
                <w:szCs w:val="20"/>
                <w:color w:val="auto"/>
              </w:rPr>
            </w:pPr>
            <w:r>
              <w:rPr>
                <w:rFonts w:ascii="Arial" w:cs="Arial" w:eastAsia="Arial" w:hAnsi="Arial"/>
                <w:sz w:val="14"/>
                <w:szCs w:val="14"/>
                <w:b w:val="1"/>
                <w:bCs w:val="1"/>
                <w:color w:val="auto"/>
                <w:w w:val="94"/>
              </w:rPr>
              <w:t>unexercised options price per</w:t>
            </w:r>
          </w:p>
        </w:tc>
        <w:tc>
          <w:tcPr>
            <w:tcW w:w="1260" w:type="dxa"/>
            <w:vAlign w:val="bottom"/>
            <w:vMerge w:val="continue"/>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8"/>
              </w:rPr>
              <w:t>that have not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 unexercisable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share ($)</w:t>
            </w: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date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w w:val="97"/>
              </w:rPr>
              <w:t>vested (1)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CFF"/>
          </w:tcPr>
          <w:p>
            <w:pPr>
              <w:ind w:left="20"/>
              <w:spacing w:after="0"/>
              <w:rPr>
                <w:sz w:val="20"/>
                <w:szCs w:val="20"/>
                <w:color w:val="auto"/>
              </w:rPr>
            </w:pPr>
            <w:r>
              <w:rPr>
                <w:rFonts w:ascii="Arial" w:cs="Arial" w:eastAsia="Arial" w:hAnsi="Arial"/>
                <w:sz w:val="18"/>
                <w:szCs w:val="18"/>
                <w:color w:val="auto"/>
              </w:rPr>
              <w:t>Yaniv Sarig</w:t>
            </w:r>
          </w:p>
        </w:tc>
        <w:tc>
          <w:tcPr>
            <w:tcW w:w="1980" w:type="dxa"/>
            <w:vAlign w:val="bottom"/>
            <w:gridSpan w:val="2"/>
            <w:shd w:val="clear" w:color="auto" w:fill="CCECFF"/>
          </w:tcPr>
          <w:p>
            <w:pPr>
              <w:jc w:val="right"/>
              <w:ind w:right="316"/>
              <w:spacing w:after="0"/>
              <w:rPr>
                <w:sz w:val="20"/>
                <w:szCs w:val="20"/>
                <w:color w:val="auto"/>
              </w:rPr>
            </w:pPr>
            <w:r>
              <w:rPr>
                <w:rFonts w:ascii="Arial" w:cs="Arial" w:eastAsia="Arial" w:hAnsi="Arial"/>
                <w:sz w:val="18"/>
                <w:szCs w:val="18"/>
                <w:color w:val="auto"/>
              </w:rPr>
              <w:t>6/30/2021</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center"/>
              <w:ind w:left="958"/>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125,007</w:t>
            </w:r>
          </w:p>
        </w:tc>
        <w:tc>
          <w:tcPr>
            <w:tcW w:w="260" w:type="dxa"/>
            <w:vAlign w:val="bottom"/>
            <w:shd w:val="clear" w:color="auto" w:fill="CCEC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96,255</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20" w:type="dxa"/>
            <w:vAlign w:val="bottom"/>
            <w:shd w:val="clear" w:color="auto" w:fill="CCECFF"/>
          </w:tcPr>
          <w:p>
            <w:pPr>
              <w:spacing w:after="0"/>
              <w:rPr>
                <w:sz w:val="22"/>
                <w:szCs w:val="22"/>
                <w:color w:val="auto"/>
              </w:rPr>
            </w:pPr>
          </w:p>
        </w:tc>
        <w:tc>
          <w:tcPr>
            <w:tcW w:w="1980" w:type="dxa"/>
            <w:vAlign w:val="bottom"/>
            <w:gridSpan w:val="2"/>
            <w:shd w:val="clear" w:color="auto" w:fill="CCECFF"/>
          </w:tcPr>
          <w:p>
            <w:pPr>
              <w:jc w:val="right"/>
              <w:ind w:right="316"/>
              <w:spacing w:after="0"/>
              <w:rPr>
                <w:sz w:val="20"/>
                <w:szCs w:val="20"/>
                <w:color w:val="auto"/>
              </w:rPr>
            </w:pPr>
            <w:r>
              <w:rPr>
                <w:rFonts w:ascii="Arial" w:cs="Arial" w:eastAsia="Arial" w:hAnsi="Arial"/>
                <w:sz w:val="18"/>
                <w:szCs w:val="18"/>
                <w:color w:val="auto"/>
              </w:rPr>
              <w:t>5/27/2022</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center"/>
              <w:ind w:left="958"/>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C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231,000</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Joseph A. Risico</w:t>
            </w:r>
          </w:p>
        </w:tc>
        <w:tc>
          <w:tcPr>
            <w:tcW w:w="1980" w:type="dxa"/>
            <w:vAlign w:val="bottom"/>
            <w:gridSpan w:val="2"/>
          </w:tcPr>
          <w:p>
            <w:pPr>
              <w:jc w:val="right"/>
              <w:ind w:right="316"/>
              <w:spacing w:after="0"/>
              <w:rPr>
                <w:sz w:val="20"/>
                <w:szCs w:val="20"/>
                <w:color w:val="auto"/>
              </w:rPr>
            </w:pPr>
            <w:r>
              <w:rPr>
                <w:rFonts w:ascii="Arial" w:cs="Arial" w:eastAsia="Arial" w:hAnsi="Arial"/>
                <w:sz w:val="18"/>
                <w:szCs w:val="18"/>
                <w:color w:val="auto"/>
              </w:rPr>
              <w:t>6/30/2021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left="95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48,003</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36,962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1"/>
                <w:szCs w:val="21"/>
                <w:color w:val="auto"/>
              </w:rPr>
            </w:pPr>
          </w:p>
        </w:tc>
        <w:tc>
          <w:tcPr>
            <w:tcW w:w="1980" w:type="dxa"/>
            <w:vAlign w:val="bottom"/>
            <w:gridSpan w:val="2"/>
          </w:tcPr>
          <w:p>
            <w:pPr>
              <w:jc w:val="right"/>
              <w:ind w:right="316"/>
              <w:spacing w:after="0"/>
              <w:rPr>
                <w:sz w:val="20"/>
                <w:szCs w:val="20"/>
                <w:color w:val="auto"/>
              </w:rPr>
            </w:pPr>
            <w:r>
              <w:rPr>
                <w:rFonts w:ascii="Arial" w:cs="Arial" w:eastAsia="Arial" w:hAnsi="Arial"/>
                <w:sz w:val="18"/>
                <w:szCs w:val="18"/>
                <w:color w:val="auto"/>
              </w:rPr>
              <w:t>5/27/2022</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left="95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279,471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215,193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020" w:type="dxa"/>
            <w:vAlign w:val="bottom"/>
          </w:tcPr>
          <w:p>
            <w:pPr>
              <w:spacing w:after="0"/>
              <w:rPr>
                <w:sz w:val="21"/>
                <w:szCs w:val="21"/>
                <w:color w:val="auto"/>
              </w:rPr>
            </w:pPr>
          </w:p>
        </w:tc>
        <w:tc>
          <w:tcPr>
            <w:tcW w:w="1980" w:type="dxa"/>
            <w:vAlign w:val="bottom"/>
            <w:gridSpan w:val="2"/>
          </w:tcPr>
          <w:p>
            <w:pPr>
              <w:jc w:val="right"/>
              <w:ind w:right="316"/>
              <w:spacing w:after="0"/>
              <w:rPr>
                <w:sz w:val="20"/>
                <w:szCs w:val="20"/>
                <w:color w:val="auto"/>
              </w:rPr>
            </w:pPr>
            <w:r>
              <w:rPr>
                <w:rFonts w:ascii="Arial" w:cs="Arial" w:eastAsia="Arial" w:hAnsi="Arial"/>
                <w:sz w:val="18"/>
                <w:szCs w:val="18"/>
                <w:color w:val="auto"/>
              </w:rPr>
              <w:t>12/28/2018</w:t>
            </w:r>
          </w:p>
        </w:tc>
        <w:tc>
          <w:tcPr>
            <w:tcW w:w="920" w:type="dxa"/>
            <w:vAlign w:val="bottom"/>
          </w:tcPr>
          <w:p>
            <w:pPr>
              <w:jc w:val="right"/>
              <w:spacing w:after="0"/>
              <w:rPr>
                <w:sz w:val="20"/>
                <w:szCs w:val="20"/>
                <w:color w:val="auto"/>
              </w:rPr>
            </w:pPr>
            <w:r>
              <w:rPr>
                <w:rFonts w:ascii="Arial" w:cs="Arial" w:eastAsia="Arial" w:hAnsi="Arial"/>
                <w:sz w:val="18"/>
                <w:szCs w:val="18"/>
                <w:color w:val="auto"/>
              </w:rPr>
              <w:t>26,937</w:t>
            </w:r>
          </w:p>
        </w:tc>
        <w:tc>
          <w:tcPr>
            <w:tcW w:w="1340" w:type="dxa"/>
            <w:vAlign w:val="bottom"/>
          </w:tcPr>
          <w:p>
            <w:pPr>
              <w:jc w:val="center"/>
              <w:ind w:left="95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9.72</w:t>
            </w:r>
          </w:p>
        </w:tc>
        <w:tc>
          <w:tcPr>
            <w:tcW w:w="1260" w:type="dxa"/>
            <w:vAlign w:val="bottom"/>
          </w:tcPr>
          <w:p>
            <w:pPr>
              <w:jc w:val="right"/>
              <w:spacing w:after="0"/>
              <w:rPr>
                <w:sz w:val="20"/>
                <w:szCs w:val="20"/>
                <w:color w:val="auto"/>
              </w:rPr>
            </w:pPr>
            <w:r>
              <w:rPr>
                <w:rFonts w:ascii="Arial" w:cs="Arial" w:eastAsia="Arial" w:hAnsi="Arial"/>
                <w:sz w:val="18"/>
                <w:szCs w:val="18"/>
                <w:color w:val="auto"/>
              </w:rPr>
              <w:t>12/28/2028</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CFF"/>
          </w:tcPr>
          <w:p>
            <w:pPr>
              <w:ind w:left="20"/>
              <w:spacing w:after="0"/>
              <w:rPr>
                <w:sz w:val="20"/>
                <w:szCs w:val="20"/>
                <w:color w:val="auto"/>
              </w:rPr>
            </w:pPr>
            <w:r>
              <w:rPr>
                <w:rFonts w:ascii="Arial" w:cs="Arial" w:eastAsia="Arial" w:hAnsi="Arial"/>
                <w:sz w:val="18"/>
                <w:szCs w:val="18"/>
                <w:color w:val="auto"/>
              </w:rPr>
              <w:t>Roi Zahut</w:t>
            </w:r>
          </w:p>
        </w:tc>
        <w:tc>
          <w:tcPr>
            <w:tcW w:w="1980" w:type="dxa"/>
            <w:vAlign w:val="bottom"/>
            <w:gridSpan w:val="2"/>
            <w:shd w:val="clear" w:color="auto" w:fill="CCECFF"/>
          </w:tcPr>
          <w:p>
            <w:pPr>
              <w:jc w:val="right"/>
              <w:ind w:right="316"/>
              <w:spacing w:after="0"/>
              <w:rPr>
                <w:sz w:val="20"/>
                <w:szCs w:val="20"/>
                <w:color w:val="auto"/>
              </w:rPr>
            </w:pPr>
            <w:r>
              <w:rPr>
                <w:rFonts w:ascii="Arial" w:cs="Arial" w:eastAsia="Arial" w:hAnsi="Arial"/>
                <w:sz w:val="18"/>
                <w:szCs w:val="18"/>
                <w:color w:val="auto"/>
              </w:rPr>
              <w:t>6/12/2019</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21,165</w:t>
            </w:r>
          </w:p>
        </w:tc>
        <w:tc>
          <w:tcPr>
            <w:tcW w:w="1340" w:type="dxa"/>
            <w:vAlign w:val="bottom"/>
            <w:shd w:val="clear" w:color="auto" w:fill="CCECFF"/>
          </w:tcPr>
          <w:p>
            <w:pPr>
              <w:jc w:val="center"/>
              <w:ind w:left="958"/>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6/12/2029</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20"/>
                <w:szCs w:val="20"/>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0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680" w:type="dxa"/>
            <w:vAlign w:val="bottom"/>
            <w:shd w:val="clear" w:color="auto" w:fill="CCECFF"/>
          </w:tcPr>
          <w:p>
            <w:pPr>
              <w:jc w:val="right"/>
              <w:ind w:right="316"/>
              <w:spacing w:after="0"/>
              <w:rPr>
                <w:sz w:val="20"/>
                <w:szCs w:val="20"/>
                <w:color w:val="auto"/>
              </w:rPr>
            </w:pPr>
            <w:r>
              <w:rPr>
                <w:rFonts w:ascii="Arial" w:cs="Arial" w:eastAsia="Arial" w:hAnsi="Arial"/>
                <w:sz w:val="18"/>
                <w:szCs w:val="18"/>
                <w:color w:val="auto"/>
              </w:rPr>
              <w:t>6/30/2021</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center"/>
              <w:ind w:left="958"/>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48,003</w:t>
            </w:r>
          </w:p>
        </w:tc>
        <w:tc>
          <w:tcPr>
            <w:tcW w:w="260" w:type="dxa"/>
            <w:vAlign w:val="bottom"/>
            <w:shd w:val="clear" w:color="auto" w:fill="CCEC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36,962</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0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680" w:type="dxa"/>
            <w:vAlign w:val="bottom"/>
            <w:shd w:val="clear" w:color="auto" w:fill="CCECFF"/>
          </w:tcPr>
          <w:p>
            <w:pPr>
              <w:jc w:val="right"/>
              <w:ind w:right="316"/>
              <w:spacing w:after="0"/>
              <w:rPr>
                <w:sz w:val="20"/>
                <w:szCs w:val="20"/>
                <w:color w:val="auto"/>
              </w:rPr>
            </w:pPr>
            <w:r>
              <w:rPr>
                <w:rFonts w:ascii="Arial" w:cs="Arial" w:eastAsia="Arial" w:hAnsi="Arial"/>
                <w:sz w:val="18"/>
                <w:szCs w:val="18"/>
                <w:color w:val="auto"/>
              </w:rPr>
              <w:t>5/27/2022</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CFF"/>
          </w:tcPr>
          <w:p>
            <w:pPr>
              <w:jc w:val="center"/>
              <w:ind w:left="958"/>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279,471</w:t>
            </w:r>
          </w:p>
        </w:tc>
        <w:tc>
          <w:tcPr>
            <w:tcW w:w="260" w:type="dxa"/>
            <w:vAlign w:val="bottom"/>
            <w:shd w:val="clear" w:color="auto" w:fill="CCEC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215,193</w:t>
            </w:r>
          </w:p>
        </w:tc>
        <w:tc>
          <w:tcPr>
            <w:tcW w:w="10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480" w:right="20" w:hanging="459"/>
        <w:spacing w:after="0" w:line="259"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market value of the unvested shares underlying the restricted stock awards as of December 31, 2022, based on the closing price of our common stock on such date, as reported on the Nasdaq Capital Market, which was $0.77 per share. These amounts do not reflect the actual economic value that will be realized by the Named Executive Officer upon the vesting of the restricted stock awards or the sale of the common stock underlying such restricted stock awards.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August 1, 2021, our compensation committee of the Board (the “Compensation Committee”) approved a formal non-employee director compensation policy. Pursuant to such policy, our non-employee directors were paid the following amounts for the year ended December 31, 2022 (prorated for service for a partial year), which, at each director’s election was payable one-third in cash and two-thirds in shares of restricted common stock: (i) $150,000 per year to each director; (ii) $15,000 per year to the chairperson of the Audit Committee; (iii) $10,000 per year to the chairperson of each of the Compensation Committee and the nominating and corporate governance committee of the Board (the “Nominating and Corporate Governance Committee”); (iv) $7,500 per year to other members of the Audit Committee; and (v) $5,000 to other members of each of the Compensation Committee or the Nominating and Corporate Governance Committee. In addition, upon their joining the Board, each of Ms. Liebel, Ms. Lattmann and Ms. Williams received an initial stock award equal to $200,000 as of the day prior to their joining.</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summary information concerning compensation paid or accrued to the members of our Board for services rendered to us for the fiscal year ended December 31, 2022: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Fees Earned or</w:t>
            </w:r>
          </w:p>
        </w:tc>
        <w:tc>
          <w:tcPr>
            <w:tcW w:w="38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Option Awards</w:t>
            </w:r>
          </w:p>
        </w:tc>
        <w:tc>
          <w:tcPr>
            <w:tcW w:w="360" w:type="dxa"/>
            <w:vAlign w:val="bottom"/>
          </w:tcPr>
          <w:p>
            <w:pPr>
              <w:spacing w:after="0"/>
              <w:rPr>
                <w:sz w:val="14"/>
                <w:szCs w:val="14"/>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 in Cash</w:t>
            </w:r>
          </w:p>
        </w:tc>
        <w:tc>
          <w:tcPr>
            <w:tcW w:w="3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Name(1)</w:t>
            </w:r>
          </w:p>
        </w:tc>
        <w:tc>
          <w:tcPr>
            <w:tcW w:w="340" w:type="dxa"/>
            <w:vAlign w:val="bottom"/>
          </w:tcPr>
          <w:p>
            <w:pPr>
              <w:spacing w:after="0"/>
              <w:rPr>
                <w:sz w:val="18"/>
                <w:szCs w:val="18"/>
                <w:color w:val="auto"/>
              </w:rPr>
            </w:pPr>
          </w:p>
        </w:tc>
        <w:tc>
          <w:tcPr>
            <w:tcW w:w="900" w:type="dxa"/>
            <w:vAlign w:val="bottom"/>
          </w:tcPr>
          <w:p>
            <w:pPr>
              <w:jc w:val="right"/>
              <w:ind w:right="493"/>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333"/>
              <w:spacing w:after="0"/>
              <w:rPr>
                <w:sz w:val="20"/>
                <w:szCs w:val="20"/>
                <w:color w:val="auto"/>
              </w:rPr>
            </w:pPr>
            <w:r>
              <w:rPr>
                <w:rFonts w:ascii="Arial" w:cs="Arial" w:eastAsia="Arial" w:hAnsi="Arial"/>
                <w:sz w:val="14"/>
                <w:szCs w:val="14"/>
                <w:b w:val="1"/>
                <w:bCs w:val="1"/>
                <w:color w:val="auto"/>
              </w:rPr>
              <w:t>$(2)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73"/>
              <w:spacing w:after="0"/>
              <w:rPr>
                <w:sz w:val="20"/>
                <w:szCs w:val="20"/>
                <w:color w:val="auto"/>
              </w:rPr>
            </w:pPr>
            <w:r>
              <w:rPr>
                <w:rFonts w:ascii="Arial" w:cs="Arial" w:eastAsia="Arial" w:hAnsi="Arial"/>
                <w:sz w:val="14"/>
                <w:szCs w:val="14"/>
                <w:b w:val="1"/>
                <w:bCs w:val="1"/>
                <w:color w:val="auto"/>
              </w:rPr>
              <w:t>$(3)</w:t>
            </w:r>
          </w:p>
        </w:tc>
        <w:tc>
          <w:tcPr>
            <w:tcW w:w="13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CFF"/>
          </w:tcPr>
          <w:p>
            <w:pPr>
              <w:spacing w:after="0"/>
              <w:rPr>
                <w:sz w:val="21"/>
                <w:szCs w:val="21"/>
                <w:color w:val="auto"/>
              </w:rPr>
            </w:pPr>
          </w:p>
        </w:tc>
        <w:tc>
          <w:tcPr>
            <w:tcW w:w="3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Bari A. Harlam</w:t>
            </w:r>
          </w:p>
        </w:tc>
        <w:tc>
          <w:tcPr>
            <w:tcW w:w="340" w:type="dxa"/>
            <w:vAlign w:val="bottom"/>
            <w:shd w:val="clear" w:color="auto" w:fill="CCEC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65,000</w:t>
            </w:r>
          </w:p>
        </w:tc>
        <w:tc>
          <w:tcPr>
            <w:tcW w:w="380" w:type="dxa"/>
            <w:vAlign w:val="bottom"/>
            <w:shd w:val="clear" w:color="auto" w:fill="CCECFF"/>
          </w:tcPr>
          <w:p>
            <w:pPr>
              <w:spacing w:after="0"/>
              <w:rPr>
                <w:sz w:val="21"/>
                <w:szCs w:val="21"/>
                <w:color w:val="auto"/>
              </w:rPr>
            </w:pPr>
          </w:p>
        </w:tc>
        <w:tc>
          <w:tcPr>
            <w:tcW w:w="1060" w:type="dxa"/>
            <w:vAlign w:val="bottom"/>
            <w:shd w:val="clear" w:color="auto" w:fill="CCECFF"/>
          </w:tcPr>
          <w:p>
            <w:pPr>
              <w:ind w:left="86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96,205</w:t>
            </w:r>
          </w:p>
        </w:tc>
        <w:tc>
          <w:tcPr>
            <w:tcW w:w="100" w:type="dxa"/>
            <w:vAlign w:val="bottom"/>
            <w:shd w:val="clear" w:color="auto" w:fill="CCECFF"/>
          </w:tcPr>
          <w:p>
            <w:pPr>
              <w:spacing w:after="0"/>
              <w:rPr>
                <w:sz w:val="21"/>
                <w:szCs w:val="21"/>
                <w:color w:val="auto"/>
              </w:rPr>
            </w:pPr>
          </w:p>
        </w:tc>
        <w:tc>
          <w:tcPr>
            <w:tcW w:w="1260" w:type="dxa"/>
            <w:vAlign w:val="bottom"/>
            <w:shd w:val="clear" w:color="auto" w:fill="CCECFF"/>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CFF"/>
          </w:tcPr>
          <w:p>
            <w:pPr>
              <w:spacing w:after="0"/>
              <w:rPr>
                <w:sz w:val="21"/>
                <w:szCs w:val="21"/>
                <w:color w:val="auto"/>
              </w:rPr>
            </w:pPr>
          </w:p>
        </w:tc>
        <w:tc>
          <w:tcPr>
            <w:tcW w:w="58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161,205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Susan</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Lattmann</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62,917</w:t>
            </w:r>
          </w:p>
        </w:tc>
        <w:tc>
          <w:tcPr>
            <w:tcW w:w="380" w:type="dxa"/>
            <w:vAlign w:val="bottom"/>
          </w:tcPr>
          <w:p>
            <w:pPr>
              <w:spacing w:after="0"/>
              <w:rPr>
                <w:sz w:val="20"/>
                <w:szCs w:val="20"/>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310,401</w:t>
            </w:r>
          </w:p>
        </w:tc>
        <w:tc>
          <w:tcPr>
            <w:tcW w:w="100" w:type="dxa"/>
            <w:vAlign w:val="bottom"/>
          </w:tcPr>
          <w:p>
            <w:pPr>
              <w:spacing w:after="0"/>
              <w:rPr>
                <w:sz w:val="20"/>
                <w:szCs w:val="20"/>
                <w:color w:val="auto"/>
              </w:rPr>
            </w:pP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373,318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CFF"/>
          </w:tcPr>
          <w:p>
            <w:pPr>
              <w:spacing w:after="0"/>
              <w:rPr>
                <w:sz w:val="21"/>
                <w:szCs w:val="21"/>
                <w:color w:val="auto"/>
              </w:rPr>
            </w:pPr>
          </w:p>
        </w:tc>
        <w:tc>
          <w:tcPr>
            <w:tcW w:w="3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Sarah Liebel</w:t>
            </w:r>
          </w:p>
        </w:tc>
        <w:tc>
          <w:tcPr>
            <w:tcW w:w="340" w:type="dxa"/>
            <w:vAlign w:val="bottom"/>
            <w:shd w:val="clear" w:color="auto" w:fill="CCEC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54,368</w:t>
            </w:r>
          </w:p>
        </w:tc>
        <w:tc>
          <w:tcPr>
            <w:tcW w:w="380" w:type="dxa"/>
            <w:vAlign w:val="bottom"/>
            <w:shd w:val="clear" w:color="auto" w:fill="CCECFF"/>
          </w:tcPr>
          <w:p>
            <w:pPr>
              <w:spacing w:after="0"/>
              <w:rPr>
                <w:sz w:val="21"/>
                <w:szCs w:val="21"/>
                <w:color w:val="auto"/>
              </w:rPr>
            </w:pPr>
          </w:p>
        </w:tc>
        <w:tc>
          <w:tcPr>
            <w:tcW w:w="1060" w:type="dxa"/>
            <w:vAlign w:val="bottom"/>
            <w:shd w:val="clear" w:color="auto" w:fill="CCECFF"/>
          </w:tcPr>
          <w:p>
            <w:pPr>
              <w:ind w:left="8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CFF"/>
          </w:tcPr>
          <w:p>
            <w:pPr>
              <w:ind w:lef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310,401</w:t>
            </w:r>
          </w:p>
        </w:tc>
        <w:tc>
          <w:tcPr>
            <w:tcW w:w="100" w:type="dxa"/>
            <w:vAlign w:val="bottom"/>
            <w:shd w:val="clear" w:color="auto" w:fill="CCECFF"/>
          </w:tcPr>
          <w:p>
            <w:pPr>
              <w:spacing w:after="0"/>
              <w:rPr>
                <w:sz w:val="21"/>
                <w:szCs w:val="21"/>
                <w:color w:val="auto"/>
              </w:rPr>
            </w:pPr>
          </w:p>
        </w:tc>
        <w:tc>
          <w:tcPr>
            <w:tcW w:w="1260" w:type="dxa"/>
            <w:vAlign w:val="bottom"/>
            <w:shd w:val="clear" w:color="auto" w:fill="CCECFF"/>
          </w:tcPr>
          <w:p>
            <w:pPr>
              <w:ind w:left="10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364,769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William H.</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Kurtz</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92,676</w:t>
            </w:r>
          </w:p>
        </w:tc>
        <w:tc>
          <w:tcPr>
            <w:tcW w:w="380" w:type="dxa"/>
            <w:vAlign w:val="bottom"/>
          </w:tcPr>
          <w:p>
            <w:pPr>
              <w:spacing w:after="0"/>
              <w:rPr>
                <w:sz w:val="20"/>
                <w:szCs w:val="20"/>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96,205</w:t>
            </w:r>
          </w:p>
        </w:tc>
        <w:tc>
          <w:tcPr>
            <w:tcW w:w="100" w:type="dxa"/>
            <w:vAlign w:val="bottom"/>
          </w:tcPr>
          <w:p>
            <w:pPr>
              <w:spacing w:after="0"/>
              <w:rPr>
                <w:sz w:val="20"/>
                <w:szCs w:val="20"/>
                <w:color w:val="auto"/>
              </w:rPr>
            </w:pP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CFF"/>
          </w:tcPr>
          <w:p>
            <w:pPr>
              <w:spacing w:after="0"/>
              <w:rPr>
                <w:sz w:val="19"/>
                <w:szCs w:val="19"/>
                <w:color w:val="auto"/>
              </w:rPr>
            </w:pPr>
          </w:p>
        </w:tc>
        <w:tc>
          <w:tcPr>
            <w:tcW w:w="3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Cynthia</w:t>
            </w:r>
          </w:p>
        </w:tc>
        <w:tc>
          <w:tcPr>
            <w:tcW w:w="34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2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CFF"/>
          </w:tcPr>
          <w:p>
            <w:pPr>
              <w:spacing w:after="0"/>
              <w:rPr>
                <w:sz w:val="21"/>
                <w:szCs w:val="21"/>
                <w:color w:val="auto"/>
              </w:rPr>
            </w:pPr>
          </w:p>
        </w:tc>
        <w:tc>
          <w:tcPr>
            <w:tcW w:w="3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Williams</w:t>
            </w:r>
          </w:p>
        </w:tc>
        <w:tc>
          <w:tcPr>
            <w:tcW w:w="340" w:type="dxa"/>
            <w:vAlign w:val="bottom"/>
            <w:shd w:val="clear" w:color="auto" w:fill="CCEC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51,590</w:t>
            </w:r>
          </w:p>
        </w:tc>
        <w:tc>
          <w:tcPr>
            <w:tcW w:w="380" w:type="dxa"/>
            <w:vAlign w:val="bottom"/>
            <w:shd w:val="clear" w:color="auto" w:fill="CCECFF"/>
          </w:tcPr>
          <w:p>
            <w:pPr>
              <w:spacing w:after="0"/>
              <w:rPr>
                <w:sz w:val="21"/>
                <w:szCs w:val="21"/>
                <w:color w:val="auto"/>
              </w:rPr>
            </w:pPr>
          </w:p>
        </w:tc>
        <w:tc>
          <w:tcPr>
            <w:tcW w:w="1060" w:type="dxa"/>
            <w:vAlign w:val="bottom"/>
            <w:shd w:val="clear" w:color="auto" w:fill="CCECFF"/>
          </w:tcPr>
          <w:p>
            <w:pPr>
              <w:ind w:left="8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CFF"/>
          </w:tcPr>
          <w:p>
            <w:pPr>
              <w:ind w:lef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287,975</w:t>
            </w:r>
          </w:p>
        </w:tc>
        <w:tc>
          <w:tcPr>
            <w:tcW w:w="100" w:type="dxa"/>
            <w:vAlign w:val="bottom"/>
            <w:shd w:val="clear" w:color="auto" w:fill="CCECFF"/>
          </w:tcPr>
          <w:p>
            <w:pPr>
              <w:spacing w:after="0"/>
              <w:rPr>
                <w:sz w:val="21"/>
                <w:szCs w:val="21"/>
                <w:color w:val="auto"/>
              </w:rPr>
            </w:pPr>
          </w:p>
        </w:tc>
        <w:tc>
          <w:tcPr>
            <w:tcW w:w="1260" w:type="dxa"/>
            <w:vAlign w:val="bottom"/>
            <w:shd w:val="clear" w:color="auto" w:fill="CCECFF"/>
          </w:tcPr>
          <w:p>
            <w:pPr>
              <w:ind w:left="10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339,565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480" w:right="20" w:hanging="459"/>
        <w:spacing w:after="0" w:line="263"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Yaniv Sarig, our President and Chief Executive Officer and one of our Named Executive Officers, is not included in this table as he is an employee of ours and therefore receives no compensation for his service as a director. Mr. Sarig’s compensation is included in the section entitled “Summary Compensation Table” of this Annual Report on Form 10-K above.</w:t>
      </w:r>
    </w:p>
    <w:p>
      <w:pPr>
        <w:spacing w:after="0" w:line="196" w:lineRule="exact"/>
        <w:rPr>
          <w:rFonts w:ascii="Arial" w:cs="Arial" w:eastAsia="Arial" w:hAnsi="Arial"/>
          <w:sz w:val="18"/>
          <w:szCs w:val="18"/>
          <w:color w:val="auto"/>
        </w:rPr>
      </w:pPr>
    </w:p>
    <w:p>
      <w:pPr>
        <w:jc w:val="both"/>
        <w:ind w:left="480" w:right="20" w:hanging="459"/>
        <w:spacing w:after="0" w:line="256"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the option awards computed in accordance with FASB ASC Topic 718. Assumptions used in the calculation of these amounts are included in Note 11 to our Consolidated Financial Statements included in this Annual Report on Form 10-K. These amounts do not reflect the actual economic value that will be realized by the director upon the vesting of the stock options, the exercise of the stock options or the sale of the common stock underlying such stock options. As of December 31, 2022, none of our non-employee directors held options to purchase shares of common stock.</w:t>
      </w:r>
    </w:p>
    <w:p>
      <w:pPr>
        <w:spacing w:after="0" w:line="204" w:lineRule="exact"/>
        <w:rPr>
          <w:rFonts w:ascii="Arial" w:cs="Arial" w:eastAsia="Arial" w:hAnsi="Arial"/>
          <w:sz w:val="18"/>
          <w:szCs w:val="18"/>
          <w:color w:val="auto"/>
        </w:rPr>
      </w:pPr>
    </w:p>
    <w:p>
      <w:pPr>
        <w:jc w:val="both"/>
        <w:ind w:left="480" w:right="20" w:hanging="459"/>
        <w:spacing w:after="0" w:line="255"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the restricted stock awards computed in accordance with FASB ASC Topic 718. Assumptions used in the calculation of these amounts are included in Note 11 to our Consolidated Financial Statements included in this Annual Report on Form 10-K. These amounts do not reflect the actual economic value that will be realized by the director upon the vesting of the restricted stock awards or the sale of the common stock underlying such restricted stock awards. As of December 31, 2022, our non-employee directors held the following number of shares of restricted common stock: Ms. Harlam 21,098 shares; Ms. Lattmann 62,253; Ms. Liebel 62,253; Mr. Kurtz; 21,098 and Ms. Williams 103,403 shares.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Compensation Committee consists of four directors, each of whom is a non-employee director: Ms. Harlam, Ms. Lattmann, Mr. Kurtz and Ms. Williams with Ms. Williams serving as the Chairperson of the Compensation Committee. During 2021, none of the foregoing were an officer or employee of ours, was formerly an officer of ours or had any relationship requiring disclosure by us under Item 404 of Regulation S-K. No interlocking relationship as described in Item 407(e)(4) of Regulation S-K exists between any of our executive officers or Compensation Committee members, on the one hand, and the executive officers or compensation committee members of any other entity, on the other hand, nor has any such interlocking relationship existed in the past.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additional information as of December 31, 2022 with respect to the shares of common stock that may be issued upon the exercise of options and other rights under our existing equity compensation plans and arrangements in effect as of December 31, 2022. The information includes the number of shares covered by, and the weighted average exercise price of, outstanding options and the number of shares remaining available for future grant, excluding the shares to be issued upon exercise of outstanding options.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compensation plans approved by security holders(3)(4)</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compensation plans not approved by security holders(5)</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8"/>
        </w:trPr>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w:t>
            </w:r>
          </w:p>
        </w:tc>
        <w:tc>
          <w:tcPr>
            <w:tcW w:w="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8"/>
        </w:trPr>
        <w:tc>
          <w:tcPr>
            <w:tcW w:w="1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vMerge w:val="restart"/>
          </w:tcPr>
          <w:p>
            <w:pPr>
              <w:jc w:val="center"/>
              <w:ind w:right="379"/>
              <w:spacing w:after="0"/>
              <w:rPr>
                <w:sz w:val="20"/>
                <w:szCs w:val="20"/>
                <w:color w:val="auto"/>
              </w:rPr>
            </w:pPr>
            <w:r>
              <w:rPr>
                <w:rFonts w:ascii="Arial" w:cs="Arial" w:eastAsia="Arial" w:hAnsi="Arial"/>
                <w:sz w:val="14"/>
                <w:szCs w:val="14"/>
                <w:b w:val="1"/>
                <w:bCs w:val="1"/>
                <w:color w:val="auto"/>
                <w:w w:val="92"/>
              </w:rPr>
              <w:t>Weighted-average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8"/>
        </w:trPr>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4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8"/>
        </w:trPr>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of</w:t>
            </w:r>
          </w:p>
        </w:tc>
        <w:tc>
          <w:tcPr>
            <w:tcW w:w="460" w:type="dxa"/>
            <w:vAlign w:val="bottom"/>
          </w:tcPr>
          <w:p>
            <w:pPr>
              <w:spacing w:after="0"/>
              <w:rPr>
                <w:sz w:val="12"/>
                <w:szCs w:val="12"/>
                <w:color w:val="auto"/>
              </w:rPr>
            </w:pPr>
          </w:p>
        </w:tc>
        <w:tc>
          <w:tcPr>
            <w:tcW w:w="162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8"/>
        </w:trPr>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rights(b)</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84"/>
        </w:trPr>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rights(a)</w:t>
            </w:r>
          </w:p>
        </w:tc>
        <w:tc>
          <w:tcPr>
            <w:tcW w:w="460" w:type="dxa"/>
            <w:vAlign w:val="bottom"/>
          </w:tcPr>
          <w:p>
            <w:pPr>
              <w:spacing w:after="0"/>
              <w:rPr>
                <w:sz w:val="15"/>
                <w:szCs w:val="15"/>
                <w:color w:val="auto"/>
              </w:rPr>
            </w:pPr>
          </w:p>
        </w:tc>
        <w:tc>
          <w:tcPr>
            <w:tcW w:w="1620" w:type="dxa"/>
            <w:vAlign w:val="bottom"/>
          </w:tcPr>
          <w:p>
            <w:pPr>
              <w:jc w:val="center"/>
              <w:ind w:right="339"/>
              <w:spacing w:after="0"/>
              <w:rPr>
                <w:sz w:val="20"/>
                <w:szCs w:val="20"/>
                <w:color w:val="auto"/>
              </w:rPr>
            </w:pPr>
            <w:r>
              <w:rPr>
                <w:rFonts w:ascii="Arial" w:cs="Arial" w:eastAsia="Arial" w:hAnsi="Arial"/>
                <w:sz w:val="14"/>
                <w:szCs w:val="14"/>
                <w:b w:val="1"/>
                <w:bCs w:val="1"/>
                <w:color w:val="auto"/>
                <w:w w:val="93"/>
              </w:rPr>
              <w:t>(1)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in column(a)(c)(2)</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320,027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9"/>
              <w:spacing w:after="0"/>
              <w:rPr>
                <w:sz w:val="20"/>
                <w:szCs w:val="20"/>
                <w:color w:val="auto"/>
              </w:rPr>
            </w:pPr>
            <w:r>
              <w:rPr>
                <w:rFonts w:ascii="Arial" w:cs="Arial" w:eastAsia="Arial" w:hAnsi="Arial"/>
                <w:sz w:val="18"/>
                <w:szCs w:val="18"/>
                <w:color w:val="auto"/>
              </w:rPr>
              <w:t>9.73</w:t>
            </w:r>
          </w:p>
        </w:tc>
        <w:tc>
          <w:tcPr>
            <w:tcW w:w="1240" w:type="dxa"/>
            <w:vAlign w:val="bottom"/>
          </w:tcPr>
          <w:p>
            <w:pPr>
              <w:jc w:val="right"/>
              <w:spacing w:after="0"/>
              <w:rPr>
                <w:sz w:val="20"/>
                <w:szCs w:val="20"/>
                <w:color w:val="auto"/>
              </w:rPr>
            </w:pPr>
            <w:r>
              <w:rPr>
                <w:rFonts w:ascii="Arial" w:cs="Arial" w:eastAsia="Arial" w:hAnsi="Arial"/>
                <w:sz w:val="18"/>
                <w:szCs w:val="18"/>
                <w:color w:val="auto"/>
              </w:rPr>
              <w:t>724,880</w:t>
            </w:r>
          </w:p>
        </w:tc>
        <w:tc>
          <w:tcPr>
            <w:tcW w:w="0" w:type="dxa"/>
            <w:vAlign w:val="bottom"/>
          </w:tcPr>
          <w:p>
            <w:pPr>
              <w:spacing w:after="0"/>
              <w:rPr>
                <w:sz w:val="1"/>
                <w:szCs w:val="1"/>
                <w:color w:val="auto"/>
              </w:rPr>
            </w:pPr>
          </w:p>
        </w:tc>
      </w:tr>
      <w:tr>
        <w:trPr>
          <w:trHeight w:val="256"/>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9"/>
              <w:spacing w:after="0"/>
              <w:rPr>
                <w:sz w:val="20"/>
                <w:szCs w:val="20"/>
                <w:color w:val="auto"/>
              </w:rPr>
            </w:pPr>
            <w:r>
              <w:rPr>
                <w:rFonts w:ascii="Arial" w:cs="Arial" w:eastAsia="Arial" w:hAnsi="Arial"/>
                <w:sz w:val="18"/>
                <w:szCs w:val="18"/>
                <w:color w:val="auto"/>
              </w:rPr>
              <w:t>6.13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2,131,935</w:t>
            </w:r>
          </w:p>
        </w:tc>
        <w:tc>
          <w:tcPr>
            <w:tcW w:w="0" w:type="dxa"/>
            <w:vAlign w:val="bottom"/>
          </w:tcPr>
          <w:p>
            <w:pPr>
              <w:spacing w:after="0"/>
              <w:rPr>
                <w:sz w:val="1"/>
                <w:szCs w:val="1"/>
                <w:color w:val="auto"/>
              </w:rPr>
            </w:pPr>
          </w:p>
        </w:tc>
      </w:tr>
      <w:tr>
        <w:trPr>
          <w:trHeight w:val="236"/>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368,596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9"/>
              <w:spacing w:after="0"/>
              <w:rPr>
                <w:sz w:val="20"/>
                <w:szCs w:val="20"/>
                <w:color w:val="auto"/>
              </w:rPr>
            </w:pPr>
            <w:r>
              <w:rPr>
                <w:rFonts w:ascii="Arial" w:cs="Arial" w:eastAsia="Arial" w:hAnsi="Arial"/>
                <w:sz w:val="18"/>
                <w:szCs w:val="18"/>
                <w:color w:val="auto"/>
              </w:rPr>
              <w:t>9.26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2,856,815</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-495935</wp:posOffset>
            </wp:positionV>
            <wp:extent cx="713232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-179070</wp:posOffset>
            </wp:positionV>
            <wp:extent cx="7132320"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4780"/>
          </w:cols>
          <w:pgMar w:left="320" w:top="118" w:right="339" w:bottom="1440" w:gutter="0" w:footer="0" w:header="0"/>
        </w:sectPr>
      </w:pPr>
    </w:p>
    <w:p>
      <w:pPr>
        <w:spacing w:after="0" w:line="1" w:lineRule="exact"/>
        <w:rPr>
          <w:sz w:val="20"/>
          <w:szCs w:val="20"/>
          <w:color w:val="auto"/>
        </w:rPr>
      </w:pPr>
    </w:p>
    <w:p>
      <w:pPr>
        <w:ind w:left="460" w:hanging="439"/>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the weighted average exercise price of outstanding options as of December 31, 2022.</w:t>
      </w:r>
    </w:p>
    <w:p>
      <w:pPr>
        <w:spacing w:after="0" w:line="237" w:lineRule="exact"/>
        <w:rPr>
          <w:rFonts w:ascii="Arial" w:cs="Arial" w:eastAsia="Arial" w:hAnsi="Arial"/>
          <w:sz w:val="18"/>
          <w:szCs w:val="18"/>
          <w:color w:val="auto"/>
        </w:rPr>
      </w:pPr>
    </w:p>
    <w:p>
      <w:pPr>
        <w:ind w:left="480" w:hanging="459"/>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entirely of shares of common stock that remain available for future issuance under the 2018 Plan as of December 31, 2021.</w:t>
      </w:r>
    </w:p>
    <w:p>
      <w:pPr>
        <w:spacing w:after="0" w:line="237" w:lineRule="exact"/>
        <w:rPr>
          <w:rFonts w:ascii="Arial" w:cs="Arial" w:eastAsia="Arial" w:hAnsi="Arial"/>
          <w:sz w:val="18"/>
          <w:szCs w:val="18"/>
          <w:color w:val="auto"/>
        </w:rPr>
      </w:pPr>
    </w:p>
    <w:p>
      <w:pPr>
        <w:ind w:left="480" w:hanging="459"/>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options outstanding as of December 31, 2022 under the 2018 Plan.</w:t>
      </w:r>
    </w:p>
    <w:p>
      <w:pPr>
        <w:spacing w:after="0" w:line="237" w:lineRule="exact"/>
        <w:rPr>
          <w:rFonts w:ascii="Arial" w:cs="Arial" w:eastAsia="Arial" w:hAnsi="Arial"/>
          <w:sz w:val="18"/>
          <w:szCs w:val="18"/>
          <w:color w:val="auto"/>
        </w:rPr>
      </w:pPr>
    </w:p>
    <w:p>
      <w:pPr>
        <w:jc w:val="both"/>
        <w:ind w:left="480" w:right="20" w:hanging="459"/>
        <w:spacing w:after="0" w:line="275"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number of shares of our common stock available for issuance under the 2018 Plan will automatically increase on January 1st of each year, for a period of not more than nine years, beginning January 1, 2020 and ending on (and including) January 1, 2028 by the lesser of (i) 15% of the shares deemed outstanding as of the preceding December 31, minus the number of shares in the share reserve (which for this purpose includes shares issued and issuable pursuant to the Aterian Group, Inc. Amended and Restated 2014 Equity Incentive Plan (the “2014 Plan”) as of immediately prior to the increase, or (ii) such number of shares as determined by our Board.</w:t>
      </w:r>
    </w:p>
    <w:p>
      <w:pPr>
        <w:spacing w:after="0" w:line="188" w:lineRule="exact"/>
        <w:rPr>
          <w:rFonts w:ascii="Arial" w:cs="Arial" w:eastAsia="Arial" w:hAnsi="Arial"/>
          <w:sz w:val="17"/>
          <w:szCs w:val="17"/>
          <w:color w:val="auto"/>
        </w:rPr>
      </w:pPr>
    </w:p>
    <w:p>
      <w:pPr>
        <w:ind w:left="480" w:right="360" w:hanging="459"/>
        <w:spacing w:after="0" w:line="277" w:lineRule="auto"/>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options outstanding as of December 31, 2022 under the 2014 Plan and securities remaining available for future issuance for the 2014 Plan and the Inducement Equity Incentive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as of December 31, 2022, with respect to the beneficial ownership of shares of our common stock by:</w:t>
      </w:r>
    </w:p>
    <w:p>
      <w:pPr>
        <w:spacing w:after="0" w:line="236" w:lineRule="exact"/>
        <w:rPr>
          <w:sz w:val="20"/>
          <w:szCs w:val="20"/>
          <w:color w:val="auto"/>
        </w:rPr>
      </w:pPr>
    </w:p>
    <w:p>
      <w:pPr>
        <w:ind w:left="1020" w:hanging="44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7" w:lineRule="exact"/>
        <w:rPr>
          <w:rFonts w:ascii="Arial" w:cs="Arial" w:eastAsia="Arial" w:hAnsi="Arial"/>
          <w:sz w:val="18"/>
          <w:szCs w:val="18"/>
          <w:color w:val="auto"/>
        </w:rPr>
      </w:pPr>
    </w:p>
    <w:p>
      <w:pPr>
        <w:ind w:left="1020" w:hanging="44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237" w:lineRule="exact"/>
        <w:rPr>
          <w:rFonts w:ascii="Arial" w:cs="Arial" w:eastAsia="Arial" w:hAnsi="Arial"/>
          <w:sz w:val="18"/>
          <w:szCs w:val="18"/>
          <w:color w:val="auto"/>
        </w:rPr>
      </w:pPr>
    </w:p>
    <w:p>
      <w:pPr>
        <w:ind w:left="1040" w:hanging="452"/>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37" w:lineRule="exact"/>
        <w:rPr>
          <w:rFonts w:ascii="Arial" w:cs="Arial" w:eastAsia="Arial" w:hAnsi="Arial"/>
          <w:sz w:val="18"/>
          <w:szCs w:val="18"/>
          <w:color w:val="auto"/>
        </w:rPr>
      </w:pPr>
    </w:p>
    <w:p>
      <w:pPr>
        <w:ind w:left="1040" w:hanging="452"/>
        <w:spacing w:after="0"/>
        <w:tabs>
          <w:tab w:leader="none" w:pos="10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 the beneficial owner of more than five percent of our common stock.</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table is based upon information supplied by officers, directors and principal stockholders and a review of Section 16 filings and/or Schedules 13D and 13G, if any, filed with the SEC. Other than as set forth below, we are not aware of any beneficial owner of more than five percent of our common stock as of March 24, 2022.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determined beneficial ownership in accordance with the rules of the SEC. We have deemed shares of our common stock subject to warrants and options that are currently exercisable or exercisable within 60 days of March 24, 2022 to be outstanding and to be beneficially owned by the person holding the option for the purpose of computing the percentage ownership of that person but have not treated them as outstanding for the purpose of computing the percentage ownership of any other person. Percentage ownership of our common stock is based on 80,752,290 shares of our common stock outstanding as of December 31, 2022.</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noted below, the address of each beneficial owner listed in the table is c/o Aterian, Inc., 37 East 18th Street, 7th Floor, New York, NY 10003.</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Beneficial Ownership of Common Stock</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160" w:type="dxa"/>
            <w:vAlign w:val="bottom"/>
          </w:tcPr>
          <w:p>
            <w:pPr>
              <w:jc w:val="right"/>
              <w:ind w:right="234"/>
              <w:spacing w:after="0" w:line="133" w:lineRule="exact"/>
              <w:rPr>
                <w:sz w:val="20"/>
                <w:szCs w:val="20"/>
                <w:color w:val="auto"/>
              </w:rPr>
            </w:pPr>
            <w:r>
              <w:rPr>
                <w:rFonts w:ascii="Arial" w:cs="Arial" w:eastAsia="Arial" w:hAnsi="Arial"/>
                <w:sz w:val="14"/>
                <w:szCs w:val="14"/>
                <w:b w:val="1"/>
                <w:bCs w:val="1"/>
                <w:color w:val="auto"/>
              </w:rPr>
              <w:t>Number of</w:t>
            </w:r>
          </w:p>
        </w:tc>
        <w:tc>
          <w:tcPr>
            <w:tcW w:w="660" w:type="dxa"/>
            <w:vAlign w:val="bottom"/>
          </w:tcPr>
          <w:p>
            <w:pPr>
              <w:spacing w:after="0"/>
              <w:rPr>
                <w:sz w:val="11"/>
                <w:szCs w:val="11"/>
                <w:color w:val="auto"/>
              </w:rPr>
            </w:pP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%(1)</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20" w:type="dxa"/>
            <w:vAlign w:val="bottom"/>
            <w:gridSpan w:val="2"/>
            <w:shd w:val="clear" w:color="auto" w:fill="CCECFF"/>
          </w:tcPr>
          <w:p>
            <w:pPr>
              <w:ind w:left="20"/>
              <w:spacing w:after="0"/>
              <w:rPr>
                <w:sz w:val="20"/>
                <w:szCs w:val="20"/>
                <w:color w:val="auto"/>
              </w:rPr>
            </w:pPr>
            <w:r>
              <w:rPr>
                <w:rFonts w:ascii="Arial" w:cs="Arial" w:eastAsia="Arial" w:hAnsi="Arial"/>
                <w:sz w:val="18"/>
                <w:szCs w:val="18"/>
                <w:b w:val="1"/>
                <w:bCs w:val="1"/>
                <w:color w:val="auto"/>
              </w:rPr>
              <w:t>Greater than 5% Stockholders:</w:t>
            </w:r>
          </w:p>
        </w:tc>
        <w:tc>
          <w:tcPr>
            <w:tcW w:w="116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1240" w:type="dxa"/>
            <w:vAlign w:val="bottom"/>
            <w:shd w:val="clear" w:color="auto" w:fill="CCECFF"/>
          </w:tcPr>
          <w:p>
            <w:pPr>
              <w:spacing w:after="0"/>
              <w:rPr>
                <w:sz w:val="20"/>
                <w:szCs w:val="20"/>
                <w:color w:val="auto"/>
              </w:rPr>
            </w:pPr>
          </w:p>
        </w:tc>
        <w:tc>
          <w:tcPr>
            <w:tcW w:w="5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Armistice Capital Master Fund Ltd.</w:t>
            </w:r>
          </w:p>
        </w:tc>
        <w:tc>
          <w:tcPr>
            <w:tcW w:w="1160" w:type="dxa"/>
            <w:vAlign w:val="bottom"/>
          </w:tcPr>
          <w:p>
            <w:pPr>
              <w:jc w:val="right"/>
              <w:spacing w:after="0"/>
              <w:rPr>
                <w:sz w:val="20"/>
                <w:szCs w:val="20"/>
                <w:color w:val="auto"/>
              </w:rPr>
            </w:pPr>
            <w:r>
              <w:rPr>
                <w:rFonts w:ascii="Arial" w:cs="Arial" w:eastAsia="Arial" w:hAnsi="Arial"/>
                <w:sz w:val="18"/>
                <w:szCs w:val="18"/>
                <w:color w:val="auto"/>
              </w:rPr>
              <w:t>14,080,303</w:t>
            </w:r>
          </w:p>
        </w:tc>
        <w:tc>
          <w:tcPr>
            <w:tcW w:w="660" w:type="dxa"/>
            <w:vAlign w:val="bottom"/>
          </w:tcPr>
          <w:p>
            <w:pPr>
              <w:ind w:left="120"/>
              <w:spacing w:after="0"/>
              <w:rPr>
                <w:sz w:val="20"/>
                <w:szCs w:val="20"/>
                <w:color w:val="auto"/>
              </w:rPr>
            </w:pPr>
            <w:r>
              <w:rPr>
                <w:rFonts w:ascii="Arial" w:cs="Arial" w:eastAsia="Arial" w:hAnsi="Arial"/>
                <w:sz w:val="18"/>
                <w:szCs w:val="18"/>
                <w:color w:val="auto"/>
              </w:rPr>
              <w:t>(2)</w:t>
            </w:r>
          </w:p>
        </w:tc>
        <w:tc>
          <w:tcPr>
            <w:tcW w:w="1240" w:type="dxa"/>
            <w:vAlign w:val="bottom"/>
          </w:tcPr>
          <w:p>
            <w:pPr>
              <w:jc w:val="right"/>
              <w:spacing w:after="0"/>
              <w:rPr>
                <w:sz w:val="20"/>
                <w:szCs w:val="20"/>
                <w:color w:val="auto"/>
              </w:rPr>
            </w:pPr>
            <w:r>
              <w:rPr>
                <w:rFonts w:ascii="Arial" w:cs="Arial" w:eastAsia="Arial" w:hAnsi="Arial"/>
                <w:sz w:val="18"/>
                <w:szCs w:val="18"/>
                <w:color w:val="auto"/>
              </w:rPr>
              <w:t>14.9</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7620" w:type="dxa"/>
            <w:vAlign w:val="bottom"/>
            <w:gridSpan w:val="2"/>
          </w:tcPr>
          <w:p>
            <w:pPr>
              <w:spacing w:after="0"/>
              <w:rPr>
                <w:sz w:val="22"/>
                <w:szCs w:val="22"/>
                <w:color w:val="auto"/>
              </w:rPr>
            </w:pPr>
          </w:p>
        </w:tc>
        <w:tc>
          <w:tcPr>
            <w:tcW w:w="1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20" w:type="dxa"/>
            <w:vAlign w:val="bottom"/>
            <w:gridSpan w:val="2"/>
            <w:shd w:val="clear" w:color="auto" w:fill="CCECFF"/>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16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1240" w:type="dxa"/>
            <w:vAlign w:val="bottom"/>
            <w:shd w:val="clear" w:color="auto" w:fill="CCECFF"/>
          </w:tcPr>
          <w:p>
            <w:pPr>
              <w:spacing w:after="0"/>
              <w:rPr>
                <w:sz w:val="21"/>
                <w:szCs w:val="21"/>
                <w:color w:val="auto"/>
              </w:rPr>
            </w:pPr>
          </w:p>
        </w:tc>
        <w:tc>
          <w:tcPr>
            <w:tcW w:w="5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Yaniv Sarig</w:t>
            </w:r>
          </w:p>
        </w:tc>
        <w:tc>
          <w:tcPr>
            <w:tcW w:w="1160" w:type="dxa"/>
            <w:vAlign w:val="bottom"/>
          </w:tcPr>
          <w:p>
            <w:pPr>
              <w:jc w:val="right"/>
              <w:spacing w:after="0"/>
              <w:rPr>
                <w:sz w:val="20"/>
                <w:szCs w:val="20"/>
                <w:color w:val="auto"/>
              </w:rPr>
            </w:pPr>
            <w:r>
              <w:rPr>
                <w:rFonts w:ascii="Arial" w:cs="Arial" w:eastAsia="Arial" w:hAnsi="Arial"/>
                <w:sz w:val="18"/>
                <w:szCs w:val="18"/>
                <w:color w:val="auto"/>
              </w:rPr>
              <w:t>1,075,254</w:t>
            </w:r>
          </w:p>
        </w:tc>
        <w:tc>
          <w:tcPr>
            <w:tcW w:w="660" w:type="dxa"/>
            <w:vAlign w:val="bottom"/>
          </w:tcPr>
          <w:p>
            <w:pPr>
              <w:ind w:left="120"/>
              <w:spacing w:after="0"/>
              <w:rPr>
                <w:sz w:val="20"/>
                <w:szCs w:val="20"/>
                <w:color w:val="auto"/>
              </w:rPr>
            </w:pPr>
            <w:r>
              <w:rPr>
                <w:rFonts w:ascii="Arial" w:cs="Arial" w:eastAsia="Arial" w:hAnsi="Arial"/>
                <w:sz w:val="18"/>
                <w:szCs w:val="18"/>
                <w:color w:val="auto"/>
              </w:rPr>
              <w:t>(3)</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62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Joseph Risico</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558,201</w:t>
            </w:r>
          </w:p>
        </w:tc>
        <w:tc>
          <w:tcPr>
            <w:tcW w:w="6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(4)</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Roi Zahut</w:t>
            </w:r>
          </w:p>
        </w:tc>
        <w:tc>
          <w:tcPr>
            <w:tcW w:w="1160" w:type="dxa"/>
            <w:vAlign w:val="bottom"/>
          </w:tcPr>
          <w:p>
            <w:pPr>
              <w:jc w:val="right"/>
              <w:spacing w:after="0"/>
              <w:rPr>
                <w:sz w:val="20"/>
                <w:szCs w:val="20"/>
                <w:color w:val="auto"/>
              </w:rPr>
            </w:pPr>
            <w:r>
              <w:rPr>
                <w:rFonts w:ascii="Arial" w:cs="Arial" w:eastAsia="Arial" w:hAnsi="Arial"/>
                <w:sz w:val="18"/>
                <w:szCs w:val="18"/>
                <w:color w:val="auto"/>
              </w:rPr>
              <w:t>497,533</w:t>
            </w:r>
          </w:p>
        </w:tc>
        <w:tc>
          <w:tcPr>
            <w:tcW w:w="660" w:type="dxa"/>
            <w:vAlign w:val="bottom"/>
          </w:tcPr>
          <w:p>
            <w:pPr>
              <w:ind w:left="120"/>
              <w:spacing w:after="0"/>
              <w:rPr>
                <w:sz w:val="20"/>
                <w:szCs w:val="20"/>
                <w:color w:val="auto"/>
              </w:rPr>
            </w:pPr>
            <w:r>
              <w:rPr>
                <w:rFonts w:ascii="Arial" w:cs="Arial" w:eastAsia="Arial" w:hAnsi="Arial"/>
                <w:sz w:val="18"/>
                <w:szCs w:val="18"/>
                <w:color w:val="auto"/>
              </w:rPr>
              <w:t>(5)</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2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William Kurtz</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103,743</w:t>
            </w:r>
          </w:p>
        </w:tc>
        <w:tc>
          <w:tcPr>
            <w:tcW w:w="6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(6)</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Bari A. Harlam</w:t>
            </w:r>
          </w:p>
        </w:tc>
        <w:tc>
          <w:tcPr>
            <w:tcW w:w="1160" w:type="dxa"/>
            <w:vAlign w:val="bottom"/>
          </w:tcPr>
          <w:p>
            <w:pPr>
              <w:jc w:val="right"/>
              <w:spacing w:after="0"/>
              <w:rPr>
                <w:sz w:val="20"/>
                <w:szCs w:val="20"/>
                <w:color w:val="auto"/>
              </w:rPr>
            </w:pPr>
            <w:r>
              <w:rPr>
                <w:rFonts w:ascii="Arial" w:cs="Arial" w:eastAsia="Arial" w:hAnsi="Arial"/>
                <w:sz w:val="18"/>
                <w:szCs w:val="18"/>
                <w:color w:val="auto"/>
              </w:rPr>
              <w:t>112,900</w:t>
            </w:r>
          </w:p>
        </w:tc>
        <w:tc>
          <w:tcPr>
            <w:tcW w:w="660" w:type="dxa"/>
            <w:vAlign w:val="bottom"/>
          </w:tcPr>
          <w:p>
            <w:pPr>
              <w:ind w:left="120"/>
              <w:spacing w:after="0"/>
              <w:rPr>
                <w:sz w:val="20"/>
                <w:szCs w:val="20"/>
                <w:color w:val="auto"/>
              </w:rPr>
            </w:pPr>
            <w:r>
              <w:rPr>
                <w:rFonts w:ascii="Arial" w:cs="Arial" w:eastAsia="Arial" w:hAnsi="Arial"/>
                <w:sz w:val="18"/>
                <w:szCs w:val="18"/>
                <w:color w:val="auto"/>
              </w:rPr>
              <w:t>(7)</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2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Susan Lattmann</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103,923</w:t>
            </w:r>
          </w:p>
        </w:tc>
        <w:tc>
          <w:tcPr>
            <w:tcW w:w="6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(8)</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Cynthia Williams</w:t>
            </w:r>
          </w:p>
        </w:tc>
        <w:tc>
          <w:tcPr>
            <w:tcW w:w="1160" w:type="dxa"/>
            <w:vAlign w:val="bottom"/>
          </w:tcPr>
          <w:p>
            <w:pPr>
              <w:jc w:val="right"/>
              <w:spacing w:after="0"/>
              <w:rPr>
                <w:sz w:val="20"/>
                <w:szCs w:val="20"/>
                <w:color w:val="auto"/>
              </w:rPr>
            </w:pPr>
            <w:r>
              <w:rPr>
                <w:rFonts w:ascii="Arial" w:cs="Arial" w:eastAsia="Arial" w:hAnsi="Arial"/>
                <w:sz w:val="18"/>
                <w:szCs w:val="18"/>
                <w:color w:val="auto"/>
              </w:rPr>
              <w:t>124,500</w:t>
            </w:r>
          </w:p>
        </w:tc>
        <w:tc>
          <w:tcPr>
            <w:tcW w:w="660" w:type="dxa"/>
            <w:vAlign w:val="bottom"/>
          </w:tcPr>
          <w:p>
            <w:pPr>
              <w:ind w:left="120"/>
              <w:spacing w:after="0"/>
              <w:rPr>
                <w:sz w:val="20"/>
                <w:szCs w:val="20"/>
                <w:color w:val="auto"/>
              </w:rPr>
            </w:pPr>
            <w:r>
              <w:rPr>
                <w:rFonts w:ascii="Arial" w:cs="Arial" w:eastAsia="Arial" w:hAnsi="Arial"/>
                <w:sz w:val="18"/>
                <w:szCs w:val="18"/>
                <w:color w:val="auto"/>
              </w:rPr>
              <w:t>(9)</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2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Sarah Liebel</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103,923</w:t>
            </w:r>
          </w:p>
        </w:tc>
        <w:tc>
          <w:tcPr>
            <w:tcW w:w="6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All current executive officers and directors as a group (11 persons)</w:t>
            </w:r>
          </w:p>
        </w:tc>
        <w:tc>
          <w:tcPr>
            <w:tcW w:w="1160" w:type="dxa"/>
            <w:vAlign w:val="bottom"/>
          </w:tcPr>
          <w:p>
            <w:pPr>
              <w:jc w:val="right"/>
              <w:spacing w:after="0"/>
              <w:rPr>
                <w:sz w:val="20"/>
                <w:szCs w:val="20"/>
                <w:color w:val="auto"/>
              </w:rPr>
            </w:pPr>
            <w:r>
              <w:rPr>
                <w:rFonts w:ascii="Arial" w:cs="Arial" w:eastAsia="Arial" w:hAnsi="Arial"/>
                <w:sz w:val="18"/>
                <w:szCs w:val="18"/>
                <w:color w:val="auto"/>
              </w:rPr>
              <w:t>3,836,404</w:t>
            </w:r>
          </w:p>
        </w:tc>
        <w:tc>
          <w:tcPr>
            <w:tcW w:w="660" w:type="dxa"/>
            <w:vAlign w:val="bottom"/>
          </w:tcPr>
          <w:p>
            <w:pPr>
              <w:ind w:left="120"/>
              <w:spacing w:after="0"/>
              <w:rPr>
                <w:sz w:val="20"/>
                <w:szCs w:val="20"/>
                <w:color w:val="auto"/>
              </w:rPr>
            </w:pPr>
            <w:r>
              <w:rPr>
                <w:rFonts w:ascii="Arial" w:cs="Arial" w:eastAsia="Arial" w:hAnsi="Arial"/>
                <w:sz w:val="18"/>
                <w:szCs w:val="18"/>
                <w:color w:val="auto"/>
              </w:rPr>
              <w:t>(11)</w:t>
            </w: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4"/>
        </w:trPr>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340" w:type="dxa"/>
            <w:vAlign w:val="bottom"/>
          </w:tcPr>
          <w:p>
            <w:pPr>
              <w:ind w:left="180"/>
              <w:spacing w:after="0"/>
              <w:rPr>
                <w:sz w:val="20"/>
                <w:szCs w:val="20"/>
                <w:color w:val="auto"/>
              </w:rPr>
            </w:pPr>
            <w:r>
              <w:rPr>
                <w:rFonts w:ascii="Arial" w:cs="Arial" w:eastAsia="Arial" w:hAnsi="Arial"/>
                <w:sz w:val="18"/>
                <w:szCs w:val="18"/>
                <w:color w:val="auto"/>
              </w:rPr>
              <w:t>Denotes less than 1%.</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480" w:right="20" w:hanging="459"/>
        <w:spacing w:after="0" w:line="263"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each person and group included in this table, percentage ownership is calculated by dividing the number of shares beneficially owned by such person or group by the sum of the number of shares of common stock outstanding as of March 15, 2023, plus the number of shares of common stock that such person or group had the right to acquire within 60 days after March 15, 2023.</w:t>
      </w:r>
    </w:p>
    <w:p>
      <w:pPr>
        <w:spacing w:after="0" w:line="196" w:lineRule="exact"/>
        <w:rPr>
          <w:rFonts w:ascii="Arial" w:cs="Arial" w:eastAsia="Arial" w:hAnsi="Arial"/>
          <w:sz w:val="18"/>
          <w:szCs w:val="18"/>
          <w:color w:val="auto"/>
        </w:rPr>
      </w:pPr>
    </w:p>
    <w:p>
      <w:pPr>
        <w:jc w:val="both"/>
        <w:ind w:left="480" w:right="20" w:hanging="459"/>
        <w:spacing w:after="0" w:line="296" w:lineRule="auto"/>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Comprised of 14,080,303 warrants that are exercisable within 60 days after March 15, 2023. The securities are directly held by Armistice Capital Master Fund Ltd. (the “Master Fund”), a Cayman Islands exempted company, and may be deemed to be indirectly beneficially owned by (i) Armistice Capital, LLC (“Armistice”), as the investment manager of the Master Fund; and (ii) Steven Boyd, as the Managing Member of Armistice Capital. Armistice and Steven Boyd disclaim beneficial ownership of the reported securities except to the extent of their respective pecuniary interest therein. The address of Armistice Capital Master Fund Ltd. is c/o Armistice Capital, LLC, 510 Madison Avenue, 7th Floor, New York, NY 10022.</w:t>
      </w:r>
    </w:p>
    <w:p>
      <w:pPr>
        <w:spacing w:after="0" w:line="173" w:lineRule="exact"/>
        <w:rPr>
          <w:rFonts w:ascii="Arial" w:cs="Arial" w:eastAsia="Arial" w:hAnsi="Arial"/>
          <w:sz w:val="16"/>
          <w:szCs w:val="16"/>
          <w:color w:val="auto"/>
        </w:rPr>
      </w:pPr>
    </w:p>
    <w:p>
      <w:pPr>
        <w:jc w:val="both"/>
        <w:ind w:left="480" w:right="20" w:hanging="459"/>
        <w:spacing w:after="0" w:line="263"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Sarig’s holdings consist of (i) 269,524 shares of common stock held directly (ii) 758,111 shares of restricted common stock that are subject to vesting and (iii) 47,619 warrants that are exercisable within 60 days after March 15, 2023. The shares of restricted common stock have voting rights irrespective of any vesting requirements.</w:t>
      </w:r>
    </w:p>
    <w:p>
      <w:pPr>
        <w:spacing w:after="0" w:line="196" w:lineRule="exact"/>
        <w:rPr>
          <w:rFonts w:ascii="Arial" w:cs="Arial" w:eastAsia="Arial" w:hAnsi="Arial"/>
          <w:sz w:val="18"/>
          <w:szCs w:val="18"/>
          <w:color w:val="auto"/>
        </w:rPr>
      </w:pPr>
    </w:p>
    <w:p>
      <w:pPr>
        <w:jc w:val="both"/>
        <w:ind w:left="480" w:right="20" w:hanging="459"/>
        <w:spacing w:after="0" w:line="259"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Risico's holdings consist of (i) 156,171 shares of common stock held directly, (ii)26,937 shares of common stock issuable pursuant to stock options that are exercisable within 60 days after March 15, 2023, (iii) 327,474 shares of restricted common stock that are subject to vesting, and (iv) 47,619 of warrants that are exercisable within 60 days after March 15, 2023. The shares of restricted common stock have voting rights irrespective of any vesting requirements.</w:t>
      </w:r>
    </w:p>
    <w:p>
      <w:pPr>
        <w:spacing w:after="0" w:line="198" w:lineRule="exact"/>
        <w:rPr>
          <w:rFonts w:ascii="Arial" w:cs="Arial" w:eastAsia="Arial" w:hAnsi="Arial"/>
          <w:sz w:val="18"/>
          <w:szCs w:val="18"/>
          <w:color w:val="auto"/>
        </w:rPr>
      </w:pPr>
    </w:p>
    <w:p>
      <w:pPr>
        <w:jc w:val="both"/>
        <w:ind w:left="480" w:right="20" w:hanging="459"/>
        <w:spacing w:after="0" w:line="259"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Zahut’s holdings consist of (i) 141,751 shares of common stock held directly, (ii) 21,165 shares of common stock issuable pursuant to stock options that are exercisable within 60 days after March 15, 2023 (iii) 327,474 shares of restricted common stock that are subject to vesting and (iv) 7,143 of warrants that are exercisable within 60 days after March 15, 2023. The shares of restricted common stock have voting rights irrespective of any vesting requirements.</w:t>
      </w:r>
    </w:p>
    <w:p>
      <w:pPr>
        <w:spacing w:after="0" w:line="198" w:lineRule="exact"/>
        <w:rPr>
          <w:rFonts w:ascii="Arial" w:cs="Arial" w:eastAsia="Arial" w:hAnsi="Arial"/>
          <w:sz w:val="18"/>
          <w:szCs w:val="18"/>
          <w:color w:val="auto"/>
        </w:rPr>
      </w:pPr>
    </w:p>
    <w:p>
      <w:pPr>
        <w:ind w:left="480" w:right="20" w:hanging="459"/>
        <w:spacing w:after="0" w:line="277"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Comprised of: (i) 82,645 shares of common stock held directly, and (ii) 21,098 shares of restricted common stock that are subject to vesting. The shares of restricted common stock have voting rights irrespective of any vesting requirements.</w:t>
      </w:r>
    </w:p>
    <w:p>
      <w:pPr>
        <w:spacing w:after="0" w:line="182" w:lineRule="exact"/>
        <w:rPr>
          <w:rFonts w:ascii="Arial" w:cs="Arial" w:eastAsia="Arial" w:hAnsi="Arial"/>
          <w:sz w:val="18"/>
          <w:szCs w:val="18"/>
          <w:color w:val="auto"/>
        </w:rPr>
      </w:pPr>
    </w:p>
    <w:p>
      <w:pPr>
        <w:ind w:left="480" w:right="20" w:hanging="459"/>
        <w:spacing w:after="0" w:line="277"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Comprised of: (i) 91,802 shares of common stock held directly, and (ii) 21,098 shares of restricted common stock that are subject to vesting. The shares of restricted common stock have voting rights irrespective of any vesting requirements.</w:t>
      </w:r>
    </w:p>
    <w:p>
      <w:pPr>
        <w:spacing w:after="0" w:line="182" w:lineRule="exact"/>
        <w:rPr>
          <w:rFonts w:ascii="Arial" w:cs="Arial" w:eastAsia="Arial" w:hAnsi="Arial"/>
          <w:sz w:val="18"/>
          <w:szCs w:val="18"/>
          <w:color w:val="auto"/>
        </w:rPr>
      </w:pPr>
    </w:p>
    <w:p>
      <w:pPr>
        <w:ind w:left="480" w:right="20" w:hanging="459"/>
        <w:spacing w:after="0" w:line="277"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Comprised of: (i) 41,670 shares of common stock held directly, and (ii) 62,253 shares of restricted common stock that are subject to vesting. The shares of restricted common stock have voting rights irrespective of any vesting requirements.</w:t>
      </w:r>
    </w:p>
    <w:p>
      <w:pPr>
        <w:spacing w:after="0" w:line="182" w:lineRule="exact"/>
        <w:rPr>
          <w:rFonts w:ascii="Arial" w:cs="Arial" w:eastAsia="Arial" w:hAnsi="Arial"/>
          <w:sz w:val="18"/>
          <w:szCs w:val="18"/>
          <w:color w:val="auto"/>
        </w:rPr>
      </w:pPr>
    </w:p>
    <w:p>
      <w:pPr>
        <w:ind w:left="480" w:right="20" w:hanging="459"/>
        <w:spacing w:after="0" w:line="277"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Comprised of: (i) 21,907 shares of common stock held directly, and (ii) 103,403 shares of restricted common stock that are subject to vesting. The shares of restricted common stock have voting rights irrespective of any vesting requirements.</w:t>
      </w:r>
    </w:p>
    <w:p>
      <w:pPr>
        <w:spacing w:after="0" w:line="182" w:lineRule="exact"/>
        <w:rPr>
          <w:rFonts w:ascii="Arial" w:cs="Arial" w:eastAsia="Arial" w:hAnsi="Arial"/>
          <w:sz w:val="18"/>
          <w:szCs w:val="18"/>
          <w:color w:val="auto"/>
        </w:rPr>
      </w:pPr>
    </w:p>
    <w:p>
      <w:pPr>
        <w:ind w:left="480" w:right="20" w:hanging="459"/>
        <w:spacing w:after="0" w:line="277"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Comprised of (i) 41,670 of shares of common stock held directly, and (ii) 62,253 shares of restricted common stock have voting rights irrespective of any vesting requirements.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8" w:name="page89"/>
    <w:bookmarkEnd w:id="88"/>
    <w:p>
      <w:pPr>
        <w:jc w:val="both"/>
        <w:ind w:left="480" w:right="20" w:hanging="459"/>
        <w:spacing w:after="0" w:line="259"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Comprised of shares included under “Named Executive Officers and Directors”, and the following held by two of our other executive officers: (i) 353,905 shares of common stock held directly, (ii) 520,212 shares of restricted common stock that are subject to vesting and (iii) 268,025 shares of common stock issuable pursuant to stock options exercisable within 60 days after March 24, 2022. The shares of restricted common stock have voting rights irrespective of any vesting requirements.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the director and executive officer compensation arrangements discussed in Part II, Item 8 of this Annual Report on Form 10-K, there have not been any transactions since January 1, 2022 that we have been a party to and in which the amount involved exceeded or will exceed $120,000, and in which any of our directors, executive officers, beneficial owners of more than 5% of our capital stock, or their immediate family members, have had or will have a direct or indirect material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Board has adopted a written related person transaction policy, effective as of June 14, 2019, to set forth the policies and procedures for the review and approval or ratification of related person transactions. This policy covers, with certain exceptions set forth in Item 404 of Regulation S-K under the Securities Act of 1933, as amended (the “Securities Act”), any transaction, arrangement or relationship, or any series of similar transactions, arrangements or relationships in which we were or are to be a participant,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 related person is any individual who is, or who has been at any time since the beginning of our last fiscal year, one of our directors or executive officers, or a nominee to become one of our directors, any person known to be the beneficial owner of more than 5% of any class of our voting securities or any immediate family member of any of the foregoing persons. Additionally, any firm, corporation or other entity by which any of the foregoing persons is employed or in which such person is a general partner or principal, or in a similar position, or in which such person has a 10% or greater beneficial ownership interest, will also be deemed to be a related person. Transactions involving compensation for services provided to us as an employee, consultant or director are not considered related-person transactions under this policy. As provided by our audit committee charter, our Audit Committee is responsible for reviewing and approving in advance any related party transaction.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Nasdaq Rules, a majority of the members of our Board must satisfy the Nasdaq criteria for “independence.” No director qualifies as independent under the Nasdaq Rules unless our Board affirmatively determines that the director does not have a relationship with us that would impair independence (directly or as a partner, stockholder or officer of an organization that has a relationship with us). Our Board has determined that Mses. Harlam, Lattmann, Liebel and Williams and Mr. Kurtz are independent directors as defined under the Nasdaq Rules. Mr. Sarig is not independent under the Nasdaq Rules as a result of his position as our Chief Executive Officer.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60"/>
        <w:spacing w:after="0" w:line="307" w:lineRule="auto"/>
        <w:rPr>
          <w:sz w:val="20"/>
          <w:szCs w:val="20"/>
          <w:color w:val="auto"/>
        </w:rPr>
      </w:pPr>
      <w:r>
        <w:rPr>
          <w:rFonts w:ascii="Arial" w:cs="Arial" w:eastAsia="Arial" w:hAnsi="Arial"/>
          <w:sz w:val="17"/>
          <w:szCs w:val="17"/>
          <w:color w:val="auto"/>
        </w:rPr>
        <w:t>The following table represents aggregate fees billed to us for the fiscal years ended December 31, 2021 and December 31, 2022 by Deloitte &amp; Touche LLP, our independent registered public accounting firm for such periods. All fees described below were approved by the Audit Committee.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40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rPr>
              <w:t>Fiscal Year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2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820" w:type="dxa"/>
            <w:vAlign w:val="bottom"/>
          </w:tcPr>
          <w:p>
            <w:pPr>
              <w:spacing w:after="0"/>
              <w:rPr>
                <w:sz w:val="20"/>
                <w:szCs w:val="20"/>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Audit Fees(1)</w:t>
            </w:r>
          </w:p>
        </w:tc>
        <w:tc>
          <w:tcPr>
            <w:tcW w:w="1360" w:type="dxa"/>
            <w:vAlign w:val="bottom"/>
            <w:shd w:val="clear" w:color="auto" w:fill="CFF0FC"/>
          </w:tcPr>
          <w:p>
            <w:pPr>
              <w:jc w:val="right"/>
              <w:ind w:right="1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1,204,010</w:t>
            </w:r>
          </w:p>
        </w:tc>
        <w:tc>
          <w:tcPr>
            <w:tcW w:w="1900" w:type="dxa"/>
            <w:vAlign w:val="bottom"/>
            <w:gridSpan w:val="2"/>
            <w:shd w:val="clear" w:color="auto" w:fill="CFF0FC"/>
          </w:tcPr>
          <w:p>
            <w:pPr>
              <w:jc w:val="right"/>
              <w:ind w:right="1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1,524,207</w:t>
            </w:r>
          </w:p>
        </w:tc>
        <w:tc>
          <w:tcPr>
            <w:tcW w:w="100" w:type="dxa"/>
            <w:vAlign w:val="bottom"/>
            <w:shd w:val="clear" w:color="auto" w:fill="CFF0FC"/>
          </w:tcPr>
          <w:p>
            <w:pPr>
              <w:spacing w:after="0"/>
              <w:rPr>
                <w:sz w:val="21"/>
                <w:szCs w:val="21"/>
                <w:color w:val="auto"/>
              </w:rPr>
            </w:pPr>
          </w:p>
        </w:tc>
      </w:tr>
      <w:tr>
        <w:trPr>
          <w:trHeight w:val="236"/>
        </w:trPr>
        <w:tc>
          <w:tcPr>
            <w:tcW w:w="6260" w:type="dxa"/>
            <w:vAlign w:val="bottom"/>
          </w:tcPr>
          <w:p>
            <w:pPr>
              <w:ind w:left="20"/>
              <w:spacing w:after="0"/>
              <w:rPr>
                <w:sz w:val="20"/>
                <w:szCs w:val="20"/>
                <w:color w:val="auto"/>
              </w:rPr>
            </w:pPr>
            <w:r>
              <w:rPr>
                <w:rFonts w:ascii="Arial" w:cs="Arial" w:eastAsia="Arial" w:hAnsi="Arial"/>
                <w:sz w:val="18"/>
                <w:szCs w:val="18"/>
                <w:color w:val="auto"/>
              </w:rPr>
              <w:t>Tax Fees (2)</w:t>
            </w:r>
          </w:p>
        </w:tc>
        <w:tc>
          <w:tcPr>
            <w:tcW w:w="1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89,638</w:t>
            </w:r>
          </w:p>
        </w:tc>
        <w:tc>
          <w:tcPr>
            <w:tcW w:w="100" w:type="dxa"/>
            <w:vAlign w:val="bottom"/>
          </w:tcPr>
          <w:p>
            <w:pPr>
              <w:spacing w:after="0"/>
              <w:rPr>
                <w:sz w:val="20"/>
                <w:szCs w:val="20"/>
                <w:color w:val="auto"/>
              </w:rPr>
            </w:pPr>
          </w:p>
        </w:tc>
      </w:tr>
      <w:tr>
        <w:trPr>
          <w:trHeight w:val="249"/>
        </w:trPr>
        <w:tc>
          <w:tcPr>
            <w:tcW w:w="62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All Other Fees(3)</w:t>
            </w:r>
          </w:p>
        </w:tc>
        <w:tc>
          <w:tcPr>
            <w:tcW w:w="1360" w:type="dxa"/>
            <w:vAlign w:val="bottom"/>
            <w:tcBorders>
              <w:bottom w:val="single" w:sz="8" w:color="auto"/>
            </w:tcBorders>
            <w:shd w:val="clear" w:color="auto" w:fill="CCECFF"/>
          </w:tcPr>
          <w:p>
            <w:pPr>
              <w:spacing w:after="0"/>
              <w:rPr>
                <w:sz w:val="21"/>
                <w:szCs w:val="21"/>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3,800</w:t>
            </w:r>
          </w:p>
        </w:tc>
        <w:tc>
          <w:tcPr>
            <w:tcW w:w="620" w:type="dxa"/>
            <w:vAlign w:val="bottom"/>
            <w:tcBorders>
              <w:bottom w:val="single" w:sz="8" w:color="CCECFF"/>
            </w:tcBorders>
            <w:shd w:val="clear" w:color="auto" w:fill="CCECFF"/>
          </w:tcPr>
          <w:p>
            <w:pPr>
              <w:spacing w:after="0"/>
              <w:rPr>
                <w:sz w:val="21"/>
                <w:szCs w:val="21"/>
                <w:color w:val="auto"/>
              </w:rPr>
            </w:pPr>
          </w:p>
        </w:tc>
        <w:tc>
          <w:tcPr>
            <w:tcW w:w="1280" w:type="dxa"/>
            <w:vAlign w:val="bottom"/>
            <w:tcBorders>
              <w:bottom w:val="single" w:sz="8" w:color="auto"/>
            </w:tcBorders>
            <w:shd w:val="clear" w:color="auto" w:fill="CCECFF"/>
          </w:tcPr>
          <w:p>
            <w:pPr>
              <w:spacing w:after="0"/>
              <w:rPr>
                <w:sz w:val="21"/>
                <w:szCs w:val="21"/>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6260" w:type="dxa"/>
            <w:vAlign w:val="bottom"/>
          </w:tcPr>
          <w:p>
            <w:pPr>
              <w:ind w:left="20"/>
              <w:spacing w:after="0"/>
              <w:rPr>
                <w:sz w:val="20"/>
                <w:szCs w:val="20"/>
                <w:color w:val="auto"/>
              </w:rPr>
            </w:pPr>
            <w:r>
              <w:rPr>
                <w:rFonts w:ascii="Arial" w:cs="Arial" w:eastAsia="Arial" w:hAnsi="Arial"/>
                <w:sz w:val="18"/>
                <w:szCs w:val="18"/>
                <w:color w:val="auto"/>
              </w:rPr>
              <w:t>Total Fees</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1,332,810</w:t>
            </w:r>
          </w:p>
        </w:tc>
        <w:tc>
          <w:tcPr>
            <w:tcW w:w="190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1,617,971</w:t>
            </w:r>
          </w:p>
        </w:tc>
        <w:tc>
          <w:tcPr>
            <w:tcW w:w="100" w:type="dxa"/>
            <w:vAlign w:val="bottom"/>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-187960</wp:posOffset>
            </wp:positionV>
            <wp:extent cx="6858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ind w:left="480" w:right="20" w:hanging="459"/>
        <w:spacing w:after="0" w:line="279" w:lineRule="auto"/>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Audit Fees consist of actual fees for professional services performed by Deloitte &amp; Touche LLP for the audit of our 2021 and 2022 annual financial statements and the review of quarterly financial statements for 2022 and 2021. Audit fees also include $150,000 of 2021 fees and $256,171 of 2022 fees for professional services performed by Deloitte &amp; Touche LLP for reviews of registration statements and issuances of consents, comfort letters and services that are normally provided in connection with regulatory filings or engagements.</w:t>
      </w:r>
    </w:p>
    <w:p>
      <w:pPr>
        <w:spacing w:after="0" w:line="183" w:lineRule="exact"/>
        <w:rPr>
          <w:rFonts w:ascii="Arial" w:cs="Arial" w:eastAsia="Arial" w:hAnsi="Arial"/>
          <w:sz w:val="17"/>
          <w:szCs w:val="17"/>
          <w:color w:val="auto"/>
        </w:rPr>
      </w:pPr>
    </w:p>
    <w:p>
      <w:pPr>
        <w:ind w:left="460" w:hanging="439"/>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fees for tax compliance and consulting.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ind w:left="460" w:hanging="439"/>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fees for an accounting research tool.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 Committee has adopted a policy for the pre-approval of audit and non-audit services rendered by our independent registered public accounting firm, Deloitte &amp; Touche LLP. The policy generally allows for pre-approval of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By the adoption of this policy, the Audit Committee has delegated the authority to pre-approve services to the Chairperson of the Audit Committee, subject to certain limitations.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Deloitte &amp; Touche LLP is compatible with maintaining the independent registered public accounting firm’s independence.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24"/>
                <w:szCs w:val="24"/>
                <w:color w:val="auto"/>
              </w:rPr>
            </w:pPr>
          </w:p>
        </w:tc>
        <w:tc>
          <w:tcPr>
            <w:tcW w:w="5200" w:type="dxa"/>
            <w:vAlign w:val="bottom"/>
            <w:tcBorders>
              <w:bottom w:val="single" w:sz="8" w:color="0000FF"/>
            </w:tcBorders>
            <w:gridSpan w:val="4"/>
          </w:tcPr>
          <w:p>
            <w:pPr>
              <w:spacing w:after="0"/>
              <w:rPr>
                <w:rFonts w:ascii="Arial" w:cs="Arial" w:eastAsia="Arial" w:hAnsi="Arial"/>
                <w:sz w:val="18"/>
                <w:szCs w:val="18"/>
                <w:color w:val="0000FF"/>
                <w:w w:val="90"/>
              </w:rPr>
            </w:pPr>
            <w:hyperlink r:id="rId303">
              <w:r>
                <w:rPr>
                  <w:rFonts w:ascii="Arial" w:cs="Arial" w:eastAsia="Arial" w:hAnsi="Arial"/>
                  <w:sz w:val="18"/>
                  <w:szCs w:val="18"/>
                  <w:color w:val="0000FF"/>
                  <w:w w:val="90"/>
                </w:rPr>
                <w:t>Asset Purchase Agreement, dated December 1, 2021, by and among (i)</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0" w:type="dxa"/>
            <w:vAlign w:val="bottom"/>
            <w:tcBorders>
              <w:bottom w:val="single" w:sz="8" w:color="0000FF"/>
            </w:tcBorders>
            <w:gridSpan w:val="4"/>
          </w:tcPr>
          <w:p>
            <w:pPr>
              <w:spacing w:after="0" w:line="195" w:lineRule="exact"/>
              <w:rPr>
                <w:rFonts w:ascii="Arial" w:cs="Arial" w:eastAsia="Arial" w:hAnsi="Arial"/>
                <w:sz w:val="18"/>
                <w:szCs w:val="18"/>
                <w:color w:val="0000FF"/>
                <w:w w:val="92"/>
              </w:rPr>
            </w:pPr>
            <w:hyperlink r:id="rId303">
              <w:r>
                <w:rPr>
                  <w:rFonts w:ascii="Arial" w:cs="Arial" w:eastAsia="Arial" w:hAnsi="Arial"/>
                  <w:sz w:val="18"/>
                  <w:szCs w:val="18"/>
                  <w:color w:val="0000FF"/>
                  <w:w w:val="92"/>
                </w:rPr>
                <w:t>Aterian, Inc. and Truweo, LLC, as Purchaser, (ii) 9830 Macarthur LLC,</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00" w:type="dxa"/>
            <w:vAlign w:val="bottom"/>
            <w:tcBorders>
              <w:bottom w:val="single" w:sz="8" w:color="0000FF"/>
            </w:tcBorders>
            <w:gridSpan w:val="3"/>
          </w:tcPr>
          <w:p>
            <w:pPr>
              <w:spacing w:after="0" w:line="195" w:lineRule="exact"/>
              <w:rPr>
                <w:rFonts w:ascii="Arial" w:cs="Arial" w:eastAsia="Arial" w:hAnsi="Arial"/>
                <w:sz w:val="18"/>
                <w:szCs w:val="18"/>
                <w:color w:val="0000FF"/>
                <w:w w:val="93"/>
              </w:rPr>
            </w:pPr>
            <w:hyperlink r:id="rId303">
              <w:r>
                <w:rPr>
                  <w:rFonts w:ascii="Arial" w:cs="Arial" w:eastAsia="Arial" w:hAnsi="Arial"/>
                  <w:sz w:val="18"/>
                  <w:szCs w:val="18"/>
                  <w:color w:val="0000FF"/>
                  <w:w w:val="93"/>
                </w:rPr>
                <w:t>Reliance Equities Group, LLC and ZN Direct LLC, as Sellers and (iii)</w:t>
              </w:r>
            </w:hyperlink>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0000FF"/>
            </w:tcBorders>
          </w:tcPr>
          <w:p>
            <w:pPr>
              <w:spacing w:after="0" w:line="195" w:lineRule="exact"/>
              <w:rPr>
                <w:rFonts w:ascii="Arial" w:cs="Arial" w:eastAsia="Arial" w:hAnsi="Arial"/>
                <w:sz w:val="18"/>
                <w:szCs w:val="18"/>
                <w:color w:val="0000FF"/>
                <w:w w:val="87"/>
              </w:rPr>
            </w:pPr>
            <w:hyperlink r:id="rId303">
              <w:r>
                <w:rPr>
                  <w:rFonts w:ascii="Arial" w:cs="Arial" w:eastAsia="Arial" w:hAnsi="Arial"/>
                  <w:sz w:val="18"/>
                  <w:szCs w:val="18"/>
                  <w:color w:val="0000FF"/>
                  <w:w w:val="87"/>
                </w:rPr>
                <w:t>Jelena Puzovic, as Founder.</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40" w:right="160" w:hanging="743"/>
        <w:spacing w:after="0" w:line="290" w:lineRule="auto"/>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2.2†</w:t>
      </w:r>
      <w:r>
        <w:rPr>
          <w:sz w:val="20"/>
          <w:szCs w:val="20"/>
          <w:color w:val="auto"/>
        </w:rPr>
        <w:tab/>
      </w:r>
      <w:hyperlink r:id="rId304">
        <w:r>
          <w:rPr>
            <w:rFonts w:ascii="Arial" w:cs="Arial" w:eastAsia="Arial" w:hAnsi="Arial"/>
            <w:sz w:val="16"/>
            <w:szCs w:val="16"/>
            <w:u w:val="single" w:color="auto"/>
            <w:color w:val="0000FF"/>
          </w:rPr>
          <w:t>Asset Purchase Agreement, dated February 2, 2022, by and among (i)</w:t>
        </w:r>
      </w:hyperlink>
      <w:r>
        <w:rPr>
          <w:rFonts w:ascii="Arial" w:cs="Arial" w:eastAsia="Arial" w:hAnsi="Arial"/>
          <w:sz w:val="16"/>
          <w:szCs w:val="16"/>
          <w:u w:val="single" w:color="auto"/>
          <w:color w:val="0000FF"/>
        </w:rPr>
        <w:t xml:space="preserve"> </w:t>
      </w:r>
      <w:hyperlink r:id="rId304">
        <w:r>
          <w:rPr>
            <w:rFonts w:ascii="Arial" w:cs="Arial" w:eastAsia="Arial" w:hAnsi="Arial"/>
            <w:sz w:val="16"/>
            <w:szCs w:val="16"/>
            <w:u w:val="single" w:color="auto"/>
            <w:color w:val="0000FF"/>
          </w:rPr>
          <w:t>Aterian, Inc. and Truweo, LLC, as Purchaser, (ii) Healing Solutions,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-161290</wp:posOffset>
            </wp:positionV>
            <wp:extent cx="32137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321373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-24130</wp:posOffset>
            </wp:positionV>
            <wp:extent cx="34201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ind w:left="1040" w:right="300" w:firstLine="6"/>
        <w:spacing w:after="0" w:line="260" w:lineRule="auto"/>
        <w:tabs>
          <w:tab w:leader="none" w:pos="1354" w:val="left"/>
        </w:tabs>
        <w:numPr>
          <w:ilvl w:val="0"/>
          <w:numId w:val="39"/>
        </w:numPr>
        <w:rPr>
          <w:rFonts w:ascii="Arial" w:cs="Arial" w:eastAsia="Arial" w:hAnsi="Arial"/>
          <w:sz w:val="18"/>
          <w:szCs w:val="18"/>
          <w:u w:val="single" w:color="auto"/>
          <w:color w:val="0000FF"/>
        </w:rPr>
      </w:pPr>
      <w:hyperlink r:id="rId304">
        <w:r>
          <w:rPr>
            <w:rFonts w:ascii="Arial" w:cs="Arial" w:eastAsia="Arial" w:hAnsi="Arial"/>
            <w:sz w:val="18"/>
            <w:szCs w:val="18"/>
            <w:u w:val="single" w:color="auto"/>
            <w:color w:val="0000FF"/>
          </w:rPr>
          <w:t>Jason R. Hope, and (iv) for the purposes of Section 5.11 and Article</w:t>
        </w:r>
      </w:hyperlink>
      <w:r>
        <w:rPr>
          <w:rFonts w:ascii="Arial" w:cs="Arial" w:eastAsia="Arial" w:hAnsi="Arial"/>
          <w:sz w:val="18"/>
          <w:szCs w:val="18"/>
          <w:u w:val="single" w:color="auto"/>
          <w:color w:val="0000FF"/>
        </w:rPr>
        <w:t xml:space="preserve"> </w:t>
      </w:r>
      <w:hyperlink r:id="rId304">
        <w:r>
          <w:rPr>
            <w:rFonts w:ascii="Arial" w:cs="Arial" w:eastAsia="Arial" w:hAnsi="Arial"/>
            <w:sz w:val="18"/>
            <w:szCs w:val="18"/>
            <w:u w:val="single" w:color="auto"/>
            <w:color w:val="0000FF"/>
          </w:rPr>
          <w:t>VII, Super Transcontinental Holdings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-172720</wp:posOffset>
            </wp:positionV>
            <wp:extent cx="33267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332676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-35560</wp:posOffset>
            </wp:positionV>
            <wp:extent cx="19926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1992630" cy="8255"/>
                    </a:xfrm>
                    <a:prstGeom prst="rect">
                      <a:avLst/>
                    </a:prstGeom>
                    <a:noFill/>
                  </pic:spPr>
                </pic:pic>
              </a:graphicData>
            </a:graphic>
          </wp:anchor>
        </w:drawing>
      </w:r>
    </w:p>
    <w:p>
      <w:pPr>
        <w:spacing w:after="0" w:line="124" w:lineRule="exact"/>
        <w:rPr>
          <w:rFonts w:ascii="Arial" w:cs="Arial" w:eastAsia="Arial" w:hAnsi="Arial"/>
          <w:sz w:val="18"/>
          <w:szCs w:val="18"/>
          <w:u w:val="single" w:color="auto"/>
          <w:color w:val="0000FF"/>
        </w:rPr>
      </w:pPr>
    </w:p>
    <w:p>
      <w:pPr>
        <w:ind w:left="1040" w:right="60" w:hanging="743"/>
        <w:spacing w:after="0" w:line="255"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2.3†</w:t>
      </w:r>
      <w:r>
        <w:rPr>
          <w:sz w:val="20"/>
          <w:szCs w:val="20"/>
          <w:color w:val="auto"/>
        </w:rPr>
        <w:tab/>
      </w:r>
      <w:hyperlink r:id="rId309">
        <w:r>
          <w:rPr>
            <w:rFonts w:ascii="Arial" w:cs="Arial" w:eastAsia="Arial" w:hAnsi="Arial"/>
            <w:sz w:val="18"/>
            <w:szCs w:val="18"/>
            <w:u w:val="single" w:color="auto"/>
            <w:color w:val="0000FF"/>
          </w:rPr>
          <w:t>Asset Purchase Agreement, dated May 5, 2022, by and among (i) the</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Company and Truweo, LLC, as Purchaser, (ii) Squatty Potty, LLC, and (iii)</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for the purposes of Section 5.7, Section 5.8, Section 5.11, Section 5.13 and</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Article VII, Edwards SP Holdings, LLC, Team Lindsey, LLC, SLEKT</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Investments, LLC, Sachs Capital Fund II, LLC, Sachs Capital-Squatty,</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LLC and Bevel Acquisition II,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-716915</wp:posOffset>
            </wp:positionV>
            <wp:extent cx="317881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31788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-579755</wp:posOffset>
            </wp:positionV>
            <wp:extent cx="34734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347345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-442595</wp:posOffset>
            </wp:positionV>
            <wp:extent cx="34442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344424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-306070</wp:posOffset>
            </wp:positionV>
            <wp:extent cx="32461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324612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-168910</wp:posOffset>
            </wp:positionV>
            <wp:extent cx="32632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326326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-31750</wp:posOffset>
            </wp:positionV>
            <wp:extent cx="16700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130" w:lineRule="exact"/>
        <w:rPr>
          <w:rFonts w:ascii="Arial" w:cs="Arial" w:eastAsia="Arial" w:hAnsi="Arial"/>
          <w:sz w:val="18"/>
          <w:szCs w:val="18"/>
          <w:u w:val="single" w:color="auto"/>
          <w:color w:val="0000FF"/>
        </w:rPr>
      </w:pPr>
    </w:p>
    <w:p>
      <w:pPr>
        <w:ind w:left="1040" w:right="100" w:hanging="743"/>
        <w:spacing w:after="0" w:line="263"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2.4†</w:t>
      </w:r>
      <w:r>
        <w:rPr>
          <w:sz w:val="20"/>
          <w:szCs w:val="20"/>
          <w:color w:val="auto"/>
        </w:rPr>
        <w:tab/>
      </w:r>
      <w:hyperlink r:id="rId316">
        <w:r>
          <w:rPr>
            <w:rFonts w:ascii="Arial" w:cs="Arial" w:eastAsia="Arial" w:hAnsi="Arial"/>
            <w:sz w:val="18"/>
            <w:szCs w:val="18"/>
            <w:u w:val="single" w:color="auto"/>
            <w:color w:val="0000FF"/>
          </w:rPr>
          <w:t>Stock Purchase Agreement, dated May 5, 2022, by and among (i) the</w:t>
        </w:r>
      </w:hyperlink>
      <w:r>
        <w:rPr>
          <w:rFonts w:ascii="Arial" w:cs="Arial" w:eastAsia="Arial" w:hAnsi="Arial"/>
          <w:sz w:val="18"/>
          <w:szCs w:val="18"/>
          <w:u w:val="single" w:color="auto"/>
          <w:color w:val="0000FF"/>
        </w:rPr>
        <w:t xml:space="preserve"> </w:t>
      </w:r>
      <w:hyperlink r:id="rId316">
        <w:r>
          <w:rPr>
            <w:rFonts w:ascii="Arial" w:cs="Arial" w:eastAsia="Arial" w:hAnsi="Arial"/>
            <w:sz w:val="18"/>
            <w:szCs w:val="18"/>
            <w:u w:val="single" w:color="auto"/>
            <w:color w:val="0000FF"/>
          </w:rPr>
          <w:t>Company and Truweo, LLC, as Purchaser, (ii) Photo Paper Direct Ltd, (iii)</w:t>
        </w:r>
      </w:hyperlink>
      <w:r>
        <w:rPr>
          <w:rFonts w:ascii="Arial" w:cs="Arial" w:eastAsia="Arial" w:hAnsi="Arial"/>
          <w:sz w:val="18"/>
          <w:szCs w:val="18"/>
          <w:u w:val="single" w:color="auto"/>
          <w:color w:val="0000FF"/>
        </w:rPr>
        <w:t xml:space="preserve"> </w:t>
      </w:r>
      <w:hyperlink r:id="rId316">
        <w:r>
          <w:rPr>
            <w:rFonts w:ascii="Arial" w:cs="Arial" w:eastAsia="Arial" w:hAnsi="Arial"/>
            <w:sz w:val="18"/>
            <w:szCs w:val="18"/>
            <w:u w:val="single" w:color="auto"/>
            <w:color w:val="0000FF"/>
          </w:rPr>
          <w:t>Josef Eitan, and (iv) Ran Nir.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-311150</wp:posOffset>
            </wp:positionV>
            <wp:extent cx="3185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318516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-173990</wp:posOffset>
            </wp:positionV>
            <wp:extent cx="34518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345186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-36830</wp:posOffset>
            </wp:positionV>
            <wp:extent cx="13341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FF"/>
        </w:rPr>
      </w:pPr>
    </w:p>
    <w:p>
      <w:pPr>
        <w:ind w:left="340"/>
        <w:spacing w:after="0"/>
        <w:tabs>
          <w:tab w:leader="none" w:pos="1020" w:val="left"/>
        </w:tabs>
        <w:rPr>
          <w:rFonts w:ascii="Arial" w:cs="Arial" w:eastAsia="Arial" w:hAnsi="Arial"/>
          <w:sz w:val="15"/>
          <w:szCs w:val="15"/>
          <w:u w:val="single" w:color="auto"/>
          <w:color w:val="0000FF"/>
        </w:rPr>
      </w:pPr>
      <w:r>
        <w:rPr>
          <w:rFonts w:ascii="Arial" w:cs="Arial" w:eastAsia="Arial" w:hAnsi="Arial"/>
          <w:sz w:val="18"/>
          <w:szCs w:val="18"/>
          <w:color w:val="auto"/>
        </w:rPr>
        <w:t>3.3</w:t>
      </w:r>
      <w:r>
        <w:rPr>
          <w:sz w:val="20"/>
          <w:szCs w:val="20"/>
          <w:color w:val="auto"/>
        </w:rPr>
        <w:tab/>
      </w:r>
      <w:hyperlink r:id="rId320">
        <w:r>
          <w:rPr>
            <w:rFonts w:ascii="Arial" w:cs="Arial" w:eastAsia="Arial" w:hAnsi="Arial"/>
            <w:sz w:val="15"/>
            <w:szCs w:val="15"/>
            <w:u w:val="single" w:color="auto"/>
            <w:color w:val="0000FF"/>
          </w:rPr>
          <w:t>Certificate of Correction of Certificate of Amendment to the Amended and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-16510</wp:posOffset>
            </wp:positionV>
            <wp:extent cx="32766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ind w:left="1040"/>
        <w:spacing w:after="0"/>
        <w:rPr>
          <w:rFonts w:ascii="Arial" w:cs="Arial" w:eastAsia="Arial" w:hAnsi="Arial"/>
          <w:sz w:val="17"/>
          <w:szCs w:val="17"/>
          <w:u w:val="single" w:color="auto"/>
          <w:color w:val="0000FF"/>
        </w:rPr>
      </w:pPr>
      <w:hyperlink r:id="rId320">
        <w:r>
          <w:rPr>
            <w:rFonts w:ascii="Arial" w:cs="Arial" w:eastAsia="Arial" w:hAnsi="Arial"/>
            <w:sz w:val="17"/>
            <w:szCs w:val="17"/>
            <w:u w:val="single" w:color="auto"/>
            <w:color w:val="0000FF"/>
          </w:rPr>
          <w:t>Restated Certificate of Incorporation of Aterian,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-18415</wp:posOffset>
            </wp:positionV>
            <wp:extent cx="22809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2280920" cy="8255"/>
                    </a:xfrm>
                    <a:prstGeom prst="rect">
                      <a:avLst/>
                    </a:prstGeom>
                    <a:noFill/>
                  </pic:spPr>
                </pic:pic>
              </a:graphicData>
            </a:graphic>
          </wp:anchor>
        </w:drawing>
      </w:r>
    </w:p>
    <w:p>
      <w:pPr>
        <w:spacing w:after="0" w:line="152" w:lineRule="exact"/>
        <w:rPr>
          <w:rFonts w:ascii="Arial" w:cs="Arial" w:eastAsia="Arial" w:hAnsi="Arial"/>
          <w:sz w:val="18"/>
          <w:szCs w:val="18"/>
          <w:u w:val="single" w:color="auto"/>
          <w:color w:val="0000FF"/>
        </w:rPr>
      </w:pPr>
    </w:p>
    <w:p>
      <w:pPr>
        <w:ind w:left="3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3.4</w:t>
      </w:r>
      <w:r>
        <w:rPr>
          <w:sz w:val="20"/>
          <w:szCs w:val="20"/>
          <w:color w:val="auto"/>
        </w:rPr>
        <w:tab/>
      </w:r>
      <w:hyperlink r:id="rId323">
        <w:r>
          <w:rPr>
            <w:rFonts w:ascii="Arial" w:cs="Arial" w:eastAsia="Arial" w:hAnsi="Arial"/>
            <w:sz w:val="16"/>
            <w:szCs w:val="16"/>
            <w:u w:val="single" w:color="auto"/>
            <w:color w:val="0000FF"/>
          </w:rPr>
          <w:t>Amended and Restated Certificate of Incorporation of Aterian,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-10160</wp:posOffset>
            </wp:positionV>
            <wp:extent cx="30670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3067050" cy="8255"/>
                    </a:xfrm>
                    <a:prstGeom prst="rect">
                      <a:avLst/>
                    </a:prstGeom>
                    <a:noFill/>
                  </pic:spPr>
                </pic:pic>
              </a:graphicData>
            </a:graphic>
          </wp:anchor>
        </w:drawing>
      </w:r>
    </w:p>
    <w:p>
      <w:pPr>
        <w:spacing w:after="0" w:line="191" w:lineRule="exact"/>
        <w:rPr>
          <w:rFonts w:ascii="Arial" w:cs="Arial" w:eastAsia="Arial" w:hAnsi="Arial"/>
          <w:sz w:val="18"/>
          <w:szCs w:val="18"/>
          <w:u w:val="single" w:color="auto"/>
          <w:color w:val="0000FF"/>
        </w:rPr>
      </w:pPr>
    </w:p>
    <w:p>
      <w:pPr>
        <w:ind w:left="3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325">
        <w:r>
          <w:rPr>
            <w:rFonts w:ascii="Arial" w:cs="Arial" w:eastAsia="Arial" w:hAnsi="Arial"/>
            <w:sz w:val="16"/>
            <w:szCs w:val="16"/>
            <w:u w:val="single" w:color="auto"/>
            <w:color w:val="0000FF"/>
          </w:rPr>
          <w:t>Amended and Restated Bylaws of Aterian,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-10160</wp:posOffset>
            </wp:positionV>
            <wp:extent cx="21831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2183130" cy="8255"/>
                    </a:xfrm>
                    <a:prstGeom prst="rect">
                      <a:avLst/>
                    </a:prstGeom>
                    <a:noFill/>
                  </pic:spPr>
                </pic:pic>
              </a:graphicData>
            </a:graphic>
          </wp:anchor>
        </w:drawing>
      </w:r>
    </w:p>
    <w:p>
      <w:pPr>
        <w:spacing w:after="0" w:line="191" w:lineRule="exact"/>
        <w:rPr>
          <w:rFonts w:ascii="Arial" w:cs="Arial" w:eastAsia="Arial" w:hAnsi="Arial"/>
          <w:sz w:val="18"/>
          <w:szCs w:val="18"/>
          <w:u w:val="single" w:color="auto"/>
          <w:color w:val="0000FF"/>
        </w:rPr>
      </w:pPr>
    </w:p>
    <w:p>
      <w:pPr>
        <w:ind w:left="3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r:id="rId327">
        <w:r>
          <w:rPr>
            <w:rFonts w:ascii="Arial" w:cs="Arial" w:eastAsia="Arial" w:hAnsi="Arial"/>
            <w:sz w:val="16"/>
            <w:szCs w:val="16"/>
            <w:u w:val="single" w:color="auto"/>
            <w:color w:val="0000FF"/>
          </w:rPr>
          <w:t>Form of Common Stock Certificate.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664210</wp:posOffset>
            </wp:positionH>
            <wp:positionV relativeFrom="paragraph">
              <wp:posOffset>-10160</wp:posOffset>
            </wp:positionV>
            <wp:extent cx="16795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1679575" cy="8255"/>
                    </a:xfrm>
                    <a:prstGeom prst="rect">
                      <a:avLst/>
                    </a:prstGeom>
                    <a:noFill/>
                  </pic:spPr>
                </pic:pic>
              </a:graphicData>
            </a:graphic>
          </wp:anchor>
        </w:drawing>
      </w:r>
    </w:p>
    <w:p>
      <w:pPr>
        <w:spacing w:after="0" w:line="191" w:lineRule="exact"/>
        <w:rPr>
          <w:rFonts w:ascii="Arial" w:cs="Arial" w:eastAsia="Arial" w:hAnsi="Arial"/>
          <w:sz w:val="18"/>
          <w:szCs w:val="18"/>
          <w:u w:val="single" w:color="auto"/>
          <w:color w:val="0000FF"/>
        </w:rPr>
      </w:pPr>
    </w:p>
    <w:p>
      <w:pPr>
        <w:ind w:left="1040" w:right="180" w:hanging="74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329">
        <w:r>
          <w:rPr>
            <w:rFonts w:ascii="Arial" w:cs="Arial" w:eastAsia="Arial" w:hAnsi="Arial"/>
            <w:sz w:val="18"/>
            <w:szCs w:val="18"/>
            <w:u w:val="single" w:color="auto"/>
            <w:color w:val="0000FF"/>
          </w:rPr>
          <w:t>Form of Registration Rights Agreement, dated as of April 6, 2018, among</w:t>
        </w:r>
      </w:hyperlink>
      <w:r>
        <w:rPr>
          <w:rFonts w:ascii="Arial" w:cs="Arial" w:eastAsia="Arial" w:hAnsi="Arial"/>
          <w:sz w:val="18"/>
          <w:szCs w:val="18"/>
          <w:u w:val="single" w:color="auto"/>
          <w:color w:val="0000FF"/>
        </w:rPr>
        <w:t xml:space="preserve"> </w:t>
      </w:r>
      <w:hyperlink r:id="rId329">
        <w:r>
          <w:rPr>
            <w:rFonts w:ascii="Arial" w:cs="Arial" w:eastAsia="Arial" w:hAnsi="Arial"/>
            <w:sz w:val="18"/>
            <w:szCs w:val="18"/>
            <w:u w:val="single" w:color="auto"/>
            <w:color w:val="0000FF"/>
          </w:rPr>
          <w:t>Aterian, Inc. and the purchasers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-182245</wp:posOffset>
            </wp:positionV>
            <wp:extent cx="340741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0">
                      <a:extLst>
                        <a:ext uri="{28A0092B-C50C-407E-A947-70E740481C1C}"/>
                      </a:extLst>
                    </a:blip>
                    <a:srcRect/>
                    <a:stretch>
                      <a:fillRect/>
                    </a:stretch>
                  </pic:blipFill>
                  <pic:spPr bwMode="auto">
                    <a:xfrm>
                      <a:off x="0" y="0"/>
                      <a:ext cx="34074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-45085</wp:posOffset>
            </wp:positionV>
            <wp:extent cx="21164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1">
                      <a:extLst>
                        <a:ext uri="{28A0092B-C50C-407E-A947-70E740481C1C}"/>
                      </a:extLst>
                    </a:blip>
                    <a:srcRect/>
                    <a:stretch>
                      <a:fillRect/>
                    </a:stretch>
                  </pic:blipFill>
                  <pic:spPr bwMode="auto">
                    <a:xfrm>
                      <a:off x="0" y="0"/>
                      <a:ext cx="2116455" cy="8255"/>
                    </a:xfrm>
                    <a:prstGeom prst="rect">
                      <a:avLst/>
                    </a:prstGeom>
                    <a:noFill/>
                  </pic:spPr>
                </pic:pic>
              </a:graphicData>
            </a:graphic>
          </wp:anchor>
        </w:drawing>
      </w:r>
    </w:p>
    <w:p>
      <w:pPr>
        <w:spacing w:after="0" w:line="109" w:lineRule="exact"/>
        <w:rPr>
          <w:sz w:val="20"/>
          <w:szCs w:val="20"/>
          <w:color w:val="auto"/>
        </w:rPr>
      </w:pPr>
    </w:p>
    <w:p>
      <w:pPr>
        <w:ind w:left="3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332">
        <w:r>
          <w:rPr>
            <w:rFonts w:ascii="Arial" w:cs="Arial" w:eastAsia="Arial" w:hAnsi="Arial"/>
            <w:sz w:val="16"/>
            <w:szCs w:val="16"/>
            <w:u w:val="single" w:color="auto"/>
            <w:color w:val="0000FF"/>
          </w:rPr>
          <w:t>Warrant to Purchase Stock, issued to MidCap Financial Trust on September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-10160</wp:posOffset>
            </wp:positionV>
            <wp:extent cx="34766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3" w:lineRule="exact"/>
        <w:rPr>
          <w:sz w:val="20"/>
          <w:szCs w:val="20"/>
          <w:color w:val="auto"/>
        </w:rPr>
      </w:pPr>
    </w:p>
    <w:p>
      <w:pPr>
        <w:ind w:left="1040"/>
        <w:spacing w:after="0"/>
        <w:rPr>
          <w:rFonts w:ascii="Arial" w:cs="Arial" w:eastAsia="Arial" w:hAnsi="Arial"/>
          <w:sz w:val="18"/>
          <w:szCs w:val="18"/>
          <w:u w:val="single" w:color="auto"/>
          <w:color w:val="0000FF"/>
        </w:rPr>
      </w:pPr>
      <w:hyperlink r:id="rId332">
        <w:r>
          <w:rPr>
            <w:rFonts w:ascii="Arial" w:cs="Arial" w:eastAsia="Arial" w:hAnsi="Arial"/>
            <w:sz w:val="18"/>
            <w:szCs w:val="18"/>
            <w:u w:val="single" w:color="auto"/>
            <w:color w:val="0000FF"/>
          </w:rPr>
          <w:t>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-19685</wp:posOffset>
            </wp:positionV>
            <wp:extent cx="3994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399415" cy="8255"/>
                    </a:xfrm>
                    <a:prstGeom prst="rect">
                      <a:avLst/>
                    </a:prstGeom>
                    <a:noFill/>
                  </pic:spPr>
                </pic:pic>
              </a:graphicData>
            </a:graphic>
          </wp:anchor>
        </w:drawing>
      </w:r>
    </w:p>
    <w:p>
      <w:pPr>
        <w:spacing w:after="0" w:line="150" w:lineRule="exact"/>
        <w:rPr>
          <w:sz w:val="20"/>
          <w:szCs w:val="20"/>
          <w:color w:val="auto"/>
        </w:rPr>
      </w:pPr>
    </w:p>
    <w:p>
      <w:pPr>
        <w:ind w:left="1040" w:right="480" w:hanging="698"/>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335">
        <w:r>
          <w:rPr>
            <w:rFonts w:ascii="Arial" w:cs="Arial" w:eastAsia="Arial" w:hAnsi="Arial"/>
            <w:sz w:val="18"/>
            <w:szCs w:val="18"/>
            <w:u w:val="single" w:color="auto"/>
            <w:color w:val="0000FF"/>
          </w:rPr>
          <w:t>Form of Warrant, issued to Katalyst Securities LLC and its assigns on</w:t>
        </w:r>
      </w:hyperlink>
      <w:r>
        <w:rPr>
          <w:rFonts w:ascii="Arial" w:cs="Arial" w:eastAsia="Arial" w:hAnsi="Arial"/>
          <w:sz w:val="18"/>
          <w:szCs w:val="18"/>
          <w:u w:val="single" w:color="auto"/>
          <w:color w:val="0000FF"/>
        </w:rPr>
        <w:t xml:space="preserve"> </w:t>
      </w:r>
      <w:hyperlink r:id="rId335">
        <w:r>
          <w:rPr>
            <w:rFonts w:ascii="Arial" w:cs="Arial" w:eastAsia="Arial" w:hAnsi="Arial"/>
            <w:sz w:val="18"/>
            <w:szCs w:val="18"/>
            <w:u w:val="single" w:color="auto"/>
            <w:color w:val="0000FF"/>
          </w:rPr>
          <w:t>September 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-182245</wp:posOffset>
            </wp:positionV>
            <wp:extent cx="32143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-45085</wp:posOffset>
            </wp:positionV>
            <wp:extent cx="9156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109" w:lineRule="exact"/>
        <w:rPr>
          <w:sz w:val="20"/>
          <w:szCs w:val="20"/>
          <w:color w:val="auto"/>
        </w:rPr>
      </w:pPr>
    </w:p>
    <w:p>
      <w:pPr>
        <w:ind w:left="1040" w:right="300" w:hanging="698"/>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338">
        <w:r>
          <w:rPr>
            <w:rFonts w:ascii="Arial" w:cs="Arial" w:eastAsia="Arial" w:hAnsi="Arial"/>
            <w:sz w:val="18"/>
            <w:szCs w:val="18"/>
            <w:u w:val="single" w:color="auto"/>
            <w:color w:val="0000FF"/>
          </w:rPr>
          <w:t>Form of Warrant, issued to Horizon Technology Finance Corporation on</w:t>
        </w:r>
      </w:hyperlink>
      <w:r>
        <w:rPr>
          <w:rFonts w:ascii="Arial" w:cs="Arial" w:eastAsia="Arial" w:hAnsi="Arial"/>
          <w:sz w:val="18"/>
          <w:szCs w:val="18"/>
          <w:u w:val="single" w:color="auto"/>
          <w:color w:val="0000FF"/>
        </w:rPr>
        <w:t xml:space="preserve"> </w:t>
      </w:r>
      <w:hyperlink r:id="rId338">
        <w:r>
          <w:rPr>
            <w:rFonts w:ascii="Arial" w:cs="Arial" w:eastAsia="Arial" w:hAnsi="Arial"/>
            <w:sz w:val="18"/>
            <w:szCs w:val="18"/>
            <w:u w:val="single" w:color="auto"/>
            <w:color w:val="0000FF"/>
          </w:rPr>
          <w:t>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-182245</wp:posOffset>
            </wp:positionV>
            <wp:extent cx="33324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333248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-45085</wp:posOffset>
            </wp:positionV>
            <wp:extent cx="9537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953770" cy="8255"/>
                    </a:xfrm>
                    <a:prstGeom prst="rect">
                      <a:avLst/>
                    </a:prstGeom>
                    <a:noFill/>
                  </pic:spPr>
                </pic:pic>
              </a:graphicData>
            </a:graphic>
          </wp:anchor>
        </w:drawing>
      </w:r>
    </w:p>
    <w:p>
      <w:pPr>
        <w:spacing w:after="0" w:line="109" w:lineRule="exact"/>
        <w:rPr>
          <w:sz w:val="20"/>
          <w:szCs w:val="20"/>
          <w:color w:val="auto"/>
        </w:rPr>
      </w:pPr>
    </w:p>
    <w:p>
      <w:pPr>
        <w:ind w:left="3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341">
        <w:r>
          <w:rPr>
            <w:rFonts w:ascii="Arial" w:cs="Arial" w:eastAsia="Arial" w:hAnsi="Arial"/>
            <w:sz w:val="16"/>
            <w:szCs w:val="16"/>
            <w:u w:val="single" w:color="auto"/>
            <w:color w:val="0000FF"/>
          </w:rPr>
          <w:t>Amendment No. 1 to Registration Rights Agreement, dated as of March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-10160</wp:posOffset>
            </wp:positionV>
            <wp:extent cx="34321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3432175" cy="8255"/>
                    </a:xfrm>
                    <a:prstGeom prst="rect">
                      <a:avLst/>
                    </a:prstGeom>
                    <a:noFill/>
                  </pic:spPr>
                </pic:pic>
              </a:graphicData>
            </a:graphic>
          </wp:anchor>
        </w:drawing>
      </w:r>
    </w:p>
    <w:p>
      <w:pPr>
        <w:spacing w:after="0" w:line="3" w:lineRule="exact"/>
        <w:rPr>
          <w:sz w:val="20"/>
          <w:szCs w:val="20"/>
          <w:color w:val="auto"/>
        </w:rPr>
      </w:pPr>
    </w:p>
    <w:p>
      <w:pPr>
        <w:ind w:left="1040"/>
        <w:spacing w:after="0"/>
        <w:rPr>
          <w:rFonts w:ascii="Arial" w:cs="Arial" w:eastAsia="Arial" w:hAnsi="Arial"/>
          <w:sz w:val="18"/>
          <w:szCs w:val="18"/>
          <w:u w:val="single" w:color="auto"/>
          <w:color w:val="0000FF"/>
        </w:rPr>
      </w:pPr>
      <w:hyperlink r:id="rId341">
        <w:r>
          <w:rPr>
            <w:rFonts w:ascii="Arial" w:cs="Arial" w:eastAsia="Arial" w:hAnsi="Arial"/>
            <w:sz w:val="18"/>
            <w:szCs w:val="18"/>
            <w:u w:val="single" w:color="auto"/>
            <w:color w:val="0000FF"/>
          </w:rPr>
          <w:t>2020, among Aterian, Inc. and the investors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-19685</wp:posOffset>
            </wp:positionV>
            <wp:extent cx="26650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2665095" cy="8255"/>
                    </a:xfrm>
                    <a:prstGeom prst="rect">
                      <a:avLst/>
                    </a:prstGeom>
                    <a:noFill/>
                  </pic:spPr>
                </pic:pic>
              </a:graphicData>
            </a:graphic>
          </wp:anchor>
        </w:drawing>
      </w:r>
    </w:p>
    <w:p>
      <w:pPr>
        <w:spacing w:after="0" w:line="3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15240</wp:posOffset>
            </wp:positionV>
            <wp:extent cx="29114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156" w:lineRule="exact"/>
        <w:rPr>
          <w:sz w:val="20"/>
          <w:szCs w:val="20"/>
          <w:color w:val="auto"/>
        </w:rPr>
      </w:pPr>
    </w:p>
    <w:p>
      <w:pPr>
        <w:ind w:left="40"/>
        <w:spacing w:after="0"/>
        <w:tabs>
          <w:tab w:leader="none" w:pos="840" w:val="left"/>
          <w:tab w:leader="none" w:pos="2420" w:val="left"/>
          <w:tab w:leader="none" w:pos="386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Filing Date</w:t>
      </w:r>
      <w:r>
        <w:rPr>
          <w:sz w:val="20"/>
          <w:szCs w:val="20"/>
          <w:color w:val="auto"/>
        </w:rPr>
        <w:tab/>
      </w:r>
      <w:r>
        <w:rPr>
          <w:rFonts w:ascii="Arial" w:cs="Arial" w:eastAsia="Arial" w:hAnsi="Arial"/>
          <w:sz w:val="13"/>
          <w:szCs w:val="13"/>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15240</wp:posOffset>
            </wp:positionV>
            <wp:extent cx="29114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
        <w:spacing w:after="0"/>
        <w:tabs>
          <w:tab w:leader="none" w:pos="840" w:val="left"/>
          <w:tab w:leader="none" w:pos="2400" w:val="left"/>
          <w:tab w:leader="none" w:pos="39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001-38937</w:t>
      </w:r>
      <w:r>
        <w:rPr>
          <w:sz w:val="20"/>
          <w:szCs w:val="20"/>
          <w:color w:val="auto"/>
        </w:rPr>
        <w:tab/>
      </w:r>
      <w:r>
        <w:rPr>
          <w:rFonts w:ascii="Arial" w:cs="Arial" w:eastAsia="Arial" w:hAnsi="Arial"/>
          <w:sz w:val="18"/>
          <w:szCs w:val="18"/>
          <w:color w:val="auto"/>
        </w:rPr>
        <w:t>12/1/2021</w:t>
      </w:r>
      <w:r>
        <w:rPr>
          <w:sz w:val="20"/>
          <w:szCs w:val="20"/>
          <w:color w:val="auto"/>
        </w:rPr>
        <w:tab/>
      </w:r>
      <w:r>
        <w:rPr>
          <w:rFonts w:ascii="Arial" w:cs="Arial" w:eastAsia="Arial" w:hAnsi="Arial"/>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
        <w:spacing w:after="0"/>
        <w:tabs>
          <w:tab w:leader="none" w:pos="840" w:val="left"/>
          <w:tab w:leader="none" w:pos="2440" w:val="left"/>
          <w:tab w:leader="none" w:pos="39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001-38937</w:t>
      </w:r>
      <w:r>
        <w:rPr>
          <w:sz w:val="20"/>
          <w:szCs w:val="20"/>
          <w:color w:val="auto"/>
        </w:rPr>
        <w:tab/>
      </w:r>
      <w:r>
        <w:rPr>
          <w:rFonts w:ascii="Arial" w:cs="Arial" w:eastAsia="Arial" w:hAnsi="Arial"/>
          <w:sz w:val="18"/>
          <w:szCs w:val="18"/>
          <w:color w:val="auto"/>
        </w:rPr>
        <w:t>2/3/2021</w:t>
      </w:r>
      <w:r>
        <w:rPr>
          <w:sz w:val="20"/>
          <w:szCs w:val="20"/>
          <w:color w:val="auto"/>
        </w:rPr>
        <w:tab/>
      </w:r>
      <w:r>
        <w:rPr>
          <w:rFonts w:ascii="Arial" w:cs="Arial" w:eastAsia="Arial" w:hAnsi="Arial"/>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0"/>
              </w:rPr>
              <w:t>001-38937</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5/11/2022</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823"/>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0"/>
              </w:rPr>
              <w:t>001-38937</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5/11/2022</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80"/>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0"/>
              </w:rPr>
              <w:t>001-38937</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4/30/2022</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0"/>
              </w:rPr>
              <w:t>001-38937</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4/30/2022</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0"/>
              </w:rPr>
              <w:t>001-38937</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6/1/2022</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89"/>
              </w:rPr>
              <w:t>333-231381</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5/24/2020</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607"/>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89"/>
              </w:rPr>
              <w:t>333-231381</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5/10/2020</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607"/>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89"/>
              </w:rPr>
              <w:t>333-231381</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5/10/2020</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607"/>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89"/>
              </w:rPr>
              <w:t>333-231381</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5/10/2020</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607"/>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89"/>
              </w:rPr>
              <w:t>333-231381</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5/10/2020</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607"/>
        </w:trPr>
        <w:tc>
          <w:tcPr>
            <w:tcW w:w="620" w:type="dxa"/>
            <w:vAlign w:val="bottom"/>
          </w:tcPr>
          <w:p>
            <w:pPr>
              <w:jc w:val="center"/>
              <w:ind w:right="9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89"/>
              </w:rPr>
              <w:t>333-231381</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5/10/2020</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2">
            <w:col w:w="6540" w:space="240"/>
            <w:col w:w="4340"/>
          </w:cols>
          <w:pgMar w:left="320" w:top="687" w:right="45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1"/>
                <w:szCs w:val="11"/>
                <w:color w:val="auto"/>
              </w:rPr>
            </w:pPr>
          </w:p>
        </w:tc>
        <w:tc>
          <w:tcPr>
            <w:tcW w:w="550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Pr>
          <w:p>
            <w:pPr>
              <w:spacing w:after="0"/>
              <w:rPr>
                <w:sz w:val="11"/>
                <w:szCs w:val="11"/>
                <w:color w:val="auto"/>
              </w:rPr>
            </w:pPr>
          </w:p>
        </w:tc>
        <w:tc>
          <w:tcPr>
            <w:tcW w:w="17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1"/>
                <w:szCs w:val="11"/>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5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ectPr>
          <w:pgSz w:w="11900" w:h="16838" w:orient="portrait"/>
          <w:cols w:equalWidth="0" w:num="1">
            <w:col w:w="11240"/>
          </w:cols>
          <w:pgMar w:left="320" w:top="373" w:right="339" w:bottom="1440" w:gutter="0" w:footer="0" w:header="0"/>
        </w:sectPr>
      </w:pPr>
    </w:p>
    <w:p>
      <w:pPr>
        <w:ind w:left="1040" w:right="80" w:hanging="698"/>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hyperlink r:id="rId347">
        <w:r>
          <w:rPr>
            <w:rFonts w:ascii="Arial" w:cs="Arial" w:eastAsia="Arial" w:hAnsi="Arial"/>
            <w:sz w:val="18"/>
            <w:szCs w:val="18"/>
            <w:u w:val="single" w:color="auto"/>
            <w:color w:val="0000FF"/>
          </w:rPr>
          <w:t>Warrant to Purchase Shares of Common Stock, issued to Third Creek</w:t>
        </w:r>
      </w:hyperlink>
      <w:r>
        <w:rPr>
          <w:rFonts w:ascii="Arial" w:cs="Arial" w:eastAsia="Arial" w:hAnsi="Arial"/>
          <w:sz w:val="18"/>
          <w:szCs w:val="18"/>
          <w:u w:val="single" w:color="auto"/>
          <w:color w:val="0000FF"/>
        </w:rPr>
        <w:t xml:space="preserve"> </w:t>
      </w:r>
      <w:hyperlink r:id="rId347">
        <w:r>
          <w:rPr>
            <w:rFonts w:ascii="Arial" w:cs="Arial" w:eastAsia="Arial" w:hAnsi="Arial"/>
            <w:sz w:val="18"/>
            <w:szCs w:val="18"/>
            <w:u w:val="single" w:color="auto"/>
            <w:color w:val="0000FF"/>
          </w:rPr>
          <w:t>Advisors, LLC on August 18,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-182245</wp:posOffset>
            </wp:positionV>
            <wp:extent cx="31915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3191510"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-45085</wp:posOffset>
            </wp:positionV>
            <wp:extent cx="164211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109" w:lineRule="exact"/>
        <w:rPr>
          <w:sz w:val="20"/>
          <w:szCs w:val="20"/>
          <w:color w:val="auto"/>
        </w:rPr>
      </w:pPr>
    </w:p>
    <w:p>
      <w:pPr>
        <w:ind w:left="34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4.8</w:t>
      </w:r>
      <w:r>
        <w:rPr>
          <w:sz w:val="20"/>
          <w:szCs w:val="20"/>
          <w:color w:val="auto"/>
        </w:rPr>
        <w:tab/>
      </w:r>
      <w:hyperlink r:id="rId350">
        <w:r>
          <w:rPr>
            <w:rFonts w:ascii="Arial" w:cs="Arial" w:eastAsia="Arial" w:hAnsi="Arial"/>
            <w:sz w:val="16"/>
            <w:szCs w:val="16"/>
            <w:u w:val="single" w:color="auto"/>
            <w:color w:val="0000FF"/>
          </w:rPr>
          <w:t>Form of Warrant to Purchase Stock, dated December 22,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-10160</wp:posOffset>
            </wp:positionV>
            <wp:extent cx="28682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2868295" cy="8255"/>
                    </a:xfrm>
                    <a:prstGeom prst="rect">
                      <a:avLst/>
                    </a:prstGeom>
                    <a:noFill/>
                  </pic:spPr>
                </pic:pic>
              </a:graphicData>
            </a:graphic>
          </wp:anchor>
        </w:drawing>
      </w:r>
    </w:p>
    <w:p>
      <w:pPr>
        <w:spacing w:after="0" w:line="19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0000FF"/>
        </w:rPr>
        <w:t>Description of Securities of Aterian,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-10160</wp:posOffset>
            </wp:positionV>
            <wp:extent cx="18599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001-38937</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11/9/2021</w:t>
            </w: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001-38937</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12/27/2022</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541" w:lineRule="exact"/>
        <w:rPr>
          <w:sz w:val="20"/>
          <w:szCs w:val="20"/>
          <w:color w:val="auto"/>
        </w:rPr>
      </w:pPr>
    </w:p>
    <w:p>
      <w:pPr>
        <w:sectPr>
          <w:pgSz w:w="11900" w:h="16838" w:orient="portrait"/>
          <w:cols w:equalWidth="0" w:num="2">
            <w:col w:w="6100" w:space="720"/>
            <w:col w:w="4420"/>
          </w:cols>
          <w:pgMar w:left="320" w:top="373"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10.1#</w:t>
            </w:r>
          </w:p>
        </w:tc>
        <w:tc>
          <w:tcPr>
            <w:tcW w:w="2720" w:type="dxa"/>
            <w:vAlign w:val="bottom"/>
            <w:tcBorders>
              <w:bottom w:val="single" w:sz="8" w:color="0000EE"/>
            </w:tcBorders>
            <w:gridSpan w:val="7"/>
          </w:tcPr>
          <w:p>
            <w:pPr>
              <w:spacing w:after="0"/>
              <w:rPr>
                <w:rFonts w:ascii="Arial" w:cs="Arial" w:eastAsia="Arial" w:hAnsi="Arial"/>
                <w:sz w:val="18"/>
                <w:szCs w:val="18"/>
                <w:color w:val="0000FF"/>
                <w:w w:val="94"/>
              </w:rPr>
            </w:pPr>
            <w:hyperlink r:id="rId353">
              <w:r>
                <w:rPr>
                  <w:rFonts w:ascii="Arial" w:cs="Arial" w:eastAsia="Arial" w:hAnsi="Arial"/>
                  <w:sz w:val="18"/>
                  <w:szCs w:val="18"/>
                  <w:color w:val="0000FF"/>
                  <w:w w:val="94"/>
                </w:rPr>
                <w:t>Form of Indemnification Agreement.</w:t>
              </w:r>
            </w:hyperlink>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89"/>
              </w:rPr>
              <w:t>333-231381</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5/24/2020</w:t>
            </w:r>
          </w:p>
        </w:tc>
        <w:tc>
          <w:tcPr>
            <w:tcW w:w="940" w:type="dxa"/>
            <w:vAlign w:val="bottom"/>
          </w:tcPr>
          <w:p>
            <w:pPr>
              <w:jc w:val="center"/>
              <w:ind w:left="150"/>
              <w:spacing w:after="0"/>
              <w:rPr>
                <w:sz w:val="20"/>
                <w:szCs w:val="20"/>
                <w:color w:val="auto"/>
              </w:rPr>
            </w:pPr>
            <w:r>
              <w:rPr>
                <w:rFonts w:ascii="Arial" w:cs="Arial" w:eastAsia="Arial" w:hAnsi="Arial"/>
                <w:sz w:val="18"/>
                <w:szCs w:val="18"/>
                <w:color w:val="auto"/>
                <w:w w:val="85"/>
              </w:rPr>
              <w:t>10.1</w:t>
            </w:r>
          </w:p>
        </w:tc>
      </w:tr>
      <w:tr>
        <w:trPr>
          <w:trHeight w:val="398"/>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10.2#</w:t>
            </w:r>
          </w:p>
        </w:tc>
        <w:tc>
          <w:tcPr>
            <w:tcW w:w="3760" w:type="dxa"/>
            <w:vAlign w:val="bottom"/>
            <w:tcBorders>
              <w:bottom w:val="single" w:sz="8" w:color="0000EE"/>
            </w:tcBorders>
            <w:gridSpan w:val="13"/>
          </w:tcPr>
          <w:p>
            <w:pPr>
              <w:spacing w:after="0"/>
              <w:rPr>
                <w:rFonts w:ascii="Arial" w:cs="Arial" w:eastAsia="Arial" w:hAnsi="Arial"/>
                <w:sz w:val="18"/>
                <w:szCs w:val="18"/>
                <w:color w:val="0000FF"/>
                <w:w w:val="90"/>
              </w:rPr>
            </w:pPr>
            <w:hyperlink r:id="rId354">
              <w:r>
                <w:rPr>
                  <w:rFonts w:ascii="Arial" w:cs="Arial" w:eastAsia="Arial" w:hAnsi="Arial"/>
                  <w:sz w:val="18"/>
                  <w:szCs w:val="18"/>
                  <w:color w:val="0000FF"/>
                  <w:w w:val="90"/>
                </w:rPr>
                <w:t>2014 Amended and Restated Equity Incentive Plan.</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89"/>
              </w:rPr>
              <w:t>333-231381</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5/10/2020</w:t>
            </w:r>
          </w:p>
        </w:tc>
        <w:tc>
          <w:tcPr>
            <w:tcW w:w="940" w:type="dxa"/>
            <w:vAlign w:val="bottom"/>
          </w:tcPr>
          <w:p>
            <w:pPr>
              <w:jc w:val="center"/>
              <w:ind w:left="150"/>
              <w:spacing w:after="0"/>
              <w:rPr>
                <w:sz w:val="20"/>
                <w:szCs w:val="20"/>
                <w:color w:val="auto"/>
              </w:rPr>
            </w:pPr>
            <w:r>
              <w:rPr>
                <w:rFonts w:ascii="Arial" w:cs="Arial" w:eastAsia="Arial" w:hAnsi="Arial"/>
                <w:sz w:val="18"/>
                <w:szCs w:val="18"/>
                <w:color w:val="auto"/>
                <w:w w:val="85"/>
              </w:rPr>
              <w:t>10.2</w:t>
            </w:r>
          </w:p>
        </w:tc>
      </w:tr>
      <w:tr>
        <w:trPr>
          <w:trHeight w:val="398"/>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10.3#</w:t>
            </w:r>
          </w:p>
        </w:tc>
        <w:tc>
          <w:tcPr>
            <w:tcW w:w="5400" w:type="dxa"/>
            <w:vAlign w:val="bottom"/>
            <w:tcBorders>
              <w:bottom w:val="single" w:sz="8" w:color="0000FF"/>
            </w:tcBorders>
            <w:gridSpan w:val="26"/>
          </w:tcPr>
          <w:p>
            <w:pPr>
              <w:spacing w:after="0"/>
              <w:rPr>
                <w:rFonts w:ascii="Arial" w:cs="Arial" w:eastAsia="Arial" w:hAnsi="Arial"/>
                <w:sz w:val="18"/>
                <w:szCs w:val="18"/>
                <w:color w:val="0000FF"/>
                <w:w w:val="92"/>
              </w:rPr>
            </w:pPr>
            <w:hyperlink r:id="rId355">
              <w:r>
                <w:rPr>
                  <w:rFonts w:ascii="Arial" w:cs="Arial" w:eastAsia="Arial" w:hAnsi="Arial"/>
                  <w:sz w:val="18"/>
                  <w:szCs w:val="18"/>
                  <w:color w:val="0000FF"/>
                  <w:w w:val="92"/>
                </w:rPr>
                <w:t>Form of Stock Option Grant Notice and Form of Stock Option Agreement</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880" w:type="dxa"/>
            <w:vAlign w:val="bottom"/>
            <w:tcBorders>
              <w:bottom w:val="single" w:sz="8" w:color="0000EE"/>
            </w:tcBorders>
            <w:gridSpan w:val="15"/>
          </w:tcPr>
          <w:p>
            <w:pPr>
              <w:spacing w:after="0" w:line="195" w:lineRule="exact"/>
              <w:rPr>
                <w:rFonts w:ascii="Arial" w:cs="Arial" w:eastAsia="Arial" w:hAnsi="Arial"/>
                <w:sz w:val="18"/>
                <w:szCs w:val="18"/>
                <w:color w:val="0000FF"/>
                <w:w w:val="90"/>
              </w:rPr>
            </w:pPr>
            <w:hyperlink r:id="rId355">
              <w:r>
                <w:rPr>
                  <w:rFonts w:ascii="Arial" w:cs="Arial" w:eastAsia="Arial" w:hAnsi="Arial"/>
                  <w:sz w:val="18"/>
                  <w:szCs w:val="18"/>
                  <w:color w:val="0000FF"/>
                  <w:w w:val="90"/>
                </w:rPr>
                <w:t>(2014 Amended and Restated Equity Incentive Plan).</w:t>
              </w:r>
            </w:hyperlink>
          </w:p>
        </w:tc>
        <w:tc>
          <w:tcPr>
            <w:tcW w:w="15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333-231381</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5/10/2020</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85"/>
              </w:rPr>
              <w:t>10.3</w:t>
            </w: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10.4#</w:t>
            </w:r>
          </w:p>
        </w:tc>
        <w:tc>
          <w:tcPr>
            <w:tcW w:w="3760" w:type="dxa"/>
            <w:vAlign w:val="bottom"/>
            <w:tcBorders>
              <w:bottom w:val="single" w:sz="8" w:color="0000EE"/>
            </w:tcBorders>
            <w:gridSpan w:val="13"/>
          </w:tcPr>
          <w:p>
            <w:pPr>
              <w:spacing w:after="0"/>
              <w:rPr>
                <w:rFonts w:ascii="Arial" w:cs="Arial" w:eastAsia="Arial" w:hAnsi="Arial"/>
                <w:sz w:val="18"/>
                <w:szCs w:val="18"/>
                <w:color w:val="0000FF"/>
                <w:w w:val="90"/>
              </w:rPr>
            </w:pPr>
            <w:hyperlink r:id="rId356">
              <w:r>
                <w:rPr>
                  <w:rFonts w:ascii="Arial" w:cs="Arial" w:eastAsia="Arial" w:hAnsi="Arial"/>
                  <w:sz w:val="18"/>
                  <w:szCs w:val="18"/>
                  <w:color w:val="0000FF"/>
                  <w:w w:val="90"/>
                </w:rPr>
                <w:t>Amended and Restated 2018 Equity Incentive Plan.</w:t>
              </w:r>
            </w:hyperlink>
          </w:p>
        </w:tc>
        <w:tc>
          <w:tcPr>
            <w:tcW w:w="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89"/>
              </w:rPr>
              <w:t>333-232087</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5/28/2921</w:t>
            </w:r>
          </w:p>
        </w:tc>
        <w:tc>
          <w:tcPr>
            <w:tcW w:w="940" w:type="dxa"/>
            <w:vAlign w:val="bottom"/>
          </w:tcPr>
          <w:p>
            <w:pPr>
              <w:jc w:val="center"/>
              <w:ind w:left="150"/>
              <w:spacing w:after="0"/>
              <w:rPr>
                <w:sz w:val="20"/>
                <w:szCs w:val="20"/>
                <w:color w:val="auto"/>
              </w:rPr>
            </w:pPr>
            <w:r>
              <w:rPr>
                <w:rFonts w:ascii="Arial" w:cs="Arial" w:eastAsia="Arial" w:hAnsi="Arial"/>
                <w:sz w:val="18"/>
                <w:szCs w:val="18"/>
                <w:color w:val="auto"/>
                <w:w w:val="85"/>
              </w:rPr>
              <w:t>10.3</w:t>
            </w:r>
          </w:p>
        </w:tc>
      </w:tr>
      <w:tr>
        <w:trPr>
          <w:trHeight w:val="398"/>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10.5#</w:t>
            </w:r>
          </w:p>
        </w:tc>
        <w:tc>
          <w:tcPr>
            <w:tcW w:w="5280" w:type="dxa"/>
            <w:vAlign w:val="bottom"/>
            <w:tcBorders>
              <w:bottom w:val="single" w:sz="8" w:color="0000FF"/>
            </w:tcBorders>
            <w:gridSpan w:val="23"/>
          </w:tcPr>
          <w:p>
            <w:pPr>
              <w:spacing w:after="0"/>
              <w:rPr>
                <w:rFonts w:ascii="Arial" w:cs="Arial" w:eastAsia="Arial" w:hAnsi="Arial"/>
                <w:sz w:val="18"/>
                <w:szCs w:val="18"/>
                <w:color w:val="0000FF"/>
                <w:w w:val="93"/>
              </w:rPr>
            </w:pPr>
            <w:hyperlink r:id="rId357">
              <w:r>
                <w:rPr>
                  <w:rFonts w:ascii="Arial" w:cs="Arial" w:eastAsia="Arial" w:hAnsi="Arial"/>
                  <w:sz w:val="18"/>
                  <w:szCs w:val="18"/>
                  <w:color w:val="0000FF"/>
                  <w:w w:val="93"/>
                </w:rPr>
                <w:t>Form of Notice of Stock Option Grant and Form of Stock Option Award</w:t>
              </w:r>
            </w:hyperlink>
          </w:p>
        </w:tc>
        <w:tc>
          <w:tcPr>
            <w:tcW w:w="1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020" w:type="dxa"/>
            <w:vAlign w:val="bottom"/>
            <w:tcBorders>
              <w:bottom w:val="single" w:sz="8" w:color="0000EE"/>
            </w:tcBorders>
            <w:gridSpan w:val="9"/>
          </w:tcPr>
          <w:p>
            <w:pPr>
              <w:spacing w:after="0" w:line="195" w:lineRule="exact"/>
              <w:rPr>
                <w:rFonts w:ascii="Arial" w:cs="Arial" w:eastAsia="Arial" w:hAnsi="Arial"/>
                <w:sz w:val="18"/>
                <w:szCs w:val="18"/>
                <w:color w:val="0000FF"/>
                <w:w w:val="92"/>
              </w:rPr>
            </w:pPr>
            <w:hyperlink r:id="rId357">
              <w:r>
                <w:rPr>
                  <w:rFonts w:ascii="Arial" w:cs="Arial" w:eastAsia="Arial" w:hAnsi="Arial"/>
                  <w:sz w:val="18"/>
                  <w:szCs w:val="18"/>
                  <w:color w:val="0000FF"/>
                  <w:w w:val="92"/>
                </w:rPr>
                <w:t>Agreement (2018 Equity Incentive Plan).</w:t>
              </w:r>
            </w:hyperlink>
          </w:p>
        </w:tc>
        <w:tc>
          <w:tcPr>
            <w:tcW w:w="244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333-231381</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5/10/2020</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85"/>
              </w:rPr>
              <w:t>10.5</w:t>
            </w: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10.6#</w:t>
            </w:r>
          </w:p>
        </w:tc>
        <w:tc>
          <w:tcPr>
            <w:tcW w:w="5460" w:type="dxa"/>
            <w:vAlign w:val="bottom"/>
            <w:tcBorders>
              <w:bottom w:val="single" w:sz="8" w:color="0000FF"/>
            </w:tcBorders>
            <w:gridSpan w:val="27"/>
          </w:tcPr>
          <w:p>
            <w:pPr>
              <w:spacing w:after="0"/>
              <w:rPr>
                <w:rFonts w:ascii="Arial" w:cs="Arial" w:eastAsia="Arial" w:hAnsi="Arial"/>
                <w:sz w:val="18"/>
                <w:szCs w:val="18"/>
                <w:color w:val="0000FF"/>
                <w:w w:val="91"/>
              </w:rPr>
            </w:pPr>
            <w:hyperlink r:id="rId358">
              <w:r>
                <w:rPr>
                  <w:rFonts w:ascii="Arial" w:cs="Arial" w:eastAsia="Arial" w:hAnsi="Arial"/>
                  <w:sz w:val="18"/>
                  <w:szCs w:val="18"/>
                  <w:color w:val="0000FF"/>
                  <w:w w:val="91"/>
                </w:rPr>
                <w:t>Form of Notice of Grant of Restricted Shares and Form of Restricted Share</w:t>
              </w:r>
            </w:hyperlink>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540" w:type="dxa"/>
            <w:vAlign w:val="bottom"/>
            <w:tcBorders>
              <w:bottom w:val="single" w:sz="8" w:color="0000EE"/>
            </w:tcBorders>
            <w:gridSpan w:val="11"/>
          </w:tcPr>
          <w:p>
            <w:pPr>
              <w:spacing w:after="0" w:line="195" w:lineRule="exact"/>
              <w:rPr>
                <w:rFonts w:ascii="Arial" w:cs="Arial" w:eastAsia="Arial" w:hAnsi="Arial"/>
                <w:sz w:val="18"/>
                <w:szCs w:val="18"/>
                <w:color w:val="0000FF"/>
                <w:w w:val="92"/>
              </w:rPr>
            </w:pPr>
            <w:hyperlink r:id="rId358">
              <w:r>
                <w:rPr>
                  <w:rFonts w:ascii="Arial" w:cs="Arial" w:eastAsia="Arial" w:hAnsi="Arial"/>
                  <w:sz w:val="18"/>
                  <w:szCs w:val="18"/>
                  <w:color w:val="0000FF"/>
                  <w:w w:val="92"/>
                </w:rPr>
                <w:t>Award Agreement (2018 Equity Incentive Plan).</w:t>
              </w:r>
            </w:hyperlink>
          </w:p>
        </w:tc>
        <w:tc>
          <w:tcPr>
            <w:tcW w:w="19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5"/>
              </w:rPr>
              <w:t>S-8</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333-232087</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6/12/2020</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85"/>
              </w:rPr>
              <w:t>10.4</w:t>
            </w: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10.7#</w:t>
            </w:r>
          </w:p>
        </w:tc>
        <w:tc>
          <w:tcPr>
            <w:tcW w:w="4000" w:type="dxa"/>
            <w:vAlign w:val="bottom"/>
            <w:tcBorders>
              <w:bottom w:val="single" w:sz="8" w:color="0000EE"/>
            </w:tcBorders>
            <w:gridSpan w:val="16"/>
          </w:tcPr>
          <w:p>
            <w:pPr>
              <w:spacing w:after="0"/>
              <w:rPr>
                <w:rFonts w:ascii="Arial" w:cs="Arial" w:eastAsia="Arial" w:hAnsi="Arial"/>
                <w:sz w:val="18"/>
                <w:szCs w:val="18"/>
                <w:color w:val="0000FF"/>
                <w:w w:val="91"/>
              </w:rPr>
            </w:pPr>
            <w:hyperlink r:id="rId359">
              <w:r>
                <w:rPr>
                  <w:rFonts w:ascii="Arial" w:cs="Arial" w:eastAsia="Arial" w:hAnsi="Arial"/>
                  <w:sz w:val="18"/>
                  <w:szCs w:val="18"/>
                  <w:color w:val="0000FF"/>
                  <w:w w:val="91"/>
                </w:rPr>
                <w:t>Amended and Restated Aterian, Inc. 2020 Equity Plan.</w:t>
              </w:r>
            </w:hyperlink>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89"/>
              </w:rPr>
              <w:t>333-256635</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5/28/2022</w:t>
            </w:r>
          </w:p>
        </w:tc>
        <w:tc>
          <w:tcPr>
            <w:tcW w:w="940" w:type="dxa"/>
            <w:vAlign w:val="bottom"/>
          </w:tcPr>
          <w:p>
            <w:pPr>
              <w:jc w:val="center"/>
              <w:ind w:left="150"/>
              <w:spacing w:after="0"/>
              <w:rPr>
                <w:sz w:val="20"/>
                <w:szCs w:val="20"/>
                <w:color w:val="auto"/>
              </w:rPr>
            </w:pPr>
            <w:r>
              <w:rPr>
                <w:rFonts w:ascii="Arial" w:cs="Arial" w:eastAsia="Arial" w:hAnsi="Arial"/>
                <w:sz w:val="18"/>
                <w:szCs w:val="18"/>
                <w:color w:val="auto"/>
                <w:w w:val="93"/>
              </w:rPr>
              <w:t>10.17</w:t>
            </w:r>
          </w:p>
        </w:tc>
      </w:tr>
      <w:tr>
        <w:trPr>
          <w:trHeight w:val="398"/>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10.8#</w:t>
            </w:r>
          </w:p>
        </w:tc>
        <w:tc>
          <w:tcPr>
            <w:tcW w:w="5460" w:type="dxa"/>
            <w:vAlign w:val="bottom"/>
            <w:tcBorders>
              <w:bottom w:val="single" w:sz="8" w:color="0000FF"/>
            </w:tcBorders>
            <w:gridSpan w:val="27"/>
          </w:tcPr>
          <w:p>
            <w:pPr>
              <w:spacing w:after="0"/>
              <w:rPr>
                <w:rFonts w:ascii="Arial" w:cs="Arial" w:eastAsia="Arial" w:hAnsi="Arial"/>
                <w:sz w:val="18"/>
                <w:szCs w:val="18"/>
                <w:color w:val="0000FF"/>
                <w:w w:val="91"/>
              </w:rPr>
            </w:pPr>
            <w:hyperlink r:id="rId360">
              <w:r>
                <w:rPr>
                  <w:rFonts w:ascii="Arial" w:cs="Arial" w:eastAsia="Arial" w:hAnsi="Arial"/>
                  <w:sz w:val="18"/>
                  <w:szCs w:val="18"/>
                  <w:color w:val="0000FF"/>
                  <w:w w:val="91"/>
                </w:rPr>
                <w:t>Form of Notice of Grant of Restricted Shares and Form of Restricted Share</w:t>
              </w:r>
            </w:hyperlink>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800" w:type="dxa"/>
            <w:vAlign w:val="bottom"/>
            <w:tcBorders>
              <w:bottom w:val="single" w:sz="8" w:color="0000EE"/>
            </w:tcBorders>
            <w:gridSpan w:val="14"/>
          </w:tcPr>
          <w:p>
            <w:pPr>
              <w:spacing w:after="0" w:line="195" w:lineRule="exact"/>
              <w:rPr>
                <w:rFonts w:ascii="Arial" w:cs="Arial" w:eastAsia="Arial" w:hAnsi="Arial"/>
                <w:sz w:val="18"/>
                <w:szCs w:val="18"/>
                <w:color w:val="0000FF"/>
                <w:w w:val="93"/>
              </w:rPr>
            </w:pPr>
            <w:hyperlink r:id="rId360">
              <w:r>
                <w:rPr>
                  <w:rFonts w:ascii="Arial" w:cs="Arial" w:eastAsia="Arial" w:hAnsi="Arial"/>
                  <w:sz w:val="18"/>
                  <w:szCs w:val="18"/>
                  <w:color w:val="0000FF"/>
                  <w:w w:val="93"/>
                </w:rPr>
                <w:t>Award Agreement (Aterian, Inc. 2020 Equity Plan).</w:t>
              </w:r>
            </w:hyperlink>
          </w:p>
        </w:tc>
        <w:tc>
          <w:tcPr>
            <w:tcW w:w="16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333-231381</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5/10/2020</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3"/>
              </w:rPr>
              <w:t>10.18</w:t>
            </w: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93"/>
              </w:rPr>
              <w:t>10.9#+</w:t>
            </w:r>
          </w:p>
        </w:tc>
        <w:tc>
          <w:tcPr>
            <w:tcW w:w="5100" w:type="dxa"/>
            <w:vAlign w:val="bottom"/>
            <w:tcBorders>
              <w:bottom w:val="single" w:sz="8" w:color="0000FF"/>
            </w:tcBorders>
            <w:gridSpan w:val="20"/>
          </w:tcPr>
          <w:p>
            <w:pPr>
              <w:spacing w:after="0"/>
              <w:rPr>
                <w:rFonts w:ascii="Arial" w:cs="Arial" w:eastAsia="Arial" w:hAnsi="Arial"/>
                <w:sz w:val="18"/>
                <w:szCs w:val="18"/>
                <w:color w:val="0000FF"/>
                <w:w w:val="91"/>
              </w:rPr>
            </w:pPr>
            <w:hyperlink r:id="rId361">
              <w:r>
                <w:rPr>
                  <w:rFonts w:ascii="Arial" w:cs="Arial" w:eastAsia="Arial" w:hAnsi="Arial"/>
                  <w:sz w:val="18"/>
                  <w:szCs w:val="18"/>
                  <w:color w:val="0000FF"/>
                  <w:w w:val="91"/>
                </w:rPr>
                <w:t>Employment Agreement dated May 14, 2018, by and between Aterian</w:t>
              </w:r>
            </w:hyperlink>
          </w:p>
        </w:tc>
        <w:tc>
          <w:tcPr>
            <w:tcW w:w="3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60" w:type="dxa"/>
            <w:vAlign w:val="bottom"/>
            <w:tcBorders>
              <w:bottom w:val="single" w:sz="8" w:color="0000EE"/>
            </w:tcBorders>
            <w:gridSpan w:val="4"/>
          </w:tcPr>
          <w:p>
            <w:pPr>
              <w:spacing w:after="0" w:line="195" w:lineRule="exact"/>
              <w:rPr>
                <w:rFonts w:ascii="Arial" w:cs="Arial" w:eastAsia="Arial" w:hAnsi="Arial"/>
                <w:sz w:val="18"/>
                <w:szCs w:val="18"/>
                <w:color w:val="0000FF"/>
                <w:w w:val="90"/>
              </w:rPr>
            </w:pPr>
            <w:hyperlink r:id="rId361">
              <w:r>
                <w:rPr>
                  <w:rFonts w:ascii="Arial" w:cs="Arial" w:eastAsia="Arial" w:hAnsi="Arial"/>
                  <w:sz w:val="18"/>
                  <w:szCs w:val="18"/>
                  <w:color w:val="0000FF"/>
                  <w:w w:val="90"/>
                </w:rPr>
                <w:t>Group, Inc. and Joseph Risico.</w:t>
              </w:r>
            </w:hyperlink>
          </w:p>
        </w:tc>
        <w:tc>
          <w:tcPr>
            <w:tcW w:w="320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333-231381</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5/10/2020</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3"/>
              </w:rPr>
              <w:t>10.10</w:t>
            </w: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10.10#+</w:t>
            </w:r>
          </w:p>
        </w:tc>
        <w:tc>
          <w:tcPr>
            <w:tcW w:w="5240" w:type="dxa"/>
            <w:vAlign w:val="bottom"/>
            <w:tcBorders>
              <w:bottom w:val="single" w:sz="8" w:color="0000FF"/>
            </w:tcBorders>
            <w:gridSpan w:val="21"/>
          </w:tcPr>
          <w:p>
            <w:pPr>
              <w:spacing w:after="0"/>
              <w:rPr>
                <w:rFonts w:ascii="Arial" w:cs="Arial" w:eastAsia="Arial" w:hAnsi="Arial"/>
                <w:sz w:val="18"/>
                <w:szCs w:val="18"/>
                <w:color w:val="0000FF"/>
                <w:w w:val="90"/>
              </w:rPr>
            </w:pPr>
            <w:hyperlink r:id="rId362">
              <w:r>
                <w:rPr>
                  <w:rFonts w:ascii="Arial" w:cs="Arial" w:eastAsia="Arial" w:hAnsi="Arial"/>
                  <w:sz w:val="18"/>
                  <w:szCs w:val="18"/>
                  <w:color w:val="0000FF"/>
                  <w:w w:val="90"/>
                </w:rPr>
                <w:t>Employment Agreement dated January 1, 2016, by and between Aterian</w:t>
              </w:r>
            </w:hyperlink>
          </w:p>
        </w:tc>
        <w:tc>
          <w:tcPr>
            <w:tcW w:w="2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40" w:type="dxa"/>
            <w:vAlign w:val="bottom"/>
            <w:tcBorders>
              <w:bottom w:val="single" w:sz="8" w:color="0000EE"/>
            </w:tcBorders>
            <w:gridSpan w:val="6"/>
          </w:tcPr>
          <w:p>
            <w:pPr>
              <w:spacing w:after="0" w:line="195" w:lineRule="exact"/>
              <w:rPr>
                <w:rFonts w:ascii="Arial" w:cs="Arial" w:eastAsia="Arial" w:hAnsi="Arial"/>
                <w:sz w:val="18"/>
                <w:szCs w:val="18"/>
                <w:color w:val="0000FF"/>
                <w:w w:val="93"/>
              </w:rPr>
            </w:pPr>
            <w:hyperlink r:id="rId362">
              <w:r>
                <w:rPr>
                  <w:rFonts w:ascii="Arial" w:cs="Arial" w:eastAsia="Arial" w:hAnsi="Arial"/>
                  <w:sz w:val="18"/>
                  <w:szCs w:val="18"/>
                  <w:color w:val="0000FF"/>
                  <w:w w:val="93"/>
                </w:rPr>
                <w:t>Group, Inc. and Mihal Chaouat-Fix.</w:t>
              </w:r>
            </w:hyperlink>
          </w:p>
        </w:tc>
        <w:tc>
          <w:tcPr>
            <w:tcW w:w="282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333-231381</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5/10/2020</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84"/>
              </w:rPr>
              <w:t>10.11</w:t>
            </w: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7"/>
              </w:rPr>
              <w:t>10.11#</w:t>
            </w:r>
          </w:p>
        </w:tc>
        <w:tc>
          <w:tcPr>
            <w:tcW w:w="5060" w:type="dxa"/>
            <w:vAlign w:val="bottom"/>
            <w:tcBorders>
              <w:bottom w:val="single" w:sz="8" w:color="0000FF"/>
            </w:tcBorders>
            <w:gridSpan w:val="19"/>
          </w:tcPr>
          <w:p>
            <w:pPr>
              <w:spacing w:after="0"/>
              <w:rPr>
                <w:rFonts w:ascii="Arial" w:cs="Arial" w:eastAsia="Arial" w:hAnsi="Arial"/>
                <w:sz w:val="18"/>
                <w:szCs w:val="18"/>
                <w:color w:val="0000FF"/>
                <w:w w:val="91"/>
              </w:rPr>
            </w:pPr>
            <w:hyperlink r:id="rId363">
              <w:r>
                <w:rPr>
                  <w:rFonts w:ascii="Arial" w:cs="Arial" w:eastAsia="Arial" w:hAnsi="Arial"/>
                  <w:sz w:val="18"/>
                  <w:szCs w:val="18"/>
                  <w:color w:val="0000FF"/>
                  <w:w w:val="91"/>
                </w:rPr>
                <w:t>Employment Agreement dated April 1, 2015, by and between Aterian</w:t>
              </w:r>
            </w:hyperlink>
          </w:p>
        </w:tc>
        <w:tc>
          <w:tcPr>
            <w:tcW w:w="40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5" w:lineRule="exact"/>
              <w:rPr>
                <w:rFonts w:ascii="Arial" w:cs="Arial" w:eastAsia="Arial" w:hAnsi="Arial"/>
                <w:sz w:val="18"/>
                <w:szCs w:val="18"/>
                <w:color w:val="0000FF"/>
                <w:w w:val="93"/>
              </w:rPr>
            </w:pPr>
            <w:hyperlink r:id="rId363">
              <w:r>
                <w:rPr>
                  <w:rFonts w:ascii="Arial" w:cs="Arial" w:eastAsia="Arial" w:hAnsi="Arial"/>
                  <w:sz w:val="18"/>
                  <w:szCs w:val="18"/>
                  <w:color w:val="0000FF"/>
                  <w:w w:val="93"/>
                </w:rPr>
                <w:t>Group, Inc. and Yaniv Sarig.</w:t>
              </w:r>
            </w:hyperlink>
          </w:p>
        </w:tc>
        <w:tc>
          <w:tcPr>
            <w:tcW w:w="332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333-231381</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5/10/2020</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3"/>
              </w:rPr>
              <w:t>10.14</w:t>
            </w: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7"/>
              </w:rPr>
              <w:t>10.12#</w:t>
            </w:r>
          </w:p>
        </w:tc>
        <w:tc>
          <w:tcPr>
            <w:tcW w:w="5460" w:type="dxa"/>
            <w:vAlign w:val="bottom"/>
            <w:tcBorders>
              <w:bottom w:val="single" w:sz="8" w:color="0000FF"/>
            </w:tcBorders>
            <w:gridSpan w:val="27"/>
          </w:tcPr>
          <w:p>
            <w:pPr>
              <w:spacing w:after="0"/>
              <w:rPr>
                <w:rFonts w:ascii="Arial" w:cs="Arial" w:eastAsia="Arial" w:hAnsi="Arial"/>
                <w:sz w:val="18"/>
                <w:szCs w:val="18"/>
                <w:color w:val="0000FF"/>
                <w:w w:val="89"/>
              </w:rPr>
            </w:pPr>
            <w:hyperlink r:id="rId364">
              <w:r>
                <w:rPr>
                  <w:rFonts w:ascii="Arial" w:cs="Arial" w:eastAsia="Arial" w:hAnsi="Arial"/>
                  <w:sz w:val="18"/>
                  <w:szCs w:val="18"/>
                  <w:color w:val="0000FF"/>
                  <w:w w:val="89"/>
                </w:rPr>
                <w:t>Independent Contractor Agreement dated August 14, 2017, by and between</w:t>
              </w:r>
            </w:hyperlink>
          </w:p>
        </w:tc>
        <w:tc>
          <w:tcPr>
            <w:tcW w:w="20" w:type="dxa"/>
            <w:vAlign w:val="bottom"/>
            <w:tcBorders>
              <w:bottom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820" w:type="dxa"/>
            <w:vAlign w:val="bottom"/>
            <w:tcBorders>
              <w:bottom w:val="single" w:sz="8" w:color="0000EE"/>
            </w:tcBorders>
            <w:gridSpan w:val="8"/>
          </w:tcPr>
          <w:p>
            <w:pPr>
              <w:spacing w:after="0" w:line="195" w:lineRule="exact"/>
              <w:rPr>
                <w:rFonts w:ascii="Arial" w:cs="Arial" w:eastAsia="Arial" w:hAnsi="Arial"/>
                <w:sz w:val="18"/>
                <w:szCs w:val="18"/>
                <w:color w:val="0000FF"/>
                <w:w w:val="91"/>
              </w:rPr>
            </w:pPr>
            <w:hyperlink r:id="rId364">
              <w:r>
                <w:rPr>
                  <w:rFonts w:ascii="Arial" w:cs="Arial" w:eastAsia="Arial" w:hAnsi="Arial"/>
                  <w:sz w:val="18"/>
                  <w:szCs w:val="18"/>
                  <w:color w:val="0000FF"/>
                  <w:w w:val="91"/>
                </w:rPr>
                <w:t>Aterian Group, Inc. and Tomer Pascal.</w:t>
              </w:r>
            </w:hyperlink>
          </w:p>
        </w:tc>
        <w:tc>
          <w:tcPr>
            <w:tcW w:w="26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333-231381</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5/10/2020</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3"/>
              </w:rPr>
              <w:t>10.15</w:t>
            </w: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10.13#+</w:t>
            </w:r>
          </w:p>
        </w:tc>
        <w:tc>
          <w:tcPr>
            <w:tcW w:w="4960" w:type="dxa"/>
            <w:vAlign w:val="bottom"/>
            <w:tcBorders>
              <w:bottom w:val="single" w:sz="8" w:color="0000FF"/>
            </w:tcBorders>
            <w:gridSpan w:val="18"/>
          </w:tcPr>
          <w:p>
            <w:pPr>
              <w:spacing w:after="0"/>
              <w:rPr>
                <w:rFonts w:ascii="Arial" w:cs="Arial" w:eastAsia="Arial" w:hAnsi="Arial"/>
                <w:sz w:val="18"/>
                <w:szCs w:val="18"/>
                <w:color w:val="0000FF"/>
                <w:w w:val="90"/>
              </w:rPr>
            </w:pPr>
            <w:hyperlink r:id="rId365">
              <w:r>
                <w:rPr>
                  <w:rFonts w:ascii="Arial" w:cs="Arial" w:eastAsia="Arial" w:hAnsi="Arial"/>
                  <w:sz w:val="18"/>
                  <w:szCs w:val="18"/>
                  <w:color w:val="0000FF"/>
                  <w:w w:val="90"/>
                </w:rPr>
                <w:t>Employment Agreement dated November 27, 2018, by and between</w:t>
              </w:r>
            </w:hyperlink>
          </w:p>
        </w:tc>
        <w:tc>
          <w:tcPr>
            <w:tcW w:w="5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580" w:type="dxa"/>
            <w:vAlign w:val="bottom"/>
            <w:tcBorders>
              <w:bottom w:val="single" w:sz="8" w:color="0000EE"/>
            </w:tcBorders>
            <w:gridSpan w:val="5"/>
          </w:tcPr>
          <w:p>
            <w:pPr>
              <w:spacing w:after="0" w:line="195" w:lineRule="exact"/>
              <w:rPr>
                <w:rFonts w:ascii="Arial" w:cs="Arial" w:eastAsia="Arial" w:hAnsi="Arial"/>
                <w:sz w:val="18"/>
                <w:szCs w:val="18"/>
                <w:color w:val="0000FF"/>
                <w:w w:val="93"/>
              </w:rPr>
            </w:pPr>
            <w:hyperlink r:id="rId365">
              <w:r>
                <w:rPr>
                  <w:rFonts w:ascii="Arial" w:cs="Arial" w:eastAsia="Arial" w:hAnsi="Arial"/>
                  <w:sz w:val="18"/>
                  <w:szCs w:val="18"/>
                  <w:color w:val="0000FF"/>
                  <w:w w:val="93"/>
                </w:rPr>
                <w:t>Aterian Group, Inc. and Roi Zahut.</w:t>
              </w:r>
            </w:hyperlink>
          </w:p>
        </w:tc>
        <w:tc>
          <w:tcPr>
            <w:tcW w:w="288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333-231381</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5/10/2020</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3"/>
              </w:rPr>
              <w:t>10.16</w:t>
            </w: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10.14</w:t>
            </w:r>
          </w:p>
        </w:tc>
        <w:tc>
          <w:tcPr>
            <w:tcW w:w="5300" w:type="dxa"/>
            <w:vAlign w:val="bottom"/>
            <w:tcBorders>
              <w:bottom w:val="single" w:sz="8" w:color="0000FF"/>
            </w:tcBorders>
            <w:gridSpan w:val="24"/>
          </w:tcPr>
          <w:p>
            <w:pPr>
              <w:spacing w:after="0"/>
              <w:rPr>
                <w:rFonts w:ascii="Arial" w:cs="Arial" w:eastAsia="Arial" w:hAnsi="Arial"/>
                <w:sz w:val="18"/>
                <w:szCs w:val="18"/>
                <w:color w:val="0000FF"/>
                <w:w w:val="91"/>
              </w:rPr>
            </w:pPr>
            <w:hyperlink r:id="rId366">
              <w:r>
                <w:rPr>
                  <w:rFonts w:ascii="Arial" w:cs="Arial" w:eastAsia="Arial" w:hAnsi="Arial"/>
                  <w:sz w:val="18"/>
                  <w:szCs w:val="18"/>
                  <w:color w:val="0000FF"/>
                  <w:w w:val="91"/>
                </w:rPr>
                <w:t>Restated Voting Agreement dated March 13, 2020, by and among MV II,</w:t>
              </w:r>
            </w:hyperlink>
          </w:p>
        </w:tc>
        <w:tc>
          <w:tcPr>
            <w:tcW w:w="1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380" w:type="dxa"/>
            <w:vAlign w:val="bottom"/>
            <w:tcBorders>
              <w:bottom w:val="single" w:sz="8" w:color="0000EE"/>
            </w:tcBorders>
            <w:gridSpan w:val="17"/>
          </w:tcPr>
          <w:p>
            <w:pPr>
              <w:spacing w:after="0" w:line="195" w:lineRule="exact"/>
              <w:rPr>
                <w:rFonts w:ascii="Arial" w:cs="Arial" w:eastAsia="Arial" w:hAnsi="Arial"/>
                <w:sz w:val="18"/>
                <w:szCs w:val="18"/>
                <w:color w:val="0000FF"/>
                <w:w w:val="92"/>
              </w:rPr>
            </w:pPr>
            <w:hyperlink r:id="rId366">
              <w:r>
                <w:rPr>
                  <w:rFonts w:ascii="Arial" w:cs="Arial" w:eastAsia="Arial" w:hAnsi="Arial"/>
                  <w:sz w:val="18"/>
                  <w:szCs w:val="18"/>
                  <w:color w:val="0000FF"/>
                  <w:w w:val="92"/>
                </w:rPr>
                <w:t>LLC, Maximus Yaney, Larisa Storozhenko and Aterian, Inc.</w:t>
              </w:r>
            </w:hyperlink>
          </w:p>
        </w:tc>
        <w:tc>
          <w:tcPr>
            <w:tcW w:w="108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5"/>
              </w:rPr>
              <w:t>S-1</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333-231381</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5/10/2020</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3"/>
              </w:rPr>
              <w:t>10.19</w:t>
            </w: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10.15</w:t>
            </w:r>
          </w:p>
        </w:tc>
        <w:tc>
          <w:tcPr>
            <w:tcW w:w="5260" w:type="dxa"/>
            <w:vAlign w:val="bottom"/>
            <w:tcBorders>
              <w:bottom w:val="single" w:sz="8" w:color="0000FF"/>
            </w:tcBorders>
            <w:gridSpan w:val="22"/>
          </w:tcPr>
          <w:p>
            <w:pPr>
              <w:spacing w:after="0"/>
              <w:rPr>
                <w:rFonts w:ascii="Arial" w:cs="Arial" w:eastAsia="Arial" w:hAnsi="Arial"/>
                <w:sz w:val="18"/>
                <w:szCs w:val="18"/>
                <w:color w:val="0000FF"/>
                <w:w w:val="91"/>
              </w:rPr>
            </w:pPr>
            <w:hyperlink r:id="rId367">
              <w:r>
                <w:rPr>
                  <w:rFonts w:ascii="Arial" w:cs="Arial" w:eastAsia="Arial" w:hAnsi="Arial"/>
                  <w:sz w:val="18"/>
                  <w:szCs w:val="18"/>
                  <w:color w:val="0000FF"/>
                  <w:w w:val="91"/>
                </w:rPr>
                <w:t>Lock-Up, Voting and Standstill Agreement, dated December 1, 2021, by</w:t>
              </w:r>
            </w:hyperlink>
          </w:p>
        </w:tc>
        <w:tc>
          <w:tcPr>
            <w:tcW w:w="2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460" w:type="dxa"/>
            <w:vAlign w:val="bottom"/>
            <w:gridSpan w:val="27"/>
          </w:tcPr>
          <w:p>
            <w:pPr>
              <w:spacing w:after="0" w:line="195" w:lineRule="exact"/>
              <w:rPr>
                <w:rFonts w:ascii="Arial" w:cs="Arial" w:eastAsia="Arial" w:hAnsi="Arial"/>
                <w:sz w:val="18"/>
                <w:szCs w:val="18"/>
                <w:color w:val="0000FF"/>
              </w:rPr>
            </w:pPr>
            <w:hyperlink r:id="rId367">
              <w:r>
                <w:rPr>
                  <w:rFonts w:ascii="Arial" w:cs="Arial" w:eastAsia="Arial" w:hAnsi="Arial"/>
                  <w:sz w:val="18"/>
                  <w:szCs w:val="18"/>
                  <w:color w:val="0000FF"/>
                </w:rPr>
                <w:t>and between Aterian, Inc. and 9830 Macarthur LLC.</w:t>
              </w:r>
            </w:hyperlink>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0"/>
              </w:rPr>
              <w:t>001-38937</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12/1/2021</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85"/>
              </w:rPr>
              <w:t>10.3</w:t>
            </w:r>
          </w:p>
        </w:tc>
      </w:tr>
      <w:tr>
        <w:trPr>
          <w:trHeight w:val="20"/>
        </w:trPr>
        <w:tc>
          <w:tcPr>
            <w:tcW w:w="10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93"/>
              </w:rPr>
              <w:t>10.16+</w:t>
            </w:r>
          </w:p>
        </w:tc>
        <w:tc>
          <w:tcPr>
            <w:tcW w:w="5380" w:type="dxa"/>
            <w:vAlign w:val="bottom"/>
            <w:tcBorders>
              <w:bottom w:val="single" w:sz="8" w:color="0000FF"/>
            </w:tcBorders>
            <w:gridSpan w:val="25"/>
          </w:tcPr>
          <w:p>
            <w:pPr>
              <w:spacing w:after="0"/>
              <w:rPr>
                <w:rFonts w:ascii="Arial" w:cs="Arial" w:eastAsia="Arial" w:hAnsi="Arial"/>
                <w:sz w:val="18"/>
                <w:szCs w:val="18"/>
                <w:color w:val="0000FF"/>
                <w:w w:val="91"/>
              </w:rPr>
            </w:pPr>
            <w:hyperlink r:id="rId368">
              <w:r>
                <w:rPr>
                  <w:rFonts w:ascii="Arial" w:cs="Arial" w:eastAsia="Arial" w:hAnsi="Arial"/>
                  <w:sz w:val="18"/>
                  <w:szCs w:val="18"/>
                  <w:color w:val="0000FF"/>
                  <w:w w:val="91"/>
                </w:rPr>
                <w:t>Non-Negotiable Promissory Note, dated December 1, 2021, from Aterian,</w:t>
              </w:r>
            </w:hyperlink>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100" w:type="dxa"/>
            <w:vAlign w:val="bottom"/>
            <w:tcBorders>
              <w:bottom w:val="single" w:sz="8" w:color="0000FF"/>
            </w:tcBorders>
          </w:tcPr>
          <w:p>
            <w:pPr>
              <w:spacing w:after="0" w:line="195" w:lineRule="exact"/>
              <w:rPr>
                <w:rFonts w:ascii="Arial" w:cs="Arial" w:eastAsia="Arial" w:hAnsi="Arial"/>
                <w:sz w:val="18"/>
                <w:szCs w:val="18"/>
                <w:color w:val="0000FF"/>
                <w:w w:val="93"/>
              </w:rPr>
            </w:pPr>
            <w:hyperlink r:id="rId368">
              <w:r>
                <w:rPr>
                  <w:rFonts w:ascii="Arial" w:cs="Arial" w:eastAsia="Arial" w:hAnsi="Arial"/>
                  <w:sz w:val="18"/>
                  <w:szCs w:val="18"/>
                  <w:color w:val="0000FF"/>
                  <w:w w:val="93"/>
                </w:rPr>
                <w:t>Inc. to 9830 Macarthur LLC.</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0"/>
              </w:rPr>
              <w:t>001-38937</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2"/>
              </w:rPr>
              <w:t>12/1/2021</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85"/>
              </w:rPr>
              <w:t>10.4</w:t>
            </w: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10.17</w:t>
            </w:r>
          </w:p>
        </w:tc>
        <w:tc>
          <w:tcPr>
            <w:tcW w:w="5460" w:type="dxa"/>
            <w:vAlign w:val="bottom"/>
            <w:tcBorders>
              <w:bottom w:val="single" w:sz="8" w:color="0000FF"/>
            </w:tcBorders>
            <w:gridSpan w:val="27"/>
          </w:tcPr>
          <w:p>
            <w:pPr>
              <w:spacing w:after="0"/>
              <w:rPr>
                <w:rFonts w:ascii="Arial" w:cs="Arial" w:eastAsia="Arial" w:hAnsi="Arial"/>
                <w:sz w:val="18"/>
                <w:szCs w:val="18"/>
                <w:color w:val="0000FF"/>
                <w:w w:val="91"/>
              </w:rPr>
            </w:pPr>
            <w:hyperlink r:id="rId369">
              <w:r>
                <w:rPr>
                  <w:rFonts w:ascii="Arial" w:cs="Arial" w:eastAsia="Arial" w:hAnsi="Arial"/>
                  <w:sz w:val="18"/>
                  <w:szCs w:val="18"/>
                  <w:color w:val="0000FF"/>
                  <w:w w:val="91"/>
                </w:rPr>
                <w:t>Lock-Up, Voting and Standstill Agreement, dated February 2, 2022, by and</w:t>
              </w:r>
            </w:hyperlink>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460" w:type="dxa"/>
            <w:vAlign w:val="bottom"/>
            <w:gridSpan w:val="27"/>
          </w:tcPr>
          <w:p>
            <w:pPr>
              <w:spacing w:after="0" w:line="195" w:lineRule="exact"/>
              <w:rPr>
                <w:rFonts w:ascii="Arial" w:cs="Arial" w:eastAsia="Arial" w:hAnsi="Arial"/>
                <w:sz w:val="18"/>
                <w:szCs w:val="18"/>
                <w:color w:val="0000FF"/>
              </w:rPr>
            </w:pPr>
            <w:hyperlink r:id="rId369">
              <w:r>
                <w:rPr>
                  <w:rFonts w:ascii="Arial" w:cs="Arial" w:eastAsia="Arial" w:hAnsi="Arial"/>
                  <w:sz w:val="18"/>
                  <w:szCs w:val="18"/>
                  <w:color w:val="0000FF"/>
                </w:rPr>
                <w:t>between Aterian Inc. and Healing Solutions, LLC.</w:t>
              </w:r>
            </w:hyperlink>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0"/>
              </w:rPr>
              <w:t>001-38937</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1"/>
              </w:rPr>
              <w:t>2/3/2022</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85"/>
              </w:rPr>
              <w:t>10.3</w:t>
            </w:r>
          </w:p>
        </w:tc>
      </w:tr>
      <w:tr>
        <w:trPr>
          <w:trHeight w:val="20"/>
        </w:trPr>
        <w:tc>
          <w:tcPr>
            <w:tcW w:w="1040" w:type="dxa"/>
            <w:vAlign w:val="bottom"/>
          </w:tcPr>
          <w:p>
            <w:pPr>
              <w:spacing w:after="0" w:line="20" w:lineRule="exact"/>
              <w:rPr>
                <w:sz w:val="1"/>
                <w:szCs w:val="1"/>
                <w:color w:val="auto"/>
              </w:rPr>
            </w:pPr>
          </w:p>
        </w:tc>
        <w:tc>
          <w:tcPr>
            <w:tcW w:w="3520" w:type="dxa"/>
            <w:vAlign w:val="bottom"/>
            <w:gridSpan w:val="10"/>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18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93"/>
              </w:rPr>
              <w:t>10.18+</w:t>
            </w:r>
          </w:p>
        </w:tc>
        <w:tc>
          <w:tcPr>
            <w:tcW w:w="5460" w:type="dxa"/>
            <w:vAlign w:val="bottom"/>
            <w:tcBorders>
              <w:bottom w:val="single" w:sz="8" w:color="0000FF"/>
            </w:tcBorders>
            <w:gridSpan w:val="27"/>
          </w:tcPr>
          <w:p>
            <w:pPr>
              <w:spacing w:after="0"/>
              <w:rPr>
                <w:rFonts w:ascii="Arial" w:cs="Arial" w:eastAsia="Arial" w:hAnsi="Arial"/>
                <w:sz w:val="18"/>
                <w:szCs w:val="18"/>
                <w:color w:val="0000FF"/>
                <w:w w:val="90"/>
              </w:rPr>
            </w:pPr>
            <w:hyperlink r:id="rId370">
              <w:r>
                <w:rPr>
                  <w:rFonts w:ascii="Arial" w:cs="Arial" w:eastAsia="Arial" w:hAnsi="Arial"/>
                  <w:sz w:val="18"/>
                  <w:szCs w:val="18"/>
                  <w:color w:val="0000FF"/>
                  <w:w w:val="90"/>
                </w:rPr>
                <w:t>Manufacturing Supply Agreement, dated February 2, 2022, by and between</w:t>
              </w:r>
            </w:hyperlink>
          </w:p>
        </w:tc>
        <w:tc>
          <w:tcPr>
            <w:tcW w:w="20" w:type="dxa"/>
            <w:vAlign w:val="bottom"/>
            <w:tcBorders>
              <w:bottom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460" w:type="dxa"/>
            <w:vAlign w:val="bottom"/>
            <w:gridSpan w:val="27"/>
          </w:tcPr>
          <w:p>
            <w:pPr>
              <w:spacing w:after="0" w:line="195" w:lineRule="exact"/>
              <w:rPr>
                <w:rFonts w:ascii="Arial" w:cs="Arial" w:eastAsia="Arial" w:hAnsi="Arial"/>
                <w:sz w:val="18"/>
                <w:szCs w:val="18"/>
                <w:color w:val="0000FF"/>
              </w:rPr>
            </w:pPr>
            <w:hyperlink r:id="rId370">
              <w:r>
                <w:rPr>
                  <w:rFonts w:ascii="Arial" w:cs="Arial" w:eastAsia="Arial" w:hAnsi="Arial"/>
                  <w:sz w:val="18"/>
                  <w:szCs w:val="18"/>
                  <w:color w:val="0000FF"/>
                </w:rPr>
                <w:t>Aterian Group, Inc. and Healing Solutions, LLC.</w:t>
              </w:r>
            </w:hyperlink>
          </w:p>
        </w:tc>
        <w:tc>
          <w:tcPr>
            <w:tcW w:w="20" w:type="dxa"/>
            <w:vAlign w:val="bottom"/>
          </w:tcPr>
          <w:p>
            <w:pPr>
              <w:spacing w:after="0"/>
              <w:rPr>
                <w:sz w:val="17"/>
                <w:szCs w:val="17"/>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4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0"/>
              </w:rPr>
              <w:t>001-38937</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1"/>
              </w:rPr>
              <w:t>2/3/2022</w:t>
            </w:r>
          </w:p>
        </w:tc>
        <w:tc>
          <w:tcPr>
            <w:tcW w:w="94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85"/>
              </w:rPr>
              <w:t>10.4</w:t>
            </w:r>
          </w:p>
        </w:tc>
      </w:tr>
      <w:tr>
        <w:trPr>
          <w:trHeight w:val="614"/>
        </w:trPr>
        <w:tc>
          <w:tcPr>
            <w:tcW w:w="1040" w:type="dxa"/>
            <w:vAlign w:val="bottom"/>
          </w:tcPr>
          <w:p>
            <w:pPr>
              <w:spacing w:after="0"/>
              <w:rPr>
                <w:sz w:val="24"/>
                <w:szCs w:val="24"/>
                <w:color w:val="auto"/>
              </w:rPr>
            </w:pPr>
          </w:p>
        </w:tc>
        <w:tc>
          <w:tcPr>
            <w:tcW w:w="3520" w:type="dxa"/>
            <w:vAlign w:val="bottom"/>
            <w:tcBorders>
              <w:top w:val="single" w:sz="8" w:color="0000FF"/>
            </w:tcBorders>
            <w:gridSpan w:val="10"/>
          </w:tcPr>
          <w:p>
            <w:pPr>
              <w:spacing w:after="0"/>
              <w:rPr>
                <w:sz w:val="24"/>
                <w:szCs w:val="24"/>
                <w:color w:val="auto"/>
              </w:rPr>
            </w:pPr>
          </w:p>
        </w:tc>
        <w:tc>
          <w:tcPr>
            <w:tcW w:w="1440" w:type="dxa"/>
            <w:vAlign w:val="bottom"/>
            <w:gridSpan w:val="8"/>
          </w:tcPr>
          <w:p>
            <w:pPr>
              <w:jc w:val="right"/>
              <w:ind w:right="28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92" w:name="page93"/>
    <w:bookmarkEnd w:id="92"/>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gridSpan w:val="17"/>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Borders>
              <w:bottom w:val="single" w:sz="8" w:color="0000FF"/>
            </w:tcBorders>
            <w:gridSpan w:val="22"/>
          </w:tcPr>
          <w:p>
            <w:pPr>
              <w:spacing w:after="0"/>
              <w:rPr>
                <w:rFonts w:ascii="Arial" w:cs="Arial" w:eastAsia="Arial" w:hAnsi="Arial"/>
                <w:sz w:val="18"/>
                <w:szCs w:val="18"/>
                <w:color w:val="0000FF"/>
                <w:w w:val="90"/>
              </w:rPr>
            </w:pPr>
            <w:hyperlink r:id="rId373">
              <w:r>
                <w:rPr>
                  <w:rFonts w:ascii="Arial" w:cs="Arial" w:eastAsia="Arial" w:hAnsi="Arial"/>
                  <w:sz w:val="18"/>
                  <w:szCs w:val="18"/>
                  <w:color w:val="0000FF"/>
                  <w:w w:val="90"/>
                </w:rPr>
                <w:t>Consulting Agreement, dated February 2, 2022, by and between Aterian</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bottom w:val="single" w:sz="8" w:color="0000FF"/>
            </w:tcBorders>
            <w:gridSpan w:val="9"/>
          </w:tcPr>
          <w:p>
            <w:pPr>
              <w:spacing w:after="0" w:line="195" w:lineRule="exact"/>
              <w:rPr>
                <w:rFonts w:ascii="Arial" w:cs="Arial" w:eastAsia="Arial" w:hAnsi="Arial"/>
                <w:sz w:val="18"/>
                <w:szCs w:val="18"/>
                <w:color w:val="0000FF"/>
                <w:w w:val="89"/>
              </w:rPr>
            </w:pPr>
            <w:hyperlink r:id="rId373">
              <w:r>
                <w:rPr>
                  <w:rFonts w:ascii="Arial" w:cs="Arial" w:eastAsia="Arial" w:hAnsi="Arial"/>
                  <w:sz w:val="18"/>
                  <w:szCs w:val="18"/>
                  <w:color w:val="0000FF"/>
                  <w:w w:val="89"/>
                </w:rPr>
                <w:t>Group, Inc. and Richard Perry.</w:t>
              </w:r>
            </w:hyperlink>
          </w:p>
        </w:tc>
        <w:tc>
          <w:tcPr>
            <w:tcW w:w="20" w:type="dxa"/>
            <w:vAlign w:val="bottom"/>
            <w:tcBorders>
              <w:bottom w:val="single" w:sz="8" w:color="0000EE"/>
            </w:tcBorders>
          </w:tcPr>
          <w:p>
            <w:pPr>
              <w:spacing w:after="0"/>
              <w:rPr>
                <w:sz w:val="17"/>
                <w:szCs w:val="17"/>
                <w:color w:val="auto"/>
              </w:rPr>
            </w:pPr>
          </w:p>
        </w:tc>
        <w:tc>
          <w:tcPr>
            <w:tcW w:w="32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Borders>
              <w:bottom w:val="single" w:sz="8" w:color="0000FF"/>
            </w:tcBorders>
            <w:gridSpan w:val="22"/>
          </w:tcPr>
          <w:p>
            <w:pPr>
              <w:spacing w:after="0"/>
              <w:rPr>
                <w:rFonts w:ascii="Arial" w:cs="Arial" w:eastAsia="Arial" w:hAnsi="Arial"/>
                <w:sz w:val="18"/>
                <w:szCs w:val="18"/>
                <w:color w:val="0000FF"/>
                <w:w w:val="90"/>
              </w:rPr>
            </w:pPr>
            <w:hyperlink r:id="rId374">
              <w:r>
                <w:rPr>
                  <w:rFonts w:ascii="Arial" w:cs="Arial" w:eastAsia="Arial" w:hAnsi="Arial"/>
                  <w:sz w:val="18"/>
                  <w:szCs w:val="18"/>
                  <w:color w:val="0000FF"/>
                  <w:w w:val="90"/>
                </w:rPr>
                <w:t>Consulting Agreement, dated February 2, 2022, by and between Aterian</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27"/>
          </w:tcPr>
          <w:p>
            <w:pPr>
              <w:spacing w:after="0" w:line="195" w:lineRule="exact"/>
              <w:rPr>
                <w:rFonts w:ascii="Arial" w:cs="Arial" w:eastAsia="Arial" w:hAnsi="Arial"/>
                <w:sz w:val="18"/>
                <w:szCs w:val="18"/>
                <w:color w:val="0000FF"/>
              </w:rPr>
            </w:pPr>
            <w:hyperlink r:id="rId374">
              <w:r>
                <w:rPr>
                  <w:rFonts w:ascii="Arial" w:cs="Arial" w:eastAsia="Arial" w:hAnsi="Arial"/>
                  <w:sz w:val="18"/>
                  <w:szCs w:val="18"/>
                  <w:color w:val="0000FF"/>
                </w:rPr>
                <w:t>Group, Inc. and Christopher Marshall.</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Borders>
              <w:bottom w:val="single" w:sz="8" w:color="0000FF"/>
            </w:tcBorders>
            <w:gridSpan w:val="22"/>
          </w:tcPr>
          <w:p>
            <w:pPr>
              <w:spacing w:after="0"/>
              <w:rPr>
                <w:rFonts w:ascii="Arial" w:cs="Arial" w:eastAsia="Arial" w:hAnsi="Arial"/>
                <w:sz w:val="18"/>
                <w:szCs w:val="18"/>
                <w:color w:val="0000FF"/>
                <w:w w:val="90"/>
              </w:rPr>
            </w:pPr>
            <w:hyperlink r:id="rId375">
              <w:r>
                <w:rPr>
                  <w:rFonts w:ascii="Arial" w:cs="Arial" w:eastAsia="Arial" w:hAnsi="Arial"/>
                  <w:sz w:val="18"/>
                  <w:szCs w:val="18"/>
                  <w:color w:val="0000FF"/>
                  <w:w w:val="90"/>
                </w:rPr>
                <w:t>Consulting Agreement, dated February 2, 2022, by and between Aterian</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27"/>
          </w:tcPr>
          <w:p>
            <w:pPr>
              <w:spacing w:after="0" w:line="195" w:lineRule="exact"/>
              <w:rPr>
                <w:rFonts w:ascii="Arial" w:cs="Arial" w:eastAsia="Arial" w:hAnsi="Arial"/>
                <w:sz w:val="18"/>
                <w:szCs w:val="18"/>
                <w:color w:val="0000FF"/>
              </w:rPr>
            </w:pPr>
            <w:hyperlink r:id="rId375">
              <w:r>
                <w:rPr>
                  <w:rFonts w:ascii="Arial" w:cs="Arial" w:eastAsia="Arial" w:hAnsi="Arial"/>
                  <w:sz w:val="18"/>
                  <w:szCs w:val="18"/>
                  <w:color w:val="0000FF"/>
                </w:rPr>
                <w:t>Group, Inc. and Quinn McCullough.</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Borders>
              <w:bottom w:val="single" w:sz="8" w:color="0000FF"/>
            </w:tcBorders>
            <w:gridSpan w:val="23"/>
          </w:tcPr>
          <w:p>
            <w:pPr>
              <w:spacing w:after="0"/>
              <w:rPr>
                <w:rFonts w:ascii="Arial" w:cs="Arial" w:eastAsia="Arial" w:hAnsi="Arial"/>
                <w:sz w:val="18"/>
                <w:szCs w:val="18"/>
                <w:color w:val="0000FF"/>
                <w:w w:val="89"/>
              </w:rPr>
            </w:pPr>
            <w:hyperlink r:id="rId376">
              <w:r>
                <w:rPr>
                  <w:rFonts w:ascii="Arial" w:cs="Arial" w:eastAsia="Arial" w:hAnsi="Arial"/>
                  <w:sz w:val="18"/>
                  <w:szCs w:val="18"/>
                  <w:color w:val="0000FF"/>
                  <w:w w:val="89"/>
                </w:rPr>
                <w:t>Transition Services Agreement, dated February 2, 2022, by and between</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27"/>
          </w:tcPr>
          <w:p>
            <w:pPr>
              <w:spacing w:after="0" w:line="195" w:lineRule="exact"/>
              <w:rPr>
                <w:rFonts w:ascii="Arial" w:cs="Arial" w:eastAsia="Arial" w:hAnsi="Arial"/>
                <w:sz w:val="18"/>
                <w:szCs w:val="18"/>
                <w:color w:val="0000FF"/>
              </w:rPr>
            </w:pPr>
            <w:hyperlink r:id="rId376">
              <w:r>
                <w:rPr>
                  <w:rFonts w:ascii="Arial" w:cs="Arial" w:eastAsia="Arial" w:hAnsi="Arial"/>
                  <w:sz w:val="18"/>
                  <w:szCs w:val="18"/>
                  <w:color w:val="0000FF"/>
                </w:rPr>
                <w:t>Healing Solutions, LLC and Truweo, LLC.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0000FF"/>
            </w:tcBorders>
            <w:gridSpan w:val="21"/>
          </w:tcPr>
          <w:p>
            <w:pPr>
              <w:spacing w:after="0"/>
              <w:rPr>
                <w:rFonts w:ascii="Arial" w:cs="Arial" w:eastAsia="Arial" w:hAnsi="Arial"/>
                <w:sz w:val="18"/>
                <w:szCs w:val="18"/>
                <w:color w:val="0000FF"/>
                <w:w w:val="90"/>
              </w:rPr>
            </w:pPr>
            <w:hyperlink r:id="rId377">
              <w:r>
                <w:rPr>
                  <w:rFonts w:ascii="Arial" w:cs="Arial" w:eastAsia="Arial" w:hAnsi="Arial"/>
                  <w:sz w:val="18"/>
                  <w:szCs w:val="18"/>
                  <w:color w:val="0000FF"/>
                  <w:w w:val="90"/>
                </w:rPr>
                <w:t>Voting and Standstill Agreement, dated May 5, 2022, by and between</w:t>
              </w:r>
            </w:hyperlink>
          </w:p>
        </w:tc>
        <w:tc>
          <w:tcPr>
            <w:tcW w:w="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27"/>
          </w:tcPr>
          <w:p>
            <w:pPr>
              <w:spacing w:after="0" w:line="195" w:lineRule="exact"/>
              <w:rPr>
                <w:rFonts w:ascii="Arial" w:cs="Arial" w:eastAsia="Arial" w:hAnsi="Arial"/>
                <w:sz w:val="18"/>
                <w:szCs w:val="18"/>
                <w:color w:val="0000FF"/>
              </w:rPr>
            </w:pPr>
            <w:hyperlink r:id="rId377">
              <w:r>
                <w:rPr>
                  <w:rFonts w:ascii="Arial" w:cs="Arial" w:eastAsia="Arial" w:hAnsi="Arial"/>
                  <w:sz w:val="18"/>
                  <w:szCs w:val="18"/>
                  <w:color w:val="0000FF"/>
                </w:rPr>
                <w:t>Aterian, Inc. and Squatty Potty, LLC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0000FF"/>
            </w:tcBorders>
            <w:gridSpan w:val="26"/>
          </w:tcPr>
          <w:p>
            <w:pPr>
              <w:spacing w:after="0"/>
              <w:rPr>
                <w:rFonts w:ascii="Arial" w:cs="Arial" w:eastAsia="Arial" w:hAnsi="Arial"/>
                <w:sz w:val="18"/>
                <w:szCs w:val="18"/>
                <w:color w:val="0000FF"/>
                <w:w w:val="91"/>
              </w:rPr>
            </w:pPr>
            <w:hyperlink r:id="rId378">
              <w:r>
                <w:rPr>
                  <w:rFonts w:ascii="Arial" w:cs="Arial" w:eastAsia="Arial" w:hAnsi="Arial"/>
                  <w:sz w:val="18"/>
                  <w:szCs w:val="18"/>
                  <w:color w:val="0000FF"/>
                  <w:w w:val="91"/>
                </w:rPr>
                <w:t>Consulting Agreement, dated May 5, 2022, by and between Aterian Group,</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Borders>
              <w:bottom w:val="single" w:sz="8" w:color="0000FF"/>
            </w:tcBorders>
            <w:gridSpan w:val="7"/>
          </w:tcPr>
          <w:p>
            <w:pPr>
              <w:spacing w:after="0" w:line="195" w:lineRule="exact"/>
              <w:rPr>
                <w:rFonts w:ascii="Arial" w:cs="Arial" w:eastAsia="Arial" w:hAnsi="Arial"/>
                <w:sz w:val="18"/>
                <w:szCs w:val="18"/>
                <w:color w:val="0000FF"/>
                <w:w w:val="90"/>
              </w:rPr>
            </w:pPr>
            <w:hyperlink r:id="rId378">
              <w:r>
                <w:rPr>
                  <w:rFonts w:ascii="Arial" w:cs="Arial" w:eastAsia="Arial" w:hAnsi="Arial"/>
                  <w:sz w:val="18"/>
                  <w:szCs w:val="18"/>
                  <w:color w:val="0000FF"/>
                  <w:w w:val="90"/>
                </w:rPr>
                <w:t>Inc. and Bernie Kropfelder.</w:t>
              </w:r>
            </w:hyperlink>
          </w:p>
        </w:tc>
        <w:tc>
          <w:tcPr>
            <w:tcW w:w="20" w:type="dxa"/>
            <w:vAlign w:val="bottom"/>
            <w:tcBorders>
              <w:bottom w:val="single" w:sz="8" w:color="0000EE"/>
            </w:tcBorders>
          </w:tcPr>
          <w:p>
            <w:pPr>
              <w:spacing w:after="0"/>
              <w:rPr>
                <w:sz w:val="17"/>
                <w:szCs w:val="17"/>
                <w:color w:val="auto"/>
              </w:rPr>
            </w:pPr>
          </w:p>
        </w:tc>
        <w:tc>
          <w:tcPr>
            <w:tcW w:w="35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0000FF"/>
            </w:tcBorders>
            <w:gridSpan w:val="26"/>
          </w:tcPr>
          <w:p>
            <w:pPr>
              <w:spacing w:after="0"/>
              <w:rPr>
                <w:rFonts w:ascii="Arial" w:cs="Arial" w:eastAsia="Arial" w:hAnsi="Arial"/>
                <w:sz w:val="18"/>
                <w:szCs w:val="18"/>
                <w:color w:val="0000FF"/>
                <w:w w:val="91"/>
              </w:rPr>
            </w:pPr>
            <w:hyperlink r:id="rId379">
              <w:r>
                <w:rPr>
                  <w:rFonts w:ascii="Arial" w:cs="Arial" w:eastAsia="Arial" w:hAnsi="Arial"/>
                  <w:sz w:val="18"/>
                  <w:szCs w:val="18"/>
                  <w:color w:val="0000FF"/>
                  <w:w w:val="91"/>
                </w:rPr>
                <w:t>Consulting Agreement, dated May 5, 2022, by and between Aterian Group,</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27"/>
          </w:tcPr>
          <w:p>
            <w:pPr>
              <w:spacing w:after="0" w:line="195" w:lineRule="exact"/>
              <w:rPr>
                <w:rFonts w:ascii="Arial" w:cs="Arial" w:eastAsia="Arial" w:hAnsi="Arial"/>
                <w:sz w:val="18"/>
                <w:szCs w:val="18"/>
                <w:color w:val="0000FF"/>
              </w:rPr>
            </w:pPr>
            <w:hyperlink r:id="rId379">
              <w:r>
                <w:rPr>
                  <w:rFonts w:ascii="Arial" w:cs="Arial" w:eastAsia="Arial" w:hAnsi="Arial"/>
                  <w:sz w:val="18"/>
                  <w:szCs w:val="18"/>
                  <w:color w:val="0000FF"/>
                </w:rPr>
                <w:t>Inc. and Tani Alge</w:t>
              </w:r>
              <w:r>
                <w:rPr>
                  <w:rFonts w:ascii="Arial" w:cs="Arial" w:eastAsia="Arial" w:hAnsi="Arial"/>
                  <w:sz w:val="18"/>
                  <w:szCs w:val="18"/>
                  <w:color w:val="000000"/>
                </w:rPr>
                <w:t>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0000FF"/>
            </w:tcBorders>
            <w:gridSpan w:val="26"/>
          </w:tcPr>
          <w:p>
            <w:pPr>
              <w:spacing w:after="0"/>
              <w:rPr>
                <w:rFonts w:ascii="Arial" w:cs="Arial" w:eastAsia="Arial" w:hAnsi="Arial"/>
                <w:sz w:val="18"/>
                <w:szCs w:val="18"/>
                <w:color w:val="0000FF"/>
                <w:w w:val="91"/>
              </w:rPr>
            </w:pPr>
            <w:hyperlink r:id="rId380">
              <w:r>
                <w:rPr>
                  <w:rFonts w:ascii="Arial" w:cs="Arial" w:eastAsia="Arial" w:hAnsi="Arial"/>
                  <w:sz w:val="18"/>
                  <w:szCs w:val="18"/>
                  <w:color w:val="0000FF"/>
                  <w:w w:val="91"/>
                </w:rPr>
                <w:t>Consulting Agreement, dated May 5, 2022, by and between Aterian Group,</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27"/>
          </w:tcPr>
          <w:p>
            <w:pPr>
              <w:spacing w:after="0" w:line="195" w:lineRule="exact"/>
              <w:rPr>
                <w:rFonts w:ascii="Arial" w:cs="Arial" w:eastAsia="Arial" w:hAnsi="Arial"/>
                <w:sz w:val="18"/>
                <w:szCs w:val="18"/>
                <w:color w:val="0000FF"/>
              </w:rPr>
            </w:pPr>
            <w:hyperlink r:id="rId380">
              <w:r>
                <w:rPr>
                  <w:rFonts w:ascii="Arial" w:cs="Arial" w:eastAsia="Arial" w:hAnsi="Arial"/>
                  <w:sz w:val="18"/>
                  <w:szCs w:val="18"/>
                  <w:color w:val="0000FF"/>
                </w:rPr>
                <w:t>Inc. and Jeff Ela</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18"/>
          </w:tcPr>
          <w:p>
            <w:pPr>
              <w:spacing w:after="0"/>
              <w:rPr>
                <w:rFonts w:ascii="Arial" w:cs="Arial" w:eastAsia="Arial" w:hAnsi="Arial"/>
                <w:sz w:val="18"/>
                <w:szCs w:val="18"/>
                <w:color w:val="0000FF"/>
                <w:w w:val="90"/>
              </w:rPr>
            </w:pPr>
            <w:hyperlink r:id="rId381">
              <w:r>
                <w:rPr>
                  <w:rFonts w:ascii="Arial" w:cs="Arial" w:eastAsia="Arial" w:hAnsi="Arial"/>
                  <w:sz w:val="18"/>
                  <w:szCs w:val="18"/>
                  <w:color w:val="0000FF"/>
                  <w:w w:val="90"/>
                </w:rPr>
                <w:t>Transition Services Agreement, dated May 5, 2022, by and between</w:t>
              </w:r>
            </w:hyperlink>
          </w:p>
        </w:tc>
        <w:tc>
          <w:tcPr>
            <w:tcW w:w="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27"/>
          </w:tcPr>
          <w:p>
            <w:pPr>
              <w:spacing w:after="0" w:line="195" w:lineRule="exact"/>
              <w:rPr>
                <w:rFonts w:ascii="Arial" w:cs="Arial" w:eastAsia="Arial" w:hAnsi="Arial"/>
                <w:sz w:val="18"/>
                <w:szCs w:val="18"/>
                <w:color w:val="0000FF"/>
              </w:rPr>
            </w:pPr>
            <w:hyperlink r:id="rId381">
              <w:r>
                <w:rPr>
                  <w:rFonts w:ascii="Arial" w:cs="Arial" w:eastAsia="Arial" w:hAnsi="Arial"/>
                  <w:sz w:val="18"/>
                  <w:szCs w:val="18"/>
                  <w:color w:val="0000FF"/>
                </w:rPr>
                <w:t>Squatty Potty, LLC and Truweo, LLC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gridSpan w:val="6"/>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25"/>
          </w:tcPr>
          <w:p>
            <w:pPr>
              <w:spacing w:after="0"/>
              <w:rPr>
                <w:rFonts w:ascii="Arial" w:cs="Arial" w:eastAsia="Arial" w:hAnsi="Arial"/>
                <w:sz w:val="18"/>
                <w:szCs w:val="18"/>
                <w:color w:val="0000FF"/>
                <w:w w:val="90"/>
              </w:rPr>
            </w:pPr>
            <w:hyperlink r:id="rId382">
              <w:r>
                <w:rPr>
                  <w:rFonts w:ascii="Arial" w:cs="Arial" w:eastAsia="Arial" w:hAnsi="Arial"/>
                  <w:sz w:val="18"/>
                  <w:szCs w:val="18"/>
                  <w:color w:val="0000FF"/>
                  <w:w w:val="90"/>
                </w:rPr>
                <w:t>Shareholder Agreement, dated May 5, 2022, by and between Aterian, Inc.</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27"/>
          </w:tcPr>
          <w:p>
            <w:pPr>
              <w:spacing w:after="0" w:line="195" w:lineRule="exact"/>
              <w:rPr>
                <w:rFonts w:ascii="Arial" w:cs="Arial" w:eastAsia="Arial" w:hAnsi="Arial"/>
                <w:sz w:val="18"/>
                <w:szCs w:val="18"/>
                <w:color w:val="0000FF"/>
              </w:rPr>
            </w:pPr>
            <w:hyperlink r:id="rId382">
              <w:r>
                <w:rPr>
                  <w:rFonts w:ascii="Arial" w:cs="Arial" w:eastAsia="Arial" w:hAnsi="Arial"/>
                  <w:sz w:val="18"/>
                  <w:szCs w:val="18"/>
                  <w:color w:val="0000FF"/>
                </w:rPr>
                <w:t>and Josef Eitan</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25"/>
          </w:tcPr>
          <w:p>
            <w:pPr>
              <w:spacing w:after="0"/>
              <w:rPr>
                <w:rFonts w:ascii="Arial" w:cs="Arial" w:eastAsia="Arial" w:hAnsi="Arial"/>
                <w:sz w:val="18"/>
                <w:szCs w:val="18"/>
                <w:color w:val="0000FF"/>
                <w:w w:val="90"/>
              </w:rPr>
            </w:pPr>
            <w:hyperlink r:id="rId383">
              <w:r>
                <w:rPr>
                  <w:rFonts w:ascii="Arial" w:cs="Arial" w:eastAsia="Arial" w:hAnsi="Arial"/>
                  <w:sz w:val="18"/>
                  <w:szCs w:val="18"/>
                  <w:color w:val="0000FF"/>
                  <w:w w:val="90"/>
                </w:rPr>
                <w:t>Shareholder Agreement, dated May 5, 2022, by and between Aterian, Inc.</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0000FF"/>
            </w:tcBorders>
            <w:gridSpan w:val="2"/>
          </w:tcPr>
          <w:p>
            <w:pPr>
              <w:spacing w:after="0" w:line="195" w:lineRule="exact"/>
              <w:rPr>
                <w:rFonts w:ascii="Arial" w:cs="Arial" w:eastAsia="Arial" w:hAnsi="Arial"/>
                <w:sz w:val="18"/>
                <w:szCs w:val="18"/>
                <w:color w:val="0000FF"/>
                <w:w w:val="89"/>
              </w:rPr>
            </w:pPr>
            <w:hyperlink r:id="rId383">
              <w:r>
                <w:rPr>
                  <w:rFonts w:ascii="Arial" w:cs="Arial" w:eastAsia="Arial" w:hAnsi="Arial"/>
                  <w:sz w:val="18"/>
                  <w:szCs w:val="18"/>
                  <w:color w:val="0000FF"/>
                  <w:w w:val="89"/>
                </w:rPr>
                <w:t>and Ran Nir.</w:t>
              </w:r>
            </w:hyperlink>
          </w:p>
        </w:tc>
        <w:tc>
          <w:tcPr>
            <w:tcW w:w="45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0000FF"/>
            </w:tcBorders>
            <w:gridSpan w:val="26"/>
          </w:tcPr>
          <w:p>
            <w:pPr>
              <w:spacing w:after="0"/>
              <w:rPr>
                <w:rFonts w:ascii="Arial" w:cs="Arial" w:eastAsia="Arial" w:hAnsi="Arial"/>
                <w:sz w:val="18"/>
                <w:szCs w:val="18"/>
                <w:color w:val="0000FF"/>
                <w:w w:val="91"/>
              </w:rPr>
            </w:pPr>
            <w:hyperlink r:id="rId384">
              <w:r>
                <w:rPr>
                  <w:rFonts w:ascii="Arial" w:cs="Arial" w:eastAsia="Arial" w:hAnsi="Arial"/>
                  <w:sz w:val="18"/>
                  <w:szCs w:val="18"/>
                  <w:color w:val="0000FF"/>
                  <w:w w:val="91"/>
                </w:rPr>
                <w:t>Amendment to Lock-Up, Voting and Standstill Agreement, dated as of May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27"/>
          </w:tcPr>
          <w:p>
            <w:pPr>
              <w:spacing w:after="0" w:line="195" w:lineRule="exact"/>
              <w:rPr>
                <w:rFonts w:ascii="Arial" w:cs="Arial" w:eastAsia="Arial" w:hAnsi="Arial"/>
                <w:sz w:val="18"/>
                <w:szCs w:val="18"/>
                <w:color w:val="0000FF"/>
              </w:rPr>
            </w:pPr>
            <w:hyperlink r:id="rId384">
              <w:r>
                <w:rPr>
                  <w:rFonts w:ascii="Arial" w:cs="Arial" w:eastAsia="Arial" w:hAnsi="Arial"/>
                  <w:sz w:val="18"/>
                  <w:szCs w:val="18"/>
                  <w:color w:val="0000FF"/>
                </w:rPr>
                <w:t>31, 2022, by and between Aterian, Inc. and Healing Solutions LLC</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6"/>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0000FF"/>
            </w:tcBorders>
            <w:gridSpan w:val="26"/>
          </w:tcPr>
          <w:p>
            <w:pPr>
              <w:spacing w:after="0"/>
              <w:rPr>
                <w:rFonts w:ascii="Arial" w:cs="Arial" w:eastAsia="Arial" w:hAnsi="Arial"/>
                <w:sz w:val="18"/>
                <w:szCs w:val="18"/>
                <w:color w:val="0000FF"/>
                <w:w w:val="91"/>
              </w:rPr>
            </w:pPr>
            <w:hyperlink r:id="rId385">
              <w:r>
                <w:rPr>
                  <w:rFonts w:ascii="Arial" w:cs="Arial" w:eastAsia="Arial" w:hAnsi="Arial"/>
                  <w:sz w:val="18"/>
                  <w:szCs w:val="18"/>
                  <w:color w:val="0000FF"/>
                  <w:w w:val="91"/>
                </w:rPr>
                <w:t>Amendment to Lock-Up, Voting and Standstill Agreement, dated as of May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Borders>
              <w:bottom w:val="single" w:sz="8" w:color="0000FF"/>
            </w:tcBorders>
            <w:gridSpan w:val="15"/>
          </w:tcPr>
          <w:p>
            <w:pPr>
              <w:spacing w:after="0" w:line="195" w:lineRule="exact"/>
              <w:rPr>
                <w:rFonts w:ascii="Arial" w:cs="Arial" w:eastAsia="Arial" w:hAnsi="Arial"/>
                <w:sz w:val="18"/>
                <w:szCs w:val="18"/>
                <w:color w:val="0000FF"/>
                <w:w w:val="90"/>
              </w:rPr>
            </w:pPr>
            <w:hyperlink r:id="rId385">
              <w:r>
                <w:rPr>
                  <w:rFonts w:ascii="Arial" w:cs="Arial" w:eastAsia="Arial" w:hAnsi="Arial"/>
                  <w:sz w:val="18"/>
                  <w:szCs w:val="18"/>
                  <w:color w:val="0000FF"/>
                  <w:w w:val="90"/>
                </w:rPr>
                <w:t>31, 2022, by and between Aterian, Inc. and 9830 Macarthur LLC.</w:t>
              </w:r>
            </w:hyperlink>
          </w:p>
        </w:tc>
        <w:tc>
          <w:tcPr>
            <w:tcW w:w="100" w:type="dxa"/>
            <w:vAlign w:val="bottom"/>
            <w:tcBorders>
              <w:bottom w:val="single" w:sz="8" w:color="0000EE"/>
            </w:tcBorders>
          </w:tcPr>
          <w:p>
            <w:pPr>
              <w:spacing w:after="0"/>
              <w:rPr>
                <w:sz w:val="17"/>
                <w:szCs w:val="17"/>
                <w:color w:val="auto"/>
              </w:rPr>
            </w:pPr>
          </w:p>
        </w:tc>
        <w:tc>
          <w:tcPr>
            <w:tcW w:w="6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19"/>
          </w:tcPr>
          <w:p>
            <w:pPr>
              <w:spacing w:after="0"/>
              <w:rPr>
                <w:rFonts w:ascii="Arial" w:cs="Arial" w:eastAsia="Arial" w:hAnsi="Arial"/>
                <w:sz w:val="18"/>
                <w:szCs w:val="18"/>
                <w:color w:val="0000FF"/>
                <w:w w:val="89"/>
              </w:rPr>
            </w:pPr>
            <w:hyperlink r:id="rId386">
              <w:r>
                <w:rPr>
                  <w:rFonts w:ascii="Arial" w:cs="Arial" w:eastAsia="Arial" w:hAnsi="Arial"/>
                  <w:sz w:val="18"/>
                  <w:szCs w:val="18"/>
                  <w:color w:val="0000FF"/>
                  <w:w w:val="89"/>
                </w:rPr>
                <w:t>Credit and Security Agreement, dated as December 22, 2022, by and</w:t>
              </w:r>
            </w:hyperlink>
          </w:p>
        </w:tc>
        <w:tc>
          <w:tcPr>
            <w:tcW w:w="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bottom w:val="single" w:sz="8" w:color="0000FF"/>
            </w:tcBorders>
            <w:gridSpan w:val="20"/>
          </w:tcPr>
          <w:p>
            <w:pPr>
              <w:spacing w:after="0" w:line="195" w:lineRule="exact"/>
              <w:rPr>
                <w:rFonts w:ascii="Arial" w:cs="Arial" w:eastAsia="Arial" w:hAnsi="Arial"/>
                <w:sz w:val="18"/>
                <w:szCs w:val="18"/>
                <w:color w:val="0000FF"/>
                <w:w w:val="91"/>
              </w:rPr>
            </w:pPr>
            <w:hyperlink r:id="rId386">
              <w:r>
                <w:rPr>
                  <w:rFonts w:ascii="Arial" w:cs="Arial" w:eastAsia="Arial" w:hAnsi="Arial"/>
                  <w:sz w:val="18"/>
                  <w:szCs w:val="18"/>
                  <w:color w:val="0000FF"/>
                  <w:w w:val="91"/>
                </w:rPr>
                <w:t>Aterian, Inc. and its subsidiaries party thereto as “Credit Parties”, the</w:t>
              </w:r>
            </w:hyperlink>
          </w:p>
        </w:tc>
        <w:tc>
          <w:tcPr>
            <w:tcW w:w="4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gridSpan w:val="24"/>
          </w:tcPr>
          <w:p>
            <w:pPr>
              <w:spacing w:after="0" w:line="195" w:lineRule="exact"/>
              <w:rPr>
                <w:rFonts w:ascii="Arial" w:cs="Arial" w:eastAsia="Arial" w:hAnsi="Arial"/>
                <w:sz w:val="18"/>
                <w:szCs w:val="18"/>
                <w:color w:val="0000FF"/>
                <w:w w:val="92"/>
              </w:rPr>
            </w:pPr>
            <w:hyperlink r:id="rId386">
              <w:r>
                <w:rPr>
                  <w:rFonts w:ascii="Arial" w:cs="Arial" w:eastAsia="Arial" w:hAnsi="Arial"/>
                  <w:sz w:val="18"/>
                  <w:szCs w:val="18"/>
                  <w:color w:val="0000FF"/>
                  <w:w w:val="92"/>
                </w:rPr>
                <w:t>lenders party thereto from time to time and Midcap Funding IV Trust, as</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27"/>
          </w:tcPr>
          <w:p>
            <w:pPr>
              <w:spacing w:after="0" w:line="195" w:lineRule="exact"/>
              <w:rPr>
                <w:rFonts w:ascii="Arial" w:cs="Arial" w:eastAsia="Arial" w:hAnsi="Arial"/>
                <w:sz w:val="18"/>
                <w:szCs w:val="18"/>
                <w:color w:val="0000FF"/>
              </w:rPr>
            </w:pPr>
            <w:hyperlink r:id="rId386">
              <w:r>
                <w:rPr>
                  <w:rFonts w:ascii="Arial" w:cs="Arial" w:eastAsia="Arial" w:hAnsi="Arial"/>
                  <w:sz w:val="18"/>
                  <w:szCs w:val="18"/>
                  <w:color w:val="0000FF"/>
                </w:rPr>
                <w:t>administrative agent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Amended Yaniv Sarig Employment Agreement</w:t>
            </w:r>
          </w:p>
        </w:tc>
        <w:tc>
          <w:tcPr>
            <w:tcW w:w="20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920" w:type="dxa"/>
            <w:vAlign w:val="bottom"/>
          </w:tcPr>
          <w:p>
            <w:pPr>
              <w:jc w:val="center"/>
              <w:spacing w:after="0"/>
              <w:rPr>
                <w:sz w:val="20"/>
                <w:szCs w:val="20"/>
                <w:color w:val="auto"/>
              </w:rPr>
            </w:pPr>
            <w:r>
              <w:rPr>
                <w:rFonts w:ascii="Arial" w:cs="Arial" w:eastAsia="Arial" w:hAnsi="Arial"/>
                <w:sz w:val="18"/>
                <w:szCs w:val="18"/>
                <w:color w:val="auto"/>
                <w:w w:val="93"/>
              </w:rPr>
              <w:t>21.1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List of Subsidiaries of the Registrant.</w:t>
            </w:r>
          </w:p>
        </w:tc>
        <w:tc>
          <w:tcPr>
            <w:tcW w:w="27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92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1"/>
              </w:rPr>
              <w:t>Consent of Deloitte &amp; Touche LLP, Independent Registered Public</w:t>
            </w:r>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27"/>
          </w:tcPr>
          <w:p>
            <w:pPr>
              <w:spacing w:after="0" w:line="195" w:lineRule="exact"/>
              <w:rPr>
                <w:sz w:val="20"/>
                <w:szCs w:val="20"/>
                <w:color w:val="auto"/>
              </w:rPr>
            </w:pPr>
            <w:r>
              <w:rPr>
                <w:rFonts w:ascii="Arial" w:cs="Arial" w:eastAsia="Arial" w:hAnsi="Arial"/>
                <w:sz w:val="18"/>
                <w:szCs w:val="18"/>
                <w:color w:val="0000FF"/>
              </w:rPr>
              <w:t>Accounting Firm.</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4"/>
            <w:shd w:val="clear" w:color="auto" w:fill="0000FF"/>
          </w:tcPr>
          <w:p>
            <w:pPr>
              <w:spacing w:after="0" w:line="20" w:lineRule="exact"/>
              <w:rPr>
                <w:sz w:val="1"/>
                <w:szCs w:val="1"/>
                <w:color w:val="auto"/>
              </w:rPr>
            </w:pPr>
          </w:p>
        </w:tc>
        <w:tc>
          <w:tcPr>
            <w:tcW w:w="420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0"/>
              </w:rPr>
              <w:t>Power of Attorney (included on the signature page to this Annual Report 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1"/>
              </w:rPr>
              <w:t>Form 10-K).</w:t>
            </w:r>
          </w:p>
        </w:tc>
        <w:tc>
          <w:tcPr>
            <w:tcW w:w="45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614"/>
        </w:trPr>
        <w:tc>
          <w:tcPr>
            <w:tcW w:w="920" w:type="dxa"/>
            <w:vAlign w:val="bottom"/>
          </w:tcPr>
          <w:p>
            <w:pPr>
              <w:spacing w:after="0"/>
              <w:rPr>
                <w:sz w:val="24"/>
                <w:szCs w:val="24"/>
                <w:color w:val="auto"/>
              </w:rPr>
            </w:pPr>
          </w:p>
        </w:tc>
        <w:tc>
          <w:tcPr>
            <w:tcW w:w="4860" w:type="dxa"/>
            <w:vAlign w:val="bottom"/>
            <w:gridSpan w:val="17"/>
          </w:tcPr>
          <w:p>
            <w:pPr>
              <w:jc w:val="right"/>
              <w:ind w:right="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1147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8">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Pr>
          <w:p>
            <w:pPr>
              <w:spacing w:after="0"/>
              <w:rPr>
                <w:sz w:val="16"/>
                <w:szCs w:val="16"/>
                <w:color w:val="auto"/>
              </w:rPr>
            </w:pPr>
          </w:p>
        </w:tc>
        <w:tc>
          <w:tcPr>
            <w:tcW w:w="17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6"/>
                <w:szCs w:val="16"/>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w:t>
            </w:r>
          </w:p>
        </w:tc>
      </w:tr>
      <w:tr>
        <w:trPr>
          <w:trHeight w:val="587"/>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001-38937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1"/>
              </w:rPr>
              <w:t>2/3/2022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10.5</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001-38937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1"/>
              </w:rPr>
              <w:t>2/3/2022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10.6</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001-38937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1"/>
              </w:rPr>
              <w:t>2/3/2022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10.7</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001-38937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1"/>
              </w:rPr>
              <w:t>2/3/2022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10.8</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001-38937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89"/>
              </w:rPr>
              <w:t>5/11/2022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10.1</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001-38937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89"/>
              </w:rPr>
              <w:t>5/11/2022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10.2</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001-38937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89"/>
              </w:rPr>
              <w:t>5/11/2022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10.3</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001-38937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89"/>
              </w:rPr>
              <w:t>5/11/2022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10.4</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001-38937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89"/>
              </w:rPr>
              <w:t>5/11/2022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10.5</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001-38937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89"/>
              </w:rPr>
              <w:t>5/11/2022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10.6</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001-389927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89"/>
              </w:rPr>
              <w:t>5/11/2022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10.7</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001-389927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1"/>
              </w:rPr>
              <w:t>8/9/2022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10.15</w:t>
            </w:r>
          </w:p>
        </w:tc>
      </w:tr>
      <w:tr>
        <w:trPr>
          <w:trHeight w:val="607"/>
        </w:trPr>
        <w:tc>
          <w:tcPr>
            <w:tcW w:w="6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001-389927</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1"/>
              </w:rPr>
              <w:t>8/9/2022</w:t>
            </w:r>
          </w:p>
        </w:tc>
        <w:tc>
          <w:tcPr>
            <w:tcW w:w="8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spacing w:after="0"/>
        <w:tabs>
          <w:tab w:leader="none" w:pos="920" w:val="left"/>
          <w:tab w:leader="none" w:pos="2480" w:val="left"/>
          <w:tab w:leader="none" w:pos="40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001-389927</w:t>
      </w:r>
      <w:r>
        <w:rPr>
          <w:sz w:val="20"/>
          <w:szCs w:val="20"/>
          <w:color w:val="auto"/>
        </w:rPr>
        <w:tab/>
      </w:r>
      <w:r>
        <w:rPr>
          <w:rFonts w:ascii="Arial" w:cs="Arial" w:eastAsia="Arial" w:hAnsi="Arial"/>
          <w:sz w:val="18"/>
          <w:szCs w:val="18"/>
          <w:color w:val="auto"/>
        </w:rPr>
        <w:t>12/27/2022</w:t>
      </w:r>
      <w:r>
        <w:rPr>
          <w:sz w:val="20"/>
          <w:szCs w:val="20"/>
          <w:color w:val="auto"/>
        </w:rPr>
        <w:tab/>
      </w:r>
      <w:r>
        <w:rPr>
          <w:rFonts w:ascii="Arial" w:cs="Arial" w:eastAsia="Arial" w:hAnsi="Arial"/>
          <w:sz w:val="15"/>
          <w:szCs w:val="15"/>
          <w:color w:val="auto"/>
        </w:rPr>
        <w:t>10.1</w:t>
      </w:r>
    </w:p>
    <w:p>
      <w:pPr>
        <w:sectPr>
          <w:pgSz w:w="11900" w:h="16838" w:orient="portrait"/>
          <w:cols w:equalWidth="0" w:num="2">
            <w:col w:w="6540" w:space="120"/>
            <w:col w:w="4580"/>
          </w:cols>
          <w:pgMar w:left="320" w:top="373"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1"/>
                <w:szCs w:val="11"/>
                <w:color w:val="auto"/>
              </w:rPr>
            </w:pPr>
          </w:p>
        </w:tc>
        <w:tc>
          <w:tcPr>
            <w:tcW w:w="5500" w:type="dxa"/>
            <w:vAlign w:val="bottom"/>
            <w:gridSpan w:val="6"/>
            <w:vMerge w:val="restart"/>
          </w:tcPr>
          <w:p>
            <w:pPr>
              <w:ind w:left="23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Pr>
          <w:p>
            <w:pPr>
              <w:spacing w:after="0"/>
              <w:rPr>
                <w:sz w:val="11"/>
                <w:szCs w:val="11"/>
                <w:color w:val="auto"/>
              </w:rPr>
            </w:pPr>
          </w:p>
        </w:tc>
        <w:tc>
          <w:tcPr>
            <w:tcW w:w="17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1"/>
                <w:szCs w:val="11"/>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5500" w:type="dxa"/>
            <w:vAlign w:val="bottom"/>
            <w:tcBorders>
              <w:bottom w:val="single" w:sz="8" w:color="auto"/>
            </w:tcBorders>
            <w:gridSpan w:val="6"/>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24"/>
                <w:szCs w:val="24"/>
                <w:color w:val="auto"/>
              </w:rPr>
            </w:pPr>
          </w:p>
        </w:tc>
        <w:tc>
          <w:tcPr>
            <w:tcW w:w="54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Certifications of the Principal Executive Officer pursuant to Rule 13a-14(a)</w:t>
            </w:r>
          </w:p>
        </w:tc>
        <w:tc>
          <w:tcPr>
            <w:tcW w:w="14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gridSpan w:val="7"/>
          </w:tcPr>
          <w:p>
            <w:pPr>
              <w:spacing w:after="0" w:line="195" w:lineRule="exact"/>
              <w:rPr>
                <w:sz w:val="20"/>
                <w:szCs w:val="20"/>
                <w:color w:val="auto"/>
              </w:rPr>
            </w:pPr>
            <w:r>
              <w:rPr>
                <w:rFonts w:ascii="Arial" w:cs="Arial" w:eastAsia="Arial" w:hAnsi="Arial"/>
                <w:sz w:val="18"/>
                <w:szCs w:val="18"/>
                <w:color w:val="0000FF"/>
              </w:rPr>
              <w:t>or 15d-14(a) of the Securities Exchange Act of 1934.</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24"/>
                <w:szCs w:val="24"/>
                <w:color w:val="auto"/>
              </w:rPr>
            </w:pPr>
          </w:p>
        </w:tc>
        <w:tc>
          <w:tcPr>
            <w:tcW w:w="54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Certifications of the Principal Financial Officer pursuant to Rule 13a-14(a)</w:t>
            </w:r>
          </w:p>
        </w:tc>
        <w:tc>
          <w:tcPr>
            <w:tcW w:w="18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gridSpan w:val="7"/>
          </w:tcPr>
          <w:p>
            <w:pPr>
              <w:spacing w:after="0" w:line="195" w:lineRule="exact"/>
              <w:rPr>
                <w:sz w:val="20"/>
                <w:szCs w:val="20"/>
                <w:color w:val="auto"/>
              </w:rPr>
            </w:pPr>
            <w:r>
              <w:rPr>
                <w:rFonts w:ascii="Arial" w:cs="Arial" w:eastAsia="Arial" w:hAnsi="Arial"/>
                <w:sz w:val="18"/>
                <w:szCs w:val="18"/>
                <w:color w:val="0000FF"/>
              </w:rPr>
              <w:t>or 15d-14(a) of the Securities Exchange Act of 1934.</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24"/>
                <w:szCs w:val="24"/>
                <w:color w:val="auto"/>
              </w:rPr>
            </w:pPr>
          </w:p>
        </w:tc>
        <w:tc>
          <w:tcPr>
            <w:tcW w:w="52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3"/>
              </w:rPr>
              <w:t>Certifications of the Principal Executive Officer and Principal Financial</w:t>
            </w:r>
          </w:p>
        </w:tc>
        <w:tc>
          <w:tcPr>
            <w:tcW w:w="40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40" w:type="dxa"/>
            <w:vAlign w:val="bottom"/>
            <w:tcBorders>
              <w:bottom w:val="single" w:sz="8" w:color="0000FF"/>
            </w:tcBorders>
            <w:gridSpan w:val="4"/>
          </w:tcPr>
          <w:p>
            <w:pPr>
              <w:spacing w:after="0" w:line="195" w:lineRule="exact"/>
              <w:rPr>
                <w:sz w:val="20"/>
                <w:szCs w:val="20"/>
                <w:color w:val="auto"/>
              </w:rPr>
            </w:pPr>
            <w:r>
              <w:rPr>
                <w:rFonts w:ascii="Arial" w:cs="Arial" w:eastAsia="Arial" w:hAnsi="Arial"/>
                <w:sz w:val="18"/>
                <w:szCs w:val="18"/>
                <w:color w:val="0000FF"/>
                <w:w w:val="90"/>
              </w:rPr>
              <w:t>Officer pursuant to 18 U.S.C. Section 1350, as adopted pursuant to Section</w:t>
            </w:r>
          </w:p>
        </w:tc>
        <w:tc>
          <w:tcPr>
            <w:tcW w:w="1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0"/>
              </w:rPr>
              <w:t>906 of the Sarbanes-Oxley Act of 2002.</w:t>
            </w:r>
          </w:p>
        </w:tc>
        <w:tc>
          <w:tcPr>
            <w:tcW w:w="274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562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20" w:type="dxa"/>
            <w:vAlign w:val="bottom"/>
          </w:tcPr>
          <w:p>
            <w:pPr>
              <w:spacing w:after="0"/>
              <w:rPr>
                <w:sz w:val="24"/>
                <w:szCs w:val="24"/>
                <w:color w:val="auto"/>
              </w:rPr>
            </w:pPr>
          </w:p>
        </w:tc>
        <w:tc>
          <w:tcPr>
            <w:tcW w:w="56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24"/>
                <w:szCs w:val="24"/>
                <w:color w:val="auto"/>
              </w:rPr>
            </w:pPr>
          </w:p>
        </w:tc>
        <w:tc>
          <w:tcPr>
            <w:tcW w:w="562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20" w:type="dxa"/>
            <w:vAlign w:val="bottom"/>
          </w:tcPr>
          <w:p>
            <w:pPr>
              <w:spacing w:after="0"/>
              <w:rPr>
                <w:sz w:val="24"/>
                <w:szCs w:val="24"/>
                <w:color w:val="auto"/>
              </w:rPr>
            </w:pPr>
          </w:p>
        </w:tc>
        <w:tc>
          <w:tcPr>
            <w:tcW w:w="562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56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56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180" w:firstLine="111"/>
        <w:spacing w:after="0" w:line="391" w:lineRule="auto"/>
        <w:tabs>
          <w:tab w:leader="none" w:pos="1039"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 Filed herewith.</w:t>
      </w: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360" w:hanging="508"/>
        <w:spacing w:after="0" w:line="250" w:lineRule="auto"/>
        <w:tabs>
          <w:tab w:leader="none" w:pos="340" w:val="left"/>
        </w:tabs>
        <w:rPr>
          <w:sz w:val="20"/>
          <w:szCs w:val="20"/>
          <w:color w:val="auto"/>
        </w:rPr>
      </w:pPr>
      <w:r>
        <w:rPr>
          <w:rFonts w:ascii="Arial" w:cs="Arial" w:eastAsia="Arial" w:hAnsi="Arial"/>
          <w:sz w:val="18"/>
          <w:szCs w:val="18"/>
          <w:color w:val="auto"/>
        </w:rPr>
        <w:t>+</w:t>
        <w:tab/>
        <w:t>Non-material schedules and exhibits have been omitted pursuant to Item 601(a)(5) of Regulation S-K. The Company hereby undertakes to furnish supplemental copies of any of the omitted schedules and exhibits upon request by the Securities and Exchange Commission.</w:t>
      </w:r>
    </w:p>
    <w:p>
      <w:pPr>
        <w:ind w:left="520" w:right="360" w:hanging="512"/>
        <w:spacing w:after="0" w:line="289" w:lineRule="auto"/>
        <w:tabs>
          <w:tab w:leader="none" w:pos="37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Non-material schedules and exhibits have been omitted pursuant to Item 601(b)(2) of Regulation S-K. The Company hereby undertakes to furnish supplemental copies of any of the omitted schedules and exhibits upon request by the Securities and Exchange Commission.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4" w:name="page95"/>
    <w:bookmarkEnd w:id="94"/>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ATERIAN, INC.</w:t>
      </w:r>
    </w:p>
    <w:p>
      <w:pPr>
        <w:spacing w:after="0" w:line="282" w:lineRule="exact"/>
        <w:rPr>
          <w:sz w:val="20"/>
          <w:szCs w:val="20"/>
          <w:color w:val="auto"/>
        </w:rPr>
      </w:pPr>
    </w:p>
    <w:p>
      <w:pPr>
        <w:ind w:left="542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23495</wp:posOffset>
            </wp:positionV>
            <wp:extent cx="33394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0">
                      <a:extLst>
                        <a:ext uri="{28A0092B-C50C-407E-A947-70E740481C1C}"/>
                      </a:extLst>
                    </a:blip>
                    <a:srcRect/>
                    <a:stretch>
                      <a:fillRect/>
                    </a:stretch>
                  </pic:blipFill>
                  <pic:spPr bwMode="auto">
                    <a:xfrm>
                      <a:off x="0" y="0"/>
                      <a:ext cx="3339465" cy="8255"/>
                    </a:xfrm>
                    <a:prstGeom prst="rect">
                      <a:avLst/>
                    </a:prstGeom>
                    <a:noFill/>
                  </pic:spPr>
                </pic:pic>
              </a:graphicData>
            </a:graphic>
          </wp:anchor>
        </w:drawing>
      </w:r>
    </w:p>
    <w:p>
      <w:pPr>
        <w:spacing w:after="0" w:line="2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Yaniv Sarig</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78" w:lineRule="exact"/>
        <w:rPr>
          <w:sz w:val="20"/>
          <w:szCs w:val="20"/>
          <w:color w:val="auto"/>
        </w:rPr>
      </w:pPr>
    </w:p>
    <w:p>
      <w:pPr>
        <w:ind w:left="5420"/>
        <w:spacing w:after="0"/>
        <w:tabs>
          <w:tab w:leader="none" w:pos="5980" w:val="left"/>
        </w:tabs>
        <w:rPr>
          <w:sz w:val="20"/>
          <w:szCs w:val="20"/>
          <w:color w:val="auto"/>
        </w:rPr>
      </w:pPr>
      <w:r>
        <w:rPr>
          <w:rFonts w:ascii="Arial" w:cs="Arial" w:eastAsia="Arial" w:hAnsi="Arial"/>
          <w:sz w:val="18"/>
          <w:szCs w:val="18"/>
          <w:color w:val="auto"/>
        </w:rPr>
        <w:t>Date:</w:t>
        <w:tab/>
        <w:t>March 16, 2023</w:t>
      </w: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64" w:right="5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33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jointly and severally, Yaniv Sarig, Arturo Rodriguez and Joseph A. Risico, and each of them acting individually, as his or her attorney-in-fact, each with full power of substitution and resubstitution, for him or her in any and all capacities, to sign any and all amendments to this Annual Report on Form 10-K, and to file the same, with exhibits thereto and other documents in connection therewith, with the Securities and Exchange Commission, granting unto said attorneys-in-fact full power and authority to do and perform each and every act and thing requisite and necessary to be done in connection therewith as fully to all intents and purposes as he or she might or could do in person, hereby ratifying and confirming all that said attorneys-in-fact, or their substitute or substitutes, may lawfully do or cause to be done by virtue hereof.</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15500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2">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1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5500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3">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Yaniv Sarig</w:t>
      </w:r>
    </w:p>
    <w:p>
      <w:pPr>
        <w:spacing w:after="0" w:line="278"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5500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4">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Arturo Rodriguez</w:t>
      </w:r>
    </w:p>
    <w:p>
      <w:pPr>
        <w:spacing w:after="0" w:line="27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William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5500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5">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4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William Kurtz</w:t>
      </w:r>
    </w:p>
    <w:p>
      <w:pPr>
        <w:spacing w:after="0" w:line="200" w:lineRule="exact"/>
        <w:rPr>
          <w:sz w:val="20"/>
          <w:szCs w:val="20"/>
          <w:color w:val="auto"/>
        </w:rPr>
      </w:pP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Susan Lattmann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5500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6">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4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Susan Lattmann</w:t>
      </w:r>
    </w:p>
    <w:p>
      <w:pPr>
        <w:spacing w:after="0" w:line="200" w:lineRule="exact"/>
        <w:rPr>
          <w:sz w:val="20"/>
          <w:szCs w:val="20"/>
          <w:color w:val="auto"/>
        </w:rPr>
      </w:pP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Sarah Liebel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5500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7">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Sarah Liebel</w:t>
      </w:r>
    </w:p>
    <w:p>
      <w:pPr>
        <w:spacing w:after="0" w:line="200" w:lineRule="exact"/>
        <w:rPr>
          <w:sz w:val="20"/>
          <w:szCs w:val="20"/>
          <w:color w:val="auto"/>
        </w:rPr>
      </w:pP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/s/ Cynthia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5500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8">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4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Cynthia Williams</w:t>
      </w:r>
    </w:p>
    <w:p>
      <w:pPr>
        <w:spacing w:after="0" w:line="200" w:lineRule="exact"/>
        <w:rPr>
          <w:sz w:val="20"/>
          <w:szCs w:val="20"/>
          <w:color w:val="auto"/>
        </w:rPr>
      </w:pPr>
    </w:p>
    <w:p>
      <w:pPr>
        <w:spacing w:after="0" w:line="28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 Bari Harlam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5500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9">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Bari Harlam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08"/>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March 16,</w:t>
            </w:r>
          </w:p>
        </w:tc>
      </w:tr>
      <w:tr>
        <w:trPr>
          <w:trHeight w:val="230"/>
        </w:trPr>
        <w:tc>
          <w:tcPr>
            <w:tcW w:w="736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2023</w:t>
            </w:r>
          </w:p>
        </w:tc>
      </w:tr>
      <w:tr>
        <w:trPr>
          <w:trHeight w:val="243"/>
        </w:trPr>
        <w:tc>
          <w:tcPr>
            <w:tcW w:w="73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99"/>
        </w:trPr>
        <w:tc>
          <w:tcPr>
            <w:tcW w:w="7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7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March 16,</w:t>
            </w:r>
          </w:p>
        </w:tc>
      </w:tr>
      <w:tr>
        <w:trPr>
          <w:trHeight w:val="230"/>
        </w:trPr>
        <w:tc>
          <w:tcPr>
            <w:tcW w:w="7360" w:type="dxa"/>
            <w:vAlign w:val="bottom"/>
          </w:tcPr>
          <w:p>
            <w:pPr>
              <w:jc w:val="center"/>
              <w:spacing w:after="0"/>
              <w:rPr>
                <w:sz w:val="20"/>
                <w:szCs w:val="20"/>
                <w:color w:val="auto"/>
              </w:rPr>
            </w:pPr>
            <w:r>
              <w:rPr>
                <w:rFonts w:ascii="Arial" w:cs="Arial" w:eastAsia="Arial" w:hAnsi="Arial"/>
                <w:sz w:val="18"/>
                <w:szCs w:val="18"/>
                <w:color w:val="auto"/>
                <w:w w:val="93"/>
              </w:rPr>
              <w:t>(Principal Accounting and Financial Officer)</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2023</w:t>
            </w:r>
          </w:p>
        </w:tc>
      </w:tr>
      <w:tr>
        <w:trPr>
          <w:trHeight w:val="499"/>
        </w:trPr>
        <w:tc>
          <w:tcPr>
            <w:tcW w:w="7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7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March 16,</w:t>
            </w:r>
          </w:p>
        </w:tc>
      </w:tr>
      <w:tr>
        <w:trPr>
          <w:trHeight w:val="230"/>
        </w:trPr>
        <w:tc>
          <w:tcPr>
            <w:tcW w:w="7360" w:type="dxa"/>
            <w:vAlign w:val="bottom"/>
          </w:tcPr>
          <w:p>
            <w:pPr>
              <w:spacing w:after="0"/>
              <w:rPr>
                <w:sz w:val="20"/>
                <w:szCs w:val="20"/>
                <w:color w:val="auto"/>
              </w:rPr>
            </w:pP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2023</w:t>
            </w:r>
          </w:p>
        </w:tc>
      </w:tr>
      <w:tr>
        <w:trPr>
          <w:trHeight w:val="471"/>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March 16,</w:t>
            </w:r>
          </w:p>
        </w:tc>
      </w:tr>
      <w:tr>
        <w:trPr>
          <w:trHeight w:val="230"/>
        </w:trPr>
        <w:tc>
          <w:tcPr>
            <w:tcW w:w="7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2023</w:t>
            </w:r>
          </w:p>
        </w:tc>
      </w:tr>
      <w:tr>
        <w:trPr>
          <w:trHeight w:val="714"/>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March 16,</w:t>
            </w:r>
          </w:p>
        </w:tc>
      </w:tr>
      <w:tr>
        <w:trPr>
          <w:trHeight w:val="230"/>
        </w:trPr>
        <w:tc>
          <w:tcPr>
            <w:tcW w:w="7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2023</w:t>
            </w:r>
          </w:p>
        </w:tc>
      </w:tr>
      <w:tr>
        <w:trPr>
          <w:trHeight w:val="714"/>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March 16,</w:t>
            </w:r>
          </w:p>
        </w:tc>
      </w:tr>
      <w:tr>
        <w:trPr>
          <w:trHeight w:val="230"/>
        </w:trPr>
        <w:tc>
          <w:tcPr>
            <w:tcW w:w="7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2023</w:t>
            </w:r>
          </w:p>
        </w:tc>
      </w:tr>
      <w:tr>
        <w:trPr>
          <w:trHeight w:val="714"/>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March 16,</w:t>
            </w:r>
          </w:p>
        </w:tc>
      </w:tr>
      <w:tr>
        <w:trPr>
          <w:trHeight w:val="230"/>
        </w:trPr>
        <w:tc>
          <w:tcPr>
            <w:tcW w:w="7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2023</w:t>
            </w:r>
          </w:p>
        </w:tc>
      </w:tr>
    </w:tbl>
    <w:p>
      <w:pPr>
        <w:spacing w:after="0" w:line="419" w:lineRule="exact"/>
        <w:rPr>
          <w:sz w:val="20"/>
          <w:szCs w:val="20"/>
          <w:color w:val="auto"/>
        </w:rPr>
      </w:pPr>
    </w:p>
    <w:p>
      <w:pPr>
        <w:sectPr>
          <w:pgSz w:w="11900" w:h="16838" w:orient="portrait"/>
          <w:cols w:equalWidth="0" w:num="2">
            <w:col w:w="1980" w:space="640"/>
            <w:col w:w="862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4.9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escription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ecurities of</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terian</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The authorized capital stock of Aterian,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consists of:</w:t>
      </w:r>
    </w:p>
    <w:p>
      <w:pPr>
        <w:spacing w:after="0" w:line="205" w:lineRule="exact"/>
        <w:rPr>
          <w:sz w:val="20"/>
          <w:szCs w:val="20"/>
          <w:color w:val="auto"/>
        </w:rPr>
      </w:pPr>
    </w:p>
    <w:p>
      <w:pPr>
        <w:ind w:left="760" w:hanging="378"/>
        <w:spacing w:after="0"/>
        <w:tabs>
          <w:tab w:leader="none" w:pos="7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500,000,000 shares of common stock, $0.0001 par value per share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and</w:t>
      </w:r>
    </w:p>
    <w:p>
      <w:pPr>
        <w:spacing w:after="0" w:line="205" w:lineRule="exact"/>
        <w:rPr>
          <w:rFonts w:ascii="Arial" w:cs="Arial" w:eastAsia="Arial" w:hAnsi="Arial"/>
          <w:sz w:val="22"/>
          <w:szCs w:val="22"/>
          <w:color w:val="auto"/>
        </w:rPr>
      </w:pPr>
    </w:p>
    <w:p>
      <w:pPr>
        <w:ind w:left="760" w:hanging="378"/>
        <w:spacing w:after="0"/>
        <w:tabs>
          <w:tab w:leader="none" w:pos="7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10,000,000 shares of preferred stock, $0.0001 par value per share (“</w:t>
      </w:r>
      <w:r>
        <w:rPr>
          <w:rFonts w:ascii="Arial" w:cs="Arial" w:eastAsia="Arial" w:hAnsi="Arial"/>
          <w:sz w:val="22"/>
          <w:szCs w:val="22"/>
          <w:b w:val="1"/>
          <w:bCs w:val="1"/>
          <w:i w:val="1"/>
          <w:iCs w:val="1"/>
          <w:color w:val="auto"/>
        </w:rPr>
        <w:t>Preferred Stock</w:t>
      </w:r>
      <w:r>
        <w:rPr>
          <w:rFonts w:ascii="Arial" w:cs="Arial" w:eastAsia="Arial" w:hAnsi="Arial"/>
          <w:sz w:val="22"/>
          <w:szCs w:val="22"/>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11" w:lineRule="exact"/>
        <w:rPr>
          <w:sz w:val="20"/>
          <w:szCs w:val="20"/>
          <w:color w:val="auto"/>
        </w:rPr>
      </w:pPr>
    </w:p>
    <w:p>
      <w:pPr>
        <w:ind w:right="80"/>
        <w:spacing w:after="0"/>
        <w:rPr>
          <w:sz w:val="20"/>
          <w:szCs w:val="20"/>
          <w:color w:val="auto"/>
        </w:rPr>
      </w:pPr>
      <w:r>
        <w:rPr>
          <w:rFonts w:ascii="Arial" w:cs="Arial" w:eastAsia="Arial" w:hAnsi="Arial"/>
          <w:sz w:val="22"/>
          <w:szCs w:val="22"/>
          <w:b w:val="1"/>
          <w:bCs w:val="1"/>
          <w:i w:val="1"/>
          <w:iCs w:val="1"/>
          <w:color w:val="auto"/>
        </w:rPr>
        <w:t xml:space="preserve">Dividend Rights. </w:t>
      </w:r>
      <w:r>
        <w:rPr>
          <w:rFonts w:ascii="Arial" w:cs="Arial" w:eastAsia="Arial" w:hAnsi="Arial"/>
          <w:sz w:val="22"/>
          <w:szCs w:val="22"/>
          <w:color w:val="auto"/>
        </w:rPr>
        <w:t>Dividends may be declared and paid on Common Stock if, as and when determined by the Company’s board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subject to any preferential dividend or other rights of any then outstanding Preferred Stock and to the requirements of applicable law.</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i w:val="1"/>
          <w:iCs w:val="1"/>
          <w:color w:val="auto"/>
        </w:rPr>
        <w:t xml:space="preserve">Voting Rights. </w:t>
      </w:r>
      <w:r>
        <w:rPr>
          <w:rFonts w:ascii="Arial" w:cs="Arial" w:eastAsia="Arial" w:hAnsi="Arial"/>
          <w:sz w:val="20"/>
          <w:szCs w:val="20"/>
          <w:color w:val="auto"/>
        </w:rPr>
        <w:t>Holders of Common Stock are entitled to one vote for each share held on all matters submitted to a vote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stockholders. The Company’s Amended and Restated Certificate of Incorporation (the “</w:t>
      </w:r>
      <w:r>
        <w:rPr>
          <w:rFonts w:ascii="Arial" w:cs="Arial" w:eastAsia="Arial" w:hAnsi="Arial"/>
          <w:sz w:val="20"/>
          <w:szCs w:val="20"/>
          <w:b w:val="1"/>
          <w:bCs w:val="1"/>
          <w:i w:val="1"/>
          <w:iCs w:val="1"/>
          <w:color w:val="auto"/>
        </w:rPr>
        <w:t>Certificate of Incorporation</w:t>
      </w:r>
      <w:r>
        <w:rPr>
          <w:rFonts w:ascii="Arial" w:cs="Arial" w:eastAsia="Arial" w:hAnsi="Arial"/>
          <w:sz w:val="20"/>
          <w:szCs w:val="20"/>
          <w:color w:val="auto"/>
        </w:rPr>
        <w:t>”) does not provide for cumulative voting for the election of directors. Accordingly, the holders of a majority of the outstanding shares of Common Stock entitled to vote in any election of directors can elect all of the directors standing for election, if they so choose, other than any directors that holders of any outstanding Preferred Stock may be entitled to elect. The Certificate of Incorporation establishes a classified board of directors that is divided into three classes with staggered three-year terms. Only the directors in one class will be subject to election at each annual meeting of the Company’s stockholders, with the directors in the other classes continuing for the remainder of their respective three-year terms. The Certificate of Incorporation and the Company’s Amended and Restated Bylaws (the “</w:t>
      </w:r>
      <w:r>
        <w:rPr>
          <w:rFonts w:ascii="Arial" w:cs="Arial" w:eastAsia="Arial" w:hAnsi="Arial"/>
          <w:sz w:val="20"/>
          <w:szCs w:val="20"/>
          <w:b w:val="1"/>
          <w:bCs w:val="1"/>
          <w:i w:val="1"/>
          <w:iCs w:val="1"/>
          <w:color w:val="auto"/>
        </w:rPr>
        <w:t>Bylaws</w:t>
      </w:r>
      <w:r>
        <w:rPr>
          <w:rFonts w:ascii="Arial" w:cs="Arial" w:eastAsia="Arial" w:hAnsi="Arial"/>
          <w:sz w:val="20"/>
          <w:szCs w:val="20"/>
          <w:color w:val="auto"/>
        </w:rPr>
        <w:t>”) also provide that the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the Certificate of Incorporation. See the section of this exhibit entitled “Anti-Takeover Effects of Certain Provisions of the Company’s Certificate of Incorporation, Bylaws and General Corporation Law of the State of Delaware” for additional details regarding the anti-takeover provisions of the Certificate of Incorporation and Bylaws.</w:t>
      </w:r>
    </w:p>
    <w:p>
      <w:pPr>
        <w:spacing w:after="0" w:line="177"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b w:val="1"/>
          <w:bCs w:val="1"/>
          <w:i w:val="1"/>
          <w:iCs w:val="1"/>
          <w:color w:val="auto"/>
        </w:rPr>
        <w:t xml:space="preserve">No Preemptive or Similar Rights. </w:t>
      </w:r>
      <w:r>
        <w:rPr>
          <w:rFonts w:ascii="Arial" w:cs="Arial" w:eastAsia="Arial" w:hAnsi="Arial"/>
          <w:sz w:val="22"/>
          <w:szCs w:val="22"/>
          <w:color w:val="auto"/>
        </w:rPr>
        <w:t>The Common Stock is not entitled to preemptive rights, and is not subject to conversion,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redemption or sinking fund provisions.</w:t>
      </w:r>
    </w:p>
    <w:p>
      <w:pPr>
        <w:spacing w:after="0" w:line="174" w:lineRule="exact"/>
        <w:rPr>
          <w:sz w:val="20"/>
          <w:szCs w:val="20"/>
          <w:color w:val="auto"/>
        </w:rPr>
      </w:pPr>
    </w:p>
    <w:p>
      <w:pPr>
        <w:jc w:val="both"/>
        <w:ind w:right="260"/>
        <w:spacing w:after="0" w:line="287" w:lineRule="auto"/>
        <w:rPr>
          <w:sz w:val="20"/>
          <w:szCs w:val="20"/>
          <w:color w:val="auto"/>
        </w:rPr>
      </w:pPr>
      <w:r>
        <w:rPr>
          <w:rFonts w:ascii="Arial" w:cs="Arial" w:eastAsia="Arial" w:hAnsi="Arial"/>
          <w:sz w:val="19"/>
          <w:szCs w:val="19"/>
          <w:b w:val="1"/>
          <w:bCs w:val="1"/>
          <w:i w:val="1"/>
          <w:iCs w:val="1"/>
          <w:color w:val="auto"/>
        </w:rPr>
        <w:t xml:space="preserve">Right to Receive Liquidation Distributions. </w:t>
      </w:r>
      <w:r>
        <w:rPr>
          <w:rFonts w:ascii="Arial" w:cs="Arial" w:eastAsia="Arial" w:hAnsi="Arial"/>
          <w:sz w:val="19"/>
          <w:szCs w:val="19"/>
          <w:color w:val="auto"/>
        </w:rPr>
        <w:t>If the Company becomes subject to a liquidation, dissolution or winding-up,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assets legally available for distribution to its stockholders 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7" w:name="page98"/>
    <w:bookmarkEnd w:id="97"/>
    <w:p>
      <w:pPr>
        <w:ind w:right="240"/>
        <w:spacing w:after="0" w:line="250" w:lineRule="auto"/>
        <w:rPr>
          <w:sz w:val="20"/>
          <w:szCs w:val="20"/>
          <w:color w:val="auto"/>
        </w:rPr>
      </w:pPr>
      <w:r>
        <w:rPr>
          <w:rFonts w:ascii="Arial" w:cs="Arial" w:eastAsia="Arial" w:hAnsi="Arial"/>
          <w:sz w:val="22"/>
          <w:szCs w:val="22"/>
          <w:b w:val="1"/>
          <w:bCs w:val="1"/>
          <w:i w:val="1"/>
          <w:iCs w:val="1"/>
          <w:color w:val="auto"/>
        </w:rPr>
        <w:t xml:space="preserve">Fully Paid and Non-Assessable. </w:t>
      </w:r>
      <w:r>
        <w:rPr>
          <w:rFonts w:ascii="Arial" w:cs="Arial" w:eastAsia="Arial" w:hAnsi="Arial"/>
          <w:sz w:val="22"/>
          <w:szCs w:val="22"/>
          <w:color w:val="auto"/>
        </w:rPr>
        <w:t>All of the outstanding shares of Common Stock are duly authorized, validly issued, fully paid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non-assessable.</w:t>
      </w:r>
    </w:p>
    <w:p>
      <w:pPr>
        <w:spacing w:after="0" w:line="174" w:lineRule="exact"/>
        <w:rPr>
          <w:sz w:val="20"/>
          <w:szCs w:val="20"/>
          <w:color w:val="auto"/>
        </w:rPr>
      </w:pPr>
    </w:p>
    <w:p>
      <w:pPr>
        <w:ind w:right="940"/>
        <w:spacing w:after="0" w:line="299" w:lineRule="auto"/>
        <w:rPr>
          <w:sz w:val="20"/>
          <w:szCs w:val="20"/>
          <w:color w:val="auto"/>
        </w:rPr>
      </w:pPr>
      <w:r>
        <w:rPr>
          <w:rFonts w:ascii="Arial" w:cs="Arial" w:eastAsia="Arial" w:hAnsi="Arial"/>
          <w:sz w:val="20"/>
          <w:szCs w:val="20"/>
          <w:b w:val="1"/>
          <w:bCs w:val="1"/>
          <w:i w:val="1"/>
          <w:iCs w:val="1"/>
          <w:color w:val="auto"/>
        </w:rPr>
        <w:t>Anti-Takeover Provisions</w:t>
      </w:r>
      <w:r>
        <w:rPr>
          <w:rFonts w:ascii="Arial" w:cs="Arial" w:eastAsia="Arial" w:hAnsi="Arial"/>
          <w:sz w:val="20"/>
          <w:szCs w:val="20"/>
          <w:color w:val="auto"/>
        </w:rPr>
        <w:t>. See the below section titled “Anti-Takeover Effects of Certain Provisions of the Company’s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Certificate of Incorporation, Bylaws and General Corporation Law of the State of Delaware”.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The Common Stock is listed on the Nasdaq Capital Market under the symbol “ATER”.</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Board is authorized, subject to limitations prescribed by Delaware law, to issue up to 10,000,000 shares of Preferred Stock in one or more series, to determine and fix from time to time the number of shares to be included in such series, and to fix the voting powers, designations, preferences and other rights, qualifications and restrictions thereof, including dividend rights, conversion rights, redemption privileges and liquidation preferences of such series, in each case without further vote or action by the stockholders. The Board can also increase or decrease the number of shares of any such series, but not below the number of shares of such series then outstanding, without any further vote or action by the stockholders.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The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the Common Stock and the voting and other rights of the holders of Common Stock. The Company has no current plans to issue any shares of Preferred Stock.</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11"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As of December 31, 2021, the Company had outstanding warrants to purchase an aggregate of 440,959 shares of Common Stock as follows:</w:t>
      </w:r>
    </w:p>
    <w:p>
      <w:pPr>
        <w:spacing w:after="0" w:line="174" w:lineRule="exact"/>
        <w:rPr>
          <w:sz w:val="20"/>
          <w:szCs w:val="20"/>
          <w:color w:val="auto"/>
        </w:rPr>
      </w:pPr>
    </w:p>
    <w:p>
      <w:pPr>
        <w:ind w:left="760" w:hanging="378"/>
        <w:spacing w:after="0" w:line="250" w:lineRule="auto"/>
        <w:tabs>
          <w:tab w:leader="none" w:pos="7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warrants to purchase an aggregate of 139,036 shares with an exercise price of $15.60 per share, all of which are currently exercisable and expire on September 4, 2023;</w:t>
      </w:r>
    </w:p>
    <w:p>
      <w:pPr>
        <w:spacing w:after="0" w:line="174" w:lineRule="exact"/>
        <w:rPr>
          <w:rFonts w:ascii="Arial" w:cs="Arial" w:eastAsia="Arial" w:hAnsi="Arial"/>
          <w:sz w:val="22"/>
          <w:szCs w:val="22"/>
          <w:color w:val="auto"/>
        </w:rPr>
      </w:pPr>
    </w:p>
    <w:p>
      <w:pPr>
        <w:jc w:val="both"/>
        <w:ind w:left="760" w:right="100" w:hanging="378"/>
        <w:spacing w:after="0" w:line="237" w:lineRule="auto"/>
        <w:tabs>
          <w:tab w:leader="none" w:pos="7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warrants to purchase an aggregate of 76,923 shares with an exercise price of $15.60 per share, all of which are currently exercisable and expire on June 14, 2024, which shall be automatically exercised on a “cashless” basis upon expiration if the fair market value of the Common Stock is greater than the exercise price of the warrant on the expiration date of the warrant;</w:t>
      </w:r>
    </w:p>
    <w:p>
      <w:pPr>
        <w:spacing w:after="0" w:line="187" w:lineRule="exact"/>
        <w:rPr>
          <w:rFonts w:ascii="Arial" w:cs="Arial" w:eastAsia="Arial" w:hAnsi="Arial"/>
          <w:sz w:val="22"/>
          <w:szCs w:val="22"/>
          <w:color w:val="auto"/>
        </w:rPr>
      </w:pPr>
    </w:p>
    <w:p>
      <w:pPr>
        <w:ind w:left="760" w:right="140" w:hanging="378"/>
        <w:spacing w:after="0" w:line="250" w:lineRule="auto"/>
        <w:tabs>
          <w:tab w:leader="none" w:pos="7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warrant to purchase an aggregate of 25,000 shares with an exercise price of $9.09 per share, all of which are currently exercisable and expire on August 18, 2030;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98" w:name="page99"/>
    <w:bookmarkEnd w:id="98"/>
    <w:p>
      <w:pPr>
        <w:ind w:left="760" w:right="240" w:hanging="378"/>
        <w:spacing w:after="0" w:line="250" w:lineRule="auto"/>
        <w:tabs>
          <w:tab w:leader="none" w:pos="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warrant to purchase 200,000 shares with an exercise price of $4.70, which is currently exercisable and will expire on December 22, 2021.</w:t>
      </w:r>
    </w:p>
    <w:p>
      <w:pPr>
        <w:spacing w:after="0" w:line="174"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All of the outstanding warrants contain provisions for the adjustment of the exercise price in the event of stock dividends, stock splits or similar transactions. In addition, certain of the warrants contain a “cashless exercise” feature that allows the holders thereof to exercise the warrants without a cash payment to the Company under certain circumstances. Certain of the warrants also contain provisions that provide certain rights to warrant holders in the event of a fundamental transaction, including a merger or consolidation with or into another entity, such as the right to receive the same amount and kind of consideration paid to the holders of Common Stock in the fundamental transaction.</w:t>
      </w:r>
    </w:p>
    <w:p>
      <w:pPr>
        <w:spacing w:after="0" w:line="160" w:lineRule="exact"/>
        <w:rPr>
          <w:sz w:val="20"/>
          <w:szCs w:val="20"/>
          <w:color w:val="auto"/>
        </w:rPr>
      </w:pPr>
    </w:p>
    <w:p>
      <w:pPr>
        <w:ind w:right="920"/>
        <w:spacing w:after="0" w:line="256" w:lineRule="auto"/>
        <w:rPr>
          <w:sz w:val="20"/>
          <w:szCs w:val="20"/>
          <w:color w:val="auto"/>
        </w:rPr>
      </w:pPr>
      <w:r>
        <w:rPr>
          <w:rFonts w:ascii="Arial" w:cs="Arial" w:eastAsia="Arial" w:hAnsi="Arial"/>
          <w:sz w:val="22"/>
          <w:szCs w:val="22"/>
          <w:b w:val="1"/>
          <w:bCs w:val="1"/>
          <w:color w:val="auto"/>
        </w:rPr>
        <w:t>Anti-Takeover Effects of Certain Provisions of the Company’s Certificate of Incorporation, Bylaws and General Corporation Law of the State of Delaware</w:t>
      </w:r>
    </w:p>
    <w:p>
      <w:pPr>
        <w:spacing w:after="0" w:line="168"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Certain provisions of Delaware law, along with the Certificate of Incorporation and the Bylaws, may have the effect of delaying, deferring or discouraging another person from acquiring control of the Company. These provisions are expected to discourage coercive takeover practices and inadequate takeover bids. These provisions are also designed, in part, to encourage persons seeking to acquire control of the Company to first negotiate with the Board. However, these provisions could have the effect of delaying, discouraging or preventing attempts to acquire the Company, which could deprive the stockholders of opportunities to sell their shares of Common Stock at prices higher than prevailing market prices.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Delaware Law</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The Company is subject to Section 203 of the General Corporation Law of the State of Delaware (“</w:t>
      </w:r>
      <w:r>
        <w:rPr>
          <w:rFonts w:ascii="Arial" w:cs="Arial" w:eastAsia="Arial" w:hAnsi="Arial"/>
          <w:sz w:val="20"/>
          <w:szCs w:val="20"/>
          <w:b w:val="1"/>
          <w:bCs w:val="1"/>
          <w:i w:val="1"/>
          <w:iCs w:val="1"/>
          <w:color w:val="auto"/>
        </w:rPr>
        <w:t>DGCL</w:t>
      </w:r>
      <w:r>
        <w:rPr>
          <w:rFonts w:ascii="Arial" w:cs="Arial" w:eastAsia="Arial" w:hAnsi="Arial"/>
          <w:sz w:val="20"/>
          <w:szCs w:val="20"/>
          <w:color w:val="auto"/>
        </w:rPr>
        <w:t>”),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Choice of Forum</w:t>
      </w:r>
    </w:p>
    <w:p>
      <w:pPr>
        <w:spacing w:after="0" w:line="205"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The Certificate of Incorporation provides that, unless the Company consents in writing to the selection of an alternative forum, the Court of Chancery of the State of Delaware will be the sole and exclusive forum for: (1) any derivative action or proceeding brought on the Company’s behalf; (2) any action asserting a claim of breach of a fiduciary duty by any of the Company’s directors, officers, employees, agents or stockholders to the Company or its stockholders, creditors or other constituents; (3) any action asserting a claim against the Company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99" w:name="page100"/>
    <w:bookmarkEnd w:id="99"/>
    <w:p>
      <w:pPr>
        <w:ind w:right="80"/>
        <w:spacing w:after="0" w:line="272" w:lineRule="auto"/>
        <w:rPr>
          <w:sz w:val="20"/>
          <w:szCs w:val="20"/>
          <w:color w:val="auto"/>
        </w:rPr>
      </w:pPr>
      <w:r>
        <w:rPr>
          <w:rFonts w:ascii="Arial" w:cs="Arial" w:eastAsia="Arial" w:hAnsi="Arial"/>
          <w:sz w:val="19"/>
          <w:szCs w:val="19"/>
          <w:color w:val="auto"/>
        </w:rPr>
        <w:t>pursuant to any provision of the DGCL or the Certificate of Incorporation or the Bylaws; or (4) any action asserting a claim governed by the internal affairs doctrine. The provision will not apply to suits brought to enforce a duty or liability created by the Securities Act of 1933, as amended, the Securities Exchange Act of 1934, as amended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or any other claim for which the federal courts have exclusive jurisdiction. Section 27 of the Exchange Act creates exclusive federal jurisdiction over all suits brought to enforce any duty or liability created by the Exchange Act or the rules and regulations thereunder. As a result, the choice of forum provision will not apply to suits brought to enforce any duty or liability created by the Exchange Act or any other claim for which the federal courts have exclusive jurisdiction. However, the Certificate of Incorporation does not relieve the Company of its duties to comply with federal securities laws and the rules and regulations thereunder, and its stockholders will not be deemed to have waived the Company’s compliance with these laws, rules and regulations. The Certificate of Incorporation also provides that any person or entity purchasing or otherwise acquiring any interest in shares of the Company’s capital stock will be deemed to have notice of and to have consented to this choice of forum provision.</w:t>
      </w:r>
    </w:p>
    <w:p>
      <w:pPr>
        <w:spacing w:after="0" w:line="16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This choice of forum provision in the Certificate of Incorporation may limit a stockholder’s ability to bring a claim in a judicial forum that it finds favorable for disputes with the Company or its directors, officers, employees or agents, which may discourage such lawsuits against the Company and its directors, officers, employees or agents. In addition, stockholders who do bring a claim in the Court of Chancery in the State of Delaware could face additional litigation costs in pursuing any such claim, particularly if they do not reside in or near Delaware. Furthermore, the enforceability of similar choice of forum provisions in other companies’ governing documents has been challenged in legal proceedings, and it is possible that a court could find these types of provisions to be inapplicable or unenforceable.</w:t>
      </w:r>
    </w:p>
    <w:p>
      <w:pPr>
        <w:spacing w:after="0" w:line="17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i w:val="1"/>
          <w:iCs w:val="1"/>
          <w:color w:val="auto"/>
        </w:rPr>
        <w:t>Board of Directors Vacancies</w:t>
      </w:r>
      <w:r>
        <w:rPr>
          <w:rFonts w:ascii="Arial" w:cs="Arial" w:eastAsia="Arial" w:hAnsi="Arial"/>
          <w:sz w:val="20"/>
          <w:szCs w:val="20"/>
          <w:color w:val="auto"/>
        </w:rPr>
        <w:t>. Any vacancy or newly created directorship in the Board, however occurring, shall be filled only by</w:t>
      </w:r>
      <w:r>
        <w:rPr>
          <w:rFonts w:ascii="Arial" w:cs="Arial" w:eastAsia="Arial" w:hAnsi="Arial"/>
          <w:sz w:val="20"/>
          <w:szCs w:val="20"/>
          <w:i w:val="1"/>
          <w:iCs w:val="1"/>
          <w:color w:val="auto"/>
        </w:rPr>
        <w:t xml:space="preserve"> </w:t>
      </w:r>
      <w:r>
        <w:rPr>
          <w:rFonts w:ascii="Arial" w:cs="Arial" w:eastAsia="Arial" w:hAnsi="Arial"/>
          <w:sz w:val="20"/>
          <w:szCs w:val="20"/>
          <w:color w:val="auto"/>
        </w:rPr>
        <w:t>the vote of a majority of the directors then in office, although less than a quorum, and shall not be filled by the stockholders, unless the Board determines by resolution that any such vacancy or newly created directorship shall be filled by the stockholders. In addition, the number of directors constituting the Board shall be determined from time to time by a resolution adopted by the Board. These provisions may prevent a stockholder from increasing the size of the Board and then gaining control of the Board by filling the resulting vacancies with its own nominees. This makes it more difficult to change the composition of the Board and promotes continuity of management.</w:t>
      </w:r>
    </w:p>
    <w:p>
      <w:pPr>
        <w:spacing w:after="0" w:line="171" w:lineRule="exact"/>
        <w:rPr>
          <w:sz w:val="20"/>
          <w:szCs w:val="20"/>
          <w:color w:val="auto"/>
        </w:rPr>
      </w:pPr>
    </w:p>
    <w:p>
      <w:pPr>
        <w:ind w:right="60"/>
        <w:spacing w:after="0" w:line="278" w:lineRule="auto"/>
        <w:rPr>
          <w:sz w:val="20"/>
          <w:szCs w:val="20"/>
          <w:color w:val="auto"/>
        </w:rPr>
      </w:pPr>
      <w:r>
        <w:rPr>
          <w:rFonts w:ascii="Arial" w:cs="Arial" w:eastAsia="Arial" w:hAnsi="Arial"/>
          <w:sz w:val="19"/>
          <w:szCs w:val="19"/>
          <w:i w:val="1"/>
          <w:iCs w:val="1"/>
          <w:color w:val="auto"/>
        </w:rPr>
        <w:t>Classified Board</w:t>
      </w:r>
      <w:r>
        <w:rPr>
          <w:rFonts w:ascii="Arial" w:cs="Arial" w:eastAsia="Arial" w:hAnsi="Arial"/>
          <w:sz w:val="19"/>
          <w:szCs w:val="19"/>
          <w:color w:val="auto"/>
        </w:rPr>
        <w:t>. The Board is divided into three classes. The directors in each class will serve for a three-year term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the directors initially assigned to Class I, whose term shall expire at the first annual meeting of stockholders following the Company’s initial public offering and those assigned to Class II, whose term shall expire to the second annual meeting of stockholders following the Company’s initial public offering), one class being elected each year by the stockholders. This system of electing and removing directors may tend to discourage a third party from making a tender offer or otherwise attempting to obtain control of the Company, because it generally makes it more difficult for stockholders to replace a majority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0" w:name="page101"/>
    <w:bookmarkEnd w:id="100"/>
    <w:p>
      <w:pPr>
        <w:ind w:right="200"/>
        <w:spacing w:after="0" w:line="264" w:lineRule="auto"/>
        <w:rPr>
          <w:sz w:val="20"/>
          <w:szCs w:val="20"/>
          <w:color w:val="auto"/>
        </w:rPr>
      </w:pPr>
      <w:r>
        <w:rPr>
          <w:rFonts w:ascii="Arial" w:cs="Arial" w:eastAsia="Arial" w:hAnsi="Arial"/>
          <w:sz w:val="20"/>
          <w:szCs w:val="20"/>
          <w:i w:val="1"/>
          <w:iCs w:val="1"/>
          <w:color w:val="auto"/>
        </w:rPr>
        <w:t>Stockholder Meetings</w:t>
      </w:r>
      <w:r>
        <w:rPr>
          <w:rFonts w:ascii="Arial" w:cs="Arial" w:eastAsia="Arial" w:hAnsi="Arial"/>
          <w:sz w:val="20"/>
          <w:szCs w:val="20"/>
          <w:color w:val="auto"/>
        </w:rPr>
        <w:t>. The Certificate of Incorporation and the Bylaws provide that a special meeting of stockholders may be</w:t>
      </w:r>
      <w:r>
        <w:rPr>
          <w:rFonts w:ascii="Arial" w:cs="Arial" w:eastAsia="Arial" w:hAnsi="Arial"/>
          <w:sz w:val="20"/>
          <w:szCs w:val="20"/>
          <w:i w:val="1"/>
          <w:iCs w:val="1"/>
          <w:color w:val="auto"/>
        </w:rPr>
        <w:t xml:space="preserve"> </w:t>
      </w:r>
      <w:r>
        <w:rPr>
          <w:rFonts w:ascii="Arial" w:cs="Arial" w:eastAsia="Arial" w:hAnsi="Arial"/>
          <w:sz w:val="20"/>
          <w:szCs w:val="20"/>
          <w:color w:val="auto"/>
        </w:rPr>
        <w:t>called only by the Board, the chairperson of the Board, chief executive officer or president (in the absence of a chief executive officer), thus prohibiting a stockholder (in the capacity as a stockholder) from calling a special meeting. These provisions might delay the ability of the stockholders to force consideration of a proposal or for stockholders controlling a majority of the capital stock to take any action, including the removal of directors.</w:t>
      </w:r>
    </w:p>
    <w:p>
      <w:pPr>
        <w:spacing w:after="0" w:line="164" w:lineRule="exact"/>
        <w:rPr>
          <w:sz w:val="20"/>
          <w:szCs w:val="20"/>
          <w:color w:val="auto"/>
        </w:rPr>
      </w:pPr>
    </w:p>
    <w:p>
      <w:pPr>
        <w:ind w:right="80"/>
        <w:spacing w:after="0" w:line="237" w:lineRule="auto"/>
        <w:rPr>
          <w:sz w:val="20"/>
          <w:szCs w:val="20"/>
          <w:color w:val="auto"/>
        </w:rPr>
      </w:pPr>
      <w:r>
        <w:rPr>
          <w:rFonts w:ascii="Arial" w:cs="Arial" w:eastAsia="Arial" w:hAnsi="Arial"/>
          <w:sz w:val="22"/>
          <w:szCs w:val="22"/>
          <w:i w:val="1"/>
          <w:iCs w:val="1"/>
          <w:color w:val="auto"/>
        </w:rPr>
        <w:t>Elimination of Stockholder Action by Written Consent</w:t>
      </w:r>
      <w:r>
        <w:rPr>
          <w:rFonts w:ascii="Arial" w:cs="Arial" w:eastAsia="Arial" w:hAnsi="Arial"/>
          <w:sz w:val="22"/>
          <w:szCs w:val="22"/>
          <w:color w:val="auto"/>
        </w:rPr>
        <w:t>. The Certificate of Incorporation and the Bylaws eliminate the right of</w:t>
      </w:r>
      <w:r>
        <w:rPr>
          <w:rFonts w:ascii="Arial" w:cs="Arial" w:eastAsia="Arial" w:hAnsi="Arial"/>
          <w:sz w:val="22"/>
          <w:szCs w:val="22"/>
          <w:i w:val="1"/>
          <w:iCs w:val="1"/>
          <w:color w:val="auto"/>
        </w:rPr>
        <w:t xml:space="preserve"> </w:t>
      </w:r>
      <w:r>
        <w:rPr>
          <w:rFonts w:ascii="Arial" w:cs="Arial" w:eastAsia="Arial" w:hAnsi="Arial"/>
          <w:sz w:val="22"/>
          <w:szCs w:val="22"/>
          <w:color w:val="auto"/>
        </w:rPr>
        <w:t>stockholders to act by written consent without a meeting. As a result, a holder controlling a majority of the capital stock would not be able to amend the Bylaws or remove directors without holding a meeting of the stockholders called in accordance with the Bylaws.</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Advance Notice Requirements for Stockholder Proposals and Director Nominations. </w:t>
      </w:r>
      <w:r>
        <w:rPr>
          <w:rFonts w:ascii="Arial" w:cs="Arial" w:eastAsia="Arial" w:hAnsi="Arial"/>
          <w:sz w:val="20"/>
          <w:szCs w:val="20"/>
          <w:color w:val="auto"/>
        </w:rPr>
        <w:t>The Bylaws establish advance notice</w:t>
      </w:r>
      <w:r>
        <w:rPr>
          <w:rFonts w:ascii="Arial" w:cs="Arial" w:eastAsia="Arial" w:hAnsi="Arial"/>
          <w:sz w:val="20"/>
          <w:szCs w:val="20"/>
          <w:i w:val="1"/>
          <w:iCs w:val="1"/>
          <w:color w:val="auto"/>
        </w:rPr>
        <w:t xml:space="preserve"> </w:t>
      </w:r>
      <w:r>
        <w:rPr>
          <w:rFonts w:ascii="Arial" w:cs="Arial" w:eastAsia="Arial" w:hAnsi="Arial"/>
          <w:sz w:val="20"/>
          <w:szCs w:val="20"/>
          <w:color w:val="auto"/>
        </w:rPr>
        <w:t>procedures with respect to stockholder proposals to be brought before a stockholder meeting and the nomination of candidates for election as directors. The Bylaws also specify certain requirements regarding the form and content of a stockholder’s notice. These provisions might preclude the stockholders from bringing matters before an annual meeting of stockholders or from making nominations for directors at an annual meeting of stockholders if the proper procedures are not followed. The Company expects that these provisions may also discourage or deter a potential acquirer from conducting a solicitation of proxies to elect the acquirer’s own slate of directors or otherwise attempting to obtain control of the Company.</w:t>
      </w:r>
    </w:p>
    <w:p>
      <w:pPr>
        <w:spacing w:after="0" w:line="171" w:lineRule="exact"/>
        <w:rPr>
          <w:sz w:val="20"/>
          <w:szCs w:val="20"/>
          <w:color w:val="auto"/>
        </w:rPr>
      </w:pPr>
    </w:p>
    <w:p>
      <w:pPr>
        <w:ind w:right="40"/>
        <w:spacing w:after="0" w:line="237" w:lineRule="auto"/>
        <w:rPr>
          <w:sz w:val="20"/>
          <w:szCs w:val="20"/>
          <w:color w:val="auto"/>
        </w:rPr>
      </w:pPr>
      <w:r>
        <w:rPr>
          <w:rFonts w:ascii="Arial" w:cs="Arial" w:eastAsia="Arial" w:hAnsi="Arial"/>
          <w:sz w:val="22"/>
          <w:szCs w:val="22"/>
          <w:i w:val="1"/>
          <w:iCs w:val="1"/>
          <w:color w:val="auto"/>
        </w:rPr>
        <w:t>No Cumulative Voting</w:t>
      </w:r>
      <w:r>
        <w:rPr>
          <w:rFonts w:ascii="Arial" w:cs="Arial" w:eastAsia="Arial" w:hAnsi="Arial"/>
          <w:sz w:val="22"/>
          <w:szCs w:val="22"/>
          <w:color w:val="auto"/>
        </w:rPr>
        <w:t>. The Certificate of Incorporation does not permit stockholders to cumulate their votes in the election of</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directors. Accordingly, the holders of a majority of the outstanding shares of Common Stock entitled to vote in any election of directors can elect all of the directors standing for election, if they choose, other than any directors that holders of Preferred Stock may be entitled to elect.</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Directors Removed Only for Cause</w:t>
      </w:r>
      <w:r>
        <w:rPr>
          <w:rFonts w:ascii="Arial" w:cs="Arial" w:eastAsia="Arial" w:hAnsi="Arial"/>
          <w:sz w:val="22"/>
          <w:szCs w:val="22"/>
          <w:color w:val="auto"/>
        </w:rPr>
        <w:t>. The Certificate of Incorporation and the Bylaws provide that no member of the Board may be</w:t>
      </w:r>
      <w:r>
        <w:rPr>
          <w:rFonts w:ascii="Arial" w:cs="Arial" w:eastAsia="Arial" w:hAnsi="Arial"/>
          <w:sz w:val="22"/>
          <w:szCs w:val="22"/>
          <w:i w:val="1"/>
          <w:iCs w:val="1"/>
          <w:color w:val="auto"/>
        </w:rPr>
        <w:t xml:space="preserve"> </w:t>
      </w:r>
      <w:r>
        <w:rPr>
          <w:rFonts w:ascii="Arial" w:cs="Arial" w:eastAsia="Arial" w:hAnsi="Arial"/>
          <w:sz w:val="22"/>
          <w:szCs w:val="22"/>
          <w:color w:val="auto"/>
        </w:rPr>
        <w:t>removed from office by the stockholders except for cause and upon the approval of not less than two-thirds in voting power of the outstanding shares of capital stock then entitled to vote in the election of directors.</w:t>
      </w:r>
    </w:p>
    <w:p>
      <w:pPr>
        <w:spacing w:after="0" w:line="185"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i w:val="1"/>
          <w:iCs w:val="1"/>
          <w:color w:val="auto"/>
        </w:rPr>
        <w:t>Issuance of Undesignated Preferred Stock</w:t>
      </w:r>
      <w:r>
        <w:rPr>
          <w:rFonts w:ascii="Arial" w:cs="Arial" w:eastAsia="Arial" w:hAnsi="Arial"/>
          <w:sz w:val="22"/>
          <w:szCs w:val="22"/>
          <w:color w:val="auto"/>
        </w:rPr>
        <w:t>. The ability of the Board, without action by the stockholders, to issue up to 10,000,000</w:t>
      </w:r>
      <w:r>
        <w:rPr>
          <w:rFonts w:ascii="Arial" w:cs="Arial" w:eastAsia="Arial" w:hAnsi="Arial"/>
          <w:sz w:val="22"/>
          <w:szCs w:val="22"/>
          <w:i w:val="1"/>
          <w:iCs w:val="1"/>
          <w:color w:val="auto"/>
        </w:rPr>
        <w:t xml:space="preserve"> </w:t>
      </w:r>
      <w:r>
        <w:rPr>
          <w:rFonts w:ascii="Arial" w:cs="Arial" w:eastAsia="Arial" w:hAnsi="Arial"/>
          <w:sz w:val="22"/>
          <w:szCs w:val="22"/>
          <w:color w:val="auto"/>
        </w:rPr>
        <w:t>shares of undesignated Preferred Stock with voting or other rights or preferences as designated by the Board could impede the success of any attempt to change control of the Company. This may have the effect of deferring hostile takeovers or delaying changes in control or management of the Company.</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20"/>
          <w:szCs w:val="20"/>
          <w:i w:val="1"/>
          <w:iCs w:val="1"/>
          <w:color w:val="auto"/>
        </w:rPr>
        <w:t>Amendment of Charter Provisions</w:t>
      </w:r>
      <w:r>
        <w:rPr>
          <w:rFonts w:ascii="Arial" w:cs="Arial" w:eastAsia="Arial" w:hAnsi="Arial"/>
          <w:sz w:val="20"/>
          <w:szCs w:val="20"/>
          <w:color w:val="auto"/>
        </w:rPr>
        <w:t>. The amendment of any of the above provisions, except for the provisions making it possible</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Board to issue Preferred Stock or for the stockholders to cumulate their votes, require approval by holders of at least two-thirds of the total voting power of all of the outstanding voting stock. The provisions of the DGCL, the Certificate of Incorporation and the Bylaws could have the effect of discouraging others from attempting hostile takeovers and, as a consequence, they may also inhibit temporary fluctuations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1" w:name="page102"/>
    <w:bookmarkEnd w:id="101"/>
    <w:p>
      <w:pPr>
        <w:spacing w:after="0" w:line="276" w:lineRule="auto"/>
        <w:rPr>
          <w:sz w:val="20"/>
          <w:szCs w:val="20"/>
          <w:color w:val="auto"/>
        </w:rPr>
      </w:pPr>
      <w:r>
        <w:rPr>
          <w:rFonts w:ascii="Arial" w:cs="Arial" w:eastAsia="Arial" w:hAnsi="Arial"/>
          <w:sz w:val="20"/>
          <w:szCs w:val="20"/>
          <w:color w:val="auto"/>
        </w:rPr>
        <w:t>market price of the Common Stock that often result from actual or rumored hostile takeover attempts. These provisions may also have the effect of preventing changes in the composition of the Board. It is possible that these provisions could make it more difficult to accomplish transactions that stockholders may otherwise deem to be in their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1" w:right="4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17145</wp:posOffset>
            </wp:positionV>
            <wp:extent cx="864870" cy="8648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7">
                      <a:extLst>
                        <a:ext uri="{28A0092B-C50C-407E-A947-70E740481C1C}"/>
                      </a:extLst>
                    </a:blip>
                    <a:srcRect/>
                    <a:stretch>
                      <a:fillRect/>
                    </a:stretch>
                  </pic:blipFill>
                  <pic:spPr bwMode="auto">
                    <a:xfrm>
                      <a:off x="0" y="0"/>
                      <a:ext cx="864870"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January 22, 2023</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Yaniv Sarig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(via email only to </w:t>
      </w:r>
      <w:r>
        <w:rPr>
          <w:rFonts w:ascii="Arial" w:cs="Arial" w:eastAsia="Arial" w:hAnsi="Arial"/>
          <w:sz w:val="22"/>
          <w:szCs w:val="22"/>
          <w:color w:val="0563C1"/>
        </w:rPr>
        <w:t>yaniv@aterian.io</w:t>
      </w:r>
      <w:r>
        <w:rPr>
          <w:rFonts w:ascii="Arial" w:cs="Arial" w:eastAsia="Arial" w:hAnsi="Arial"/>
          <w:sz w:val="22"/>
          <w:szCs w:val="22"/>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Re: Amendments to your Employment Agreement</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Dear Yaniv,</w:t>
      </w:r>
    </w:p>
    <w:p>
      <w:pPr>
        <w:spacing w:after="0" w:line="232" w:lineRule="exact"/>
        <w:rPr>
          <w:sz w:val="20"/>
          <w:szCs w:val="20"/>
          <w:color w:val="auto"/>
        </w:rPr>
      </w:pPr>
    </w:p>
    <w:p>
      <w:pPr>
        <w:ind w:right="340"/>
        <w:spacing w:after="0" w:line="327" w:lineRule="auto"/>
        <w:rPr>
          <w:sz w:val="20"/>
          <w:szCs w:val="20"/>
          <w:color w:val="auto"/>
        </w:rPr>
      </w:pPr>
      <w:r>
        <w:rPr>
          <w:rFonts w:ascii="Arial" w:cs="Arial" w:eastAsia="Arial" w:hAnsi="Arial"/>
          <w:sz w:val="19"/>
          <w:szCs w:val="19"/>
          <w:color w:val="auto"/>
        </w:rPr>
        <w:t>This will amend your employment arrangements with Aterian, Inc. (the “Company”) as set forth in that letter agreement dated April 1, 2015 between you and the Company, as amended from time to time (collectively, the “Employment Agreement”).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We agree that, beginning January 19, 2023, your annual salary will be as follows:</w:t>
      </w:r>
    </w:p>
    <w:p>
      <w:pPr>
        <w:spacing w:after="0" w:line="226" w:lineRule="exact"/>
        <w:rPr>
          <w:sz w:val="20"/>
          <w:szCs w:val="20"/>
          <w:color w:val="auto"/>
        </w:rPr>
      </w:pPr>
    </w:p>
    <w:p>
      <w:pPr>
        <w:ind w:right="120"/>
        <w:spacing w:after="0" w:line="263" w:lineRule="auto"/>
        <w:rPr>
          <w:sz w:val="20"/>
          <w:szCs w:val="20"/>
          <w:color w:val="auto"/>
        </w:rPr>
      </w:pPr>
      <w:r>
        <w:rPr>
          <w:rFonts w:ascii="Arial" w:cs="Arial" w:eastAsia="Arial" w:hAnsi="Arial"/>
          <w:sz w:val="20"/>
          <w:szCs w:val="20"/>
          <w:b w:val="1"/>
          <w:bCs w:val="1"/>
          <w:color w:val="auto"/>
        </w:rPr>
        <w:t>Annual Salary</w:t>
      </w:r>
      <w:r>
        <w:rPr>
          <w:rFonts w:ascii="Arial" w:cs="Arial" w:eastAsia="Arial" w:hAnsi="Arial"/>
          <w:sz w:val="20"/>
          <w:szCs w:val="20"/>
          <w:color w:val="auto"/>
        </w:rPr>
        <w:t>: $350,000. Your salary will be split between $60,000 in cash and the remaining $290,000 shall be paid in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of the Company (the “Shares”). 333,104 Shares shall be issued, at $0.87 per share which represents the 20 day average closing price of the Company’s common stock on January 18, 2023. The Shares will be issued as of January 19, 2023 and will vest in full on January 19, 2024 (the “Vesting Date”). In the event you are terminated without cause prior to the Vesting Date, you will be entitled to vesting of a pro rata portion of the Shares as of the date of your termination. The Shares will be issued under the Company’s Amended and Restated 2018 Equity Incentive Plan.</w:t>
      </w:r>
    </w:p>
    <w:p>
      <w:pPr>
        <w:spacing w:after="0" w:line="19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 xml:space="preserve">For purposes of your employment, </w:t>
      </w:r>
      <w:r>
        <w:rPr>
          <w:rFonts w:ascii="Arial" w:cs="Arial" w:eastAsia="Arial" w:hAnsi="Arial"/>
          <w:sz w:val="19"/>
          <w:szCs w:val="19"/>
          <w:color w:val="auto"/>
        </w:rPr>
        <w:t>“</w:t>
      </w:r>
      <w:r>
        <w:rPr>
          <w:rFonts w:ascii="Arial" w:cs="Arial" w:eastAsia="Arial" w:hAnsi="Arial"/>
          <w:sz w:val="22"/>
          <w:szCs w:val="22"/>
          <w:color w:val="auto"/>
        </w:rPr>
        <w:t>Cause” shall mean one or more of the following, as determined in the reasonable discretion of the Board of Directors of the Company (the “Board”):</w:t>
      </w:r>
    </w:p>
    <w:p>
      <w:pPr>
        <w:spacing w:after="0" w:line="201" w:lineRule="exact"/>
        <w:rPr>
          <w:sz w:val="20"/>
          <w:szCs w:val="20"/>
          <w:color w:val="auto"/>
        </w:rPr>
      </w:pPr>
    </w:p>
    <w:p>
      <w:pPr>
        <w:ind w:left="760" w:right="720" w:hanging="378"/>
        <w:spacing w:after="0" w:line="238" w:lineRule="auto"/>
        <w:tabs>
          <w:tab w:leader="none" w:pos="7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material breach of the Proprietary Information and Inventions Agreement between you and the Company, as determined in the sole discretion of the Board;</w:t>
      </w:r>
    </w:p>
    <w:p>
      <w:pPr>
        <w:spacing w:after="0" w:line="1" w:lineRule="exact"/>
        <w:rPr>
          <w:rFonts w:ascii="Arial" w:cs="Arial" w:eastAsia="Arial" w:hAnsi="Arial"/>
          <w:sz w:val="22"/>
          <w:szCs w:val="22"/>
          <w:color w:val="auto"/>
        </w:rPr>
      </w:pPr>
    </w:p>
    <w:p>
      <w:pPr>
        <w:jc w:val="both"/>
        <w:ind w:left="760" w:right="220" w:hanging="378"/>
        <w:spacing w:after="0" w:line="230" w:lineRule="auto"/>
        <w:tabs>
          <w:tab w:leader="none" w:pos="7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Conviction of, or a plea of “guilty” or “no contest” to a felony, or a plea of “guilty” or “no contest” to a lesser included offense in exchange for withdrawal of a felony indictment or felony charge by indictment, in each case whether arising under the laws of the United States or any state thereof;</w:t>
      </w:r>
    </w:p>
    <w:p>
      <w:pPr>
        <w:ind w:left="760" w:hanging="378"/>
        <w:spacing w:after="0" w:line="230" w:lineRule="auto"/>
        <w:tabs>
          <w:tab w:leader="none" w:pos="7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gross or willful misconduct, dishonesty or fraud in performance of your duties;</w:t>
      </w:r>
    </w:p>
    <w:p>
      <w:pPr>
        <w:ind w:left="760" w:hanging="378"/>
        <w:spacing w:after="0"/>
        <w:tabs>
          <w:tab w:leader="none" w:pos="7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Failure to satisfactorily meet the material duties and obligations of your employment resulting from your bad faith;</w:t>
      </w:r>
    </w:p>
    <w:p>
      <w:pPr>
        <w:spacing w:after="0" w:line="12" w:lineRule="exact"/>
        <w:rPr>
          <w:rFonts w:ascii="Arial" w:cs="Arial" w:eastAsia="Arial" w:hAnsi="Arial"/>
          <w:sz w:val="20"/>
          <w:szCs w:val="20"/>
          <w:color w:val="auto"/>
        </w:rPr>
      </w:pPr>
    </w:p>
    <w:p>
      <w:pPr>
        <w:ind w:left="760" w:right="460" w:hanging="378"/>
        <w:spacing w:after="0" w:line="236" w:lineRule="auto"/>
        <w:tabs>
          <w:tab w:leader="none" w:pos="7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Violations of applicable policies, laws, rules or regulations that expose the Company to public disgrace or disrepute, material damages or material liability;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left="760" w:hanging="378"/>
        <w:spacing w:after="0"/>
        <w:tabs>
          <w:tab w:leader="none" w:pos="7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Material breach by you of your employment agreement, any ancillary agreement, or any other Company policy.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All other terms of the Employment Agreement, including bonus and any other compensatory arrangements, shall remain unchanged and in full force and effect.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Aterian, Inc.</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/s/Arturo Rodriguez</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Arturo Rodriguez, Chief Financial Officer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/s/Yaniv Sarig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361" w:right="11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600" w:type="dxa"/>
            <w:vAlign w:val="bottom"/>
            <w:gridSpan w:val="3"/>
          </w:tcPr>
          <w:p>
            <w:pPr>
              <w:ind w:left="640"/>
              <w:spacing w:after="0"/>
              <w:rPr>
                <w:sz w:val="20"/>
                <w:szCs w:val="20"/>
                <w:color w:val="auto"/>
              </w:rPr>
            </w:pPr>
            <w:r>
              <w:rPr>
                <w:rFonts w:ascii="Arial" w:cs="Arial" w:eastAsia="Arial" w:hAnsi="Arial"/>
                <w:sz w:val="18"/>
                <w:szCs w:val="18"/>
                <w:b w:val="1"/>
                <w:bCs w:val="1"/>
                <w:color w:val="auto"/>
              </w:rPr>
              <w:t>List of Subsidiaries of Aterian, Inc.</w:t>
            </w:r>
          </w:p>
        </w:tc>
      </w:tr>
      <w:tr>
        <w:trPr>
          <w:trHeight w:val="406"/>
        </w:trPr>
        <w:tc>
          <w:tcPr>
            <w:tcW w:w="20" w:type="dxa"/>
            <w:vAlign w:val="bottom"/>
          </w:tcPr>
          <w:p>
            <w:pPr>
              <w:spacing w:after="0"/>
              <w:rPr>
                <w:sz w:val="24"/>
                <w:szCs w:val="24"/>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4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Jurisdiction</w:t>
            </w:r>
          </w:p>
        </w:tc>
      </w:tr>
      <w:tr>
        <w:trPr>
          <w:trHeight w:val="217"/>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Aterian Group, Inc.</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2"/>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Xtava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Sunlabz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RIF6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Vremi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hOmelabs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Vidazen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Urban Source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ZephyrBeauty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Discocart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Vueti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Punched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SweetHomeDealz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KitchenVox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Exorider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Kinetic Wave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3GirlsFromNY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ChicAlley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BoxWhale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Aussie Health Co,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Truweo,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Spiralizer,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PurSteam,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Products for Change,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Pohl &amp; Schmidt,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Mueller Austria,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Maison Contempo,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KNDirect,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Commerce Planet,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Chromatic Jammer,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Trucom,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Posture Products,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Rencare,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Kitchen Products,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Healing Solutions (Remedy)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First Hour Commerce (Remedy)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Model Trading Company (Remedy)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Choice Product Selection (Remedy)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Finest Screen (Remedy)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Sari Foods,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Squatty Potty USA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Photo Paper Direct, LLC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Photo Paper Direct Limited</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Mohawk Innovations Limited</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Shenzhen Mohawk Technology Ltd. Co.</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Mohawk Innovations Canada Inc.</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Mohawk Group Poland Sp. z.o.o.</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Mohawk Research &amp; Development Ltd.</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Mohawk Group Inc. Philippines Branch</w:t>
            </w:r>
          </w:p>
        </w:tc>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Philippines</w:t>
            </w:r>
          </w:p>
        </w:tc>
      </w:tr>
      <w:tr>
        <w:trPr>
          <w:trHeight w:val="1261"/>
        </w:trPr>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333- 239614 on Form S-3 and Registration Statement Nos. 333-23087, 333-251295, 333-256612, 333-263906, 333-265298 on Form S-8 of our report dated March 16, 2023, relating to the consolidated financial statements of Aterian, Inc. and subsidiaries appearing in this Annual Report on Form 10-K for the year ended December 31,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FINANCIAL EXECUTIVE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 Yaniv Sarig, certify that:</w:t>
      </w:r>
    </w:p>
    <w:p>
      <w:pPr>
        <w:spacing w:after="0" w:line="90" w:lineRule="exact"/>
        <w:rPr>
          <w:sz w:val="20"/>
          <w:szCs w:val="20"/>
          <w:color w:val="auto"/>
        </w:rPr>
      </w:pPr>
    </w:p>
    <w:p>
      <w:pPr>
        <w:ind w:left="660" w:hanging="174"/>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Aterian, Inc.;</w:t>
      </w:r>
    </w:p>
    <w:p>
      <w:pPr>
        <w:spacing w:after="0" w:line="89" w:lineRule="exact"/>
        <w:rPr>
          <w:rFonts w:ascii="Arial" w:cs="Arial" w:eastAsia="Arial" w:hAnsi="Arial"/>
          <w:sz w:val="18"/>
          <w:szCs w:val="18"/>
          <w:color w:val="auto"/>
        </w:rPr>
      </w:pPr>
    </w:p>
    <w:p>
      <w:pPr>
        <w:ind w:left="480" w:right="120" w:firstLine="6"/>
        <w:spacing w:after="0" w:line="263"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480" w:right="80" w:firstLine="6"/>
        <w:spacing w:after="0" w:line="307" w:lineRule="auto"/>
        <w:tabs>
          <w:tab w:leader="none" w:pos="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7"/>
          <w:szCs w:val="17"/>
          <w:color w:val="auto"/>
        </w:rPr>
      </w:pPr>
    </w:p>
    <w:p>
      <w:pPr>
        <w:ind w:left="480" w:right="320" w:firstLine="6"/>
        <w:spacing w:after="0" w:line="263"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960" w:right="100" w:firstLine="6"/>
        <w:spacing w:after="0" w:line="263" w:lineRule="auto"/>
        <w:tabs>
          <w:tab w:leader="none" w:pos="1130" w:val="left"/>
        </w:tabs>
        <w:numPr>
          <w:ilvl w:val="2"/>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ind w:left="960" w:right="300" w:firstLine="6"/>
        <w:spacing w:after="0" w:line="263" w:lineRule="auto"/>
        <w:tabs>
          <w:tab w:leader="none" w:pos="11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960" w:right="420" w:firstLine="6"/>
        <w:spacing w:after="0" w:line="334" w:lineRule="auto"/>
        <w:tabs>
          <w:tab w:leader="none" w:pos="1130" w:val="left"/>
        </w:tabs>
        <w:numPr>
          <w:ilvl w:val="2"/>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0" w:right="80" w:firstLine="6"/>
        <w:spacing w:after="0" w:line="263" w:lineRule="auto"/>
        <w:tabs>
          <w:tab w:leader="none" w:pos="11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480" w:firstLine="6"/>
        <w:spacing w:after="0" w:line="307" w:lineRule="auto"/>
        <w:tabs>
          <w:tab w:leader="none" w:pos="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rFonts w:ascii="Arial" w:cs="Arial" w:eastAsia="Arial" w:hAnsi="Arial"/>
          <w:sz w:val="17"/>
          <w:szCs w:val="17"/>
          <w:color w:val="auto"/>
        </w:rPr>
      </w:pPr>
    </w:p>
    <w:p>
      <w:pPr>
        <w:ind w:left="960" w:right="640" w:firstLine="6"/>
        <w:spacing w:after="0" w:line="341" w:lineRule="auto"/>
        <w:tabs>
          <w:tab w:leader="none" w:pos="1130" w:val="left"/>
        </w:tabs>
        <w:numPr>
          <w:ilvl w:val="2"/>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Arial" w:cs="Arial" w:eastAsia="Arial" w:hAnsi="Arial"/>
          <w:sz w:val="16"/>
          <w:szCs w:val="16"/>
          <w:color w:val="auto"/>
        </w:rPr>
      </w:pPr>
    </w:p>
    <w:p>
      <w:pPr>
        <w:ind w:right="360" w:firstLine="8"/>
        <w:spacing w:after="0" w:line="277"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2023</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937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3">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Yaniv Sarig</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FINANCIAL EXECUTIVE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 Arturo Rodriguez, certify that:</w:t>
      </w:r>
    </w:p>
    <w:p>
      <w:pPr>
        <w:spacing w:after="0" w:line="90" w:lineRule="exact"/>
        <w:rPr>
          <w:sz w:val="20"/>
          <w:szCs w:val="20"/>
          <w:color w:val="auto"/>
        </w:rPr>
      </w:pPr>
    </w:p>
    <w:p>
      <w:pPr>
        <w:ind w:left="660" w:hanging="174"/>
        <w:spacing w:after="0"/>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Aterian, Inc.;</w:t>
      </w:r>
    </w:p>
    <w:p>
      <w:pPr>
        <w:spacing w:after="0" w:line="89" w:lineRule="exact"/>
        <w:rPr>
          <w:rFonts w:ascii="Arial" w:cs="Arial" w:eastAsia="Arial" w:hAnsi="Arial"/>
          <w:sz w:val="18"/>
          <w:szCs w:val="18"/>
          <w:color w:val="auto"/>
        </w:rPr>
      </w:pPr>
    </w:p>
    <w:p>
      <w:pPr>
        <w:ind w:left="480" w:right="120" w:firstLine="6"/>
        <w:spacing w:after="0" w:line="263"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480" w:right="80" w:firstLine="6"/>
        <w:spacing w:after="0" w:line="307"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7"/>
          <w:szCs w:val="17"/>
          <w:color w:val="auto"/>
        </w:rPr>
      </w:pPr>
    </w:p>
    <w:p>
      <w:pPr>
        <w:ind w:left="480" w:right="320" w:firstLine="6"/>
        <w:spacing w:after="0" w:line="263"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960" w:right="100" w:firstLine="6"/>
        <w:spacing w:after="0" w:line="263" w:lineRule="auto"/>
        <w:tabs>
          <w:tab w:leader="none" w:pos="113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ind w:left="960" w:right="300" w:firstLine="6"/>
        <w:spacing w:after="0" w:line="263" w:lineRule="auto"/>
        <w:tabs>
          <w:tab w:leader="none" w:pos="11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960" w:right="420" w:firstLine="6"/>
        <w:spacing w:after="0" w:line="334" w:lineRule="auto"/>
        <w:tabs>
          <w:tab w:leader="none" w:pos="1130" w:val="left"/>
        </w:tabs>
        <w:numPr>
          <w:ilvl w:val="2"/>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0" w:right="80" w:firstLine="6"/>
        <w:spacing w:after="0" w:line="263" w:lineRule="auto"/>
        <w:tabs>
          <w:tab w:leader="none" w:pos="11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480" w:firstLine="6"/>
        <w:spacing w:after="0" w:line="307"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rFonts w:ascii="Arial" w:cs="Arial" w:eastAsia="Arial" w:hAnsi="Arial"/>
          <w:sz w:val="17"/>
          <w:szCs w:val="17"/>
          <w:color w:val="auto"/>
        </w:rPr>
      </w:pPr>
    </w:p>
    <w:p>
      <w:pPr>
        <w:ind w:left="960" w:right="640" w:firstLine="6"/>
        <w:spacing w:after="0" w:line="341" w:lineRule="auto"/>
        <w:tabs>
          <w:tab w:leader="none" w:pos="1130" w:val="left"/>
        </w:tabs>
        <w:numPr>
          <w:ilvl w:val="2"/>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Arial" w:cs="Arial" w:eastAsia="Arial" w:hAnsi="Arial"/>
          <w:sz w:val="16"/>
          <w:szCs w:val="16"/>
          <w:color w:val="auto"/>
        </w:rPr>
      </w:pPr>
    </w:p>
    <w:p>
      <w:pPr>
        <w:ind w:right="360" w:firstLine="8"/>
        <w:spacing w:after="0" w:line="277"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2023</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937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5">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Arturo Rodriguez</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jc w:val="both"/>
        <w:ind w:right="340" w:firstLine="478"/>
        <w:spacing w:after="0" w:line="263" w:lineRule="auto"/>
        <w:rPr>
          <w:sz w:val="20"/>
          <w:szCs w:val="20"/>
          <w:color w:val="auto"/>
        </w:rPr>
      </w:pPr>
      <w:r>
        <w:rPr>
          <w:rFonts w:ascii="Arial" w:cs="Arial" w:eastAsia="Arial" w:hAnsi="Arial"/>
          <w:sz w:val="18"/>
          <w:szCs w:val="18"/>
          <w:color w:val="auto"/>
        </w:rPr>
        <w:t>In connection with the Annual Report on Form 10-K of Aterian, Inc. (the “Company”) for the period ended December 31, 2022 as filed with the Securities and Exchange Commission on the date hereof (the “Report”), the undersigned hereby certify, pursuant to 18 U.S.C. Section 1350, as adopted pursuant to Section 906 of the Sarbanes-Oxley Act of 2002, to their knowledge that:</w:t>
      </w:r>
    </w:p>
    <w:p>
      <w:pPr>
        <w:spacing w:after="0" w:line="48" w:lineRule="exact"/>
        <w:rPr>
          <w:sz w:val="20"/>
          <w:szCs w:val="20"/>
          <w:color w:val="auto"/>
        </w:rPr>
      </w:pPr>
    </w:p>
    <w:p>
      <w:pPr>
        <w:ind w:left="740" w:hanging="254"/>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89" w:lineRule="exact"/>
        <w:rPr>
          <w:rFonts w:ascii="Arial" w:cs="Arial" w:eastAsia="Arial" w:hAnsi="Arial"/>
          <w:sz w:val="18"/>
          <w:szCs w:val="18"/>
          <w:color w:val="auto"/>
        </w:rPr>
      </w:pPr>
    </w:p>
    <w:p>
      <w:pPr>
        <w:ind w:left="740" w:hanging="254"/>
        <w:spacing w:after="0"/>
        <w:tabs>
          <w:tab w:leader="none" w:pos="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Yaniv Sarig</w:t>
            </w:r>
          </w:p>
        </w:tc>
        <w:tc>
          <w:tcPr>
            <w:tcW w:w="30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 Arturo Rodriguez</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Yaniv Sarig</w:t>
            </w:r>
          </w:p>
        </w:tc>
        <w:tc>
          <w:tcPr>
            <w:tcW w:w="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Arturo Rodriguez</w:t>
            </w:r>
          </w:p>
        </w:tc>
      </w:tr>
      <w:tr>
        <w:trPr>
          <w:trHeight w:val="242"/>
        </w:trPr>
        <w:tc>
          <w:tcPr>
            <w:tcW w:w="554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300" w:type="dxa"/>
            <w:vAlign w:val="bottom"/>
          </w:tcPr>
          <w:p>
            <w:pPr>
              <w:spacing w:after="0"/>
              <w:rPr>
                <w:sz w:val="21"/>
                <w:szCs w:val="21"/>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300" w:type="dxa"/>
            <w:vAlign w:val="bottom"/>
          </w:tcPr>
          <w:p>
            <w:pPr>
              <w:spacing w:after="0"/>
              <w:rPr>
                <w:sz w:val="21"/>
                <w:szCs w:val="21"/>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March 16, 2023</w:t>
            </w:r>
          </w:p>
        </w:tc>
        <w:tc>
          <w:tcPr>
            <w:tcW w:w="300" w:type="dxa"/>
            <w:vAlign w:val="bottom"/>
          </w:tcPr>
          <w:p>
            <w:pPr>
              <w:spacing w:after="0"/>
              <w:rPr>
                <w:sz w:val="21"/>
                <w:szCs w:val="21"/>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March 16, 2023</w:t>
            </w:r>
          </w:p>
        </w:tc>
      </w:tr>
    </w:tbl>
    <w:p>
      <w:pPr>
        <w:spacing w:after="0" w:line="161" w:lineRule="exact"/>
        <w:rPr>
          <w:sz w:val="20"/>
          <w:szCs w:val="20"/>
          <w:color w:val="auto"/>
        </w:rPr>
      </w:pPr>
    </w:p>
    <w:p>
      <w:pPr>
        <w:ind w:right="400" w:firstLine="47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right="100" w:firstLine="478"/>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Roman"/>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2"/>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3"/>
    </w:lvl>
  </w:abstractNum>
  <w:abstractNum w:abstractNumId="16">
    <w:nsid w:val="5577F8E1"/>
    <w:multiLevelType w:val="hybridMultilevel"/>
    <w:lvl w:ilvl="0">
      <w:lvlJc w:val="left"/>
      <w:lvlText w:val="%1."/>
      <w:numFmt w:val="decimal"/>
      <w:start w:val="4"/>
    </w:lvl>
  </w:abstractNum>
  <w:abstractNum w:abstractNumId="17">
    <w:nsid w:val="440BADFC"/>
    <w:multiLevelType w:val="hybridMultilevel"/>
    <w:lvl w:ilvl="0">
      <w:lvlJc w:val="left"/>
      <w:lvlText w:val="%1."/>
      <w:numFmt w:val="decimal"/>
      <w:start w:val="6"/>
    </w:lvl>
  </w:abstractNum>
  <w:abstractNum w:abstractNumId="18">
    <w:nsid w:val="5072367"/>
    <w:multiLevelType w:val="hybridMultilevel"/>
    <w:lvl w:ilvl="0">
      <w:lvlJc w:val="left"/>
      <w:lvlText w:val="%1."/>
      <w:numFmt w:val="decimal"/>
      <w:start w:val="7"/>
    </w:lvl>
  </w:abstractNum>
  <w:abstractNum w:abstractNumId="19">
    <w:nsid w:val="3804823E"/>
    <w:multiLevelType w:val="hybridMultilevel"/>
    <w:lvl w:ilvl="0">
      <w:lvlJc w:val="left"/>
      <w:lvlText w:val="%1."/>
      <w:numFmt w:val="decimal"/>
      <w:start w:val="8"/>
    </w:lvl>
  </w:abstractNum>
  <w:abstractNum w:abstractNumId="20">
    <w:nsid w:val="77465F01"/>
    <w:multiLevelType w:val="hybridMultilevel"/>
    <w:lvl w:ilvl="0">
      <w:lvlJc w:val="left"/>
      <w:lvlText w:val="%1."/>
      <w:numFmt w:val="decimal"/>
      <w:start w:val="9"/>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
      <w:numFmt w:val="bullet"/>
      <w:start w:val="1"/>
    </w:lvl>
    <w:lvl w:ilvl="1">
      <w:lvlJc w:val="left"/>
      <w:lvlText w:val="•"/>
      <w:numFmt w:val="bullet"/>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3"/>
    </w:lvl>
  </w:abstractNum>
  <w:abstractNum w:abstractNumId="38">
    <w:nsid w:val="4B588F54"/>
    <w:multiLevelType w:val="hybridMultilevel"/>
    <w:lvl w:ilvl="0">
      <w:lvlJc w:val="left"/>
      <w:lvlText w:val="(%1)"/>
      <w:numFmt w:val="lowerRoman"/>
      <w:start w:val="3"/>
    </w:lvl>
  </w:abstractNum>
  <w:abstractNum w:abstractNumId="39">
    <w:nsid w:val="542289EC"/>
    <w:multiLevelType w:val="hybridMultilevel"/>
    <w:lvl w:ilvl="0">
      <w:lvlJc w:val="left"/>
      <w:lvlText w:val="*"/>
      <w:numFmt w:val="bullet"/>
      <w:start w:val="1"/>
    </w:lvl>
    <w:lvl w:ilvl="1">
      <w:lvlJc w:val="left"/>
      <w:lvlText w:val="%2"/>
      <w:numFmt w:val="decimal"/>
      <w:start w:val="104"/>
    </w:lvl>
  </w:abstractNum>
  <w:abstractNum w:abstractNumId="40">
    <w:nsid w:val="6DE91B18"/>
    <w:multiLevelType w:val="hybridMultilevel"/>
    <w:lvl w:ilvl="0">
      <w:lvlJc w:val="left"/>
      <w:lvlText w:val="**"/>
      <w:numFmt w:val="bullet"/>
      <w:start w:val="1"/>
    </w:lvl>
    <w:lvl w:ilvl="1">
      <w:lvlJc w:val="left"/>
      <w:lvlText w:val="%2"/>
      <w:numFmt w:val="decimal"/>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9">
    <w:nsid w:val="79A1DEA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50">
    <w:nsid w:val="75C6C3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1">
    <w:nsid w:val="12E685FB"/>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4" Type="http://schemas.openxmlformats.org/officeDocument/2006/relationships/image" Target="media/image311.png"/><Relationship Id="rId326" Type="http://schemas.openxmlformats.org/officeDocument/2006/relationships/image" Target="media/image312.png"/><Relationship Id="rId328" Type="http://schemas.openxmlformats.org/officeDocument/2006/relationships/image" Target="media/image313.png"/><Relationship Id="rId330" Type="http://schemas.openxmlformats.org/officeDocument/2006/relationships/image" Target="media/image314.png"/><Relationship Id="rId331"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71" Type="http://schemas.openxmlformats.org/officeDocument/2006/relationships/image" Target="media/image331.png"/><Relationship Id="rId372" Type="http://schemas.openxmlformats.org/officeDocument/2006/relationships/image" Target="media/image332.png"/><Relationship Id="rId387" Type="http://schemas.openxmlformats.org/officeDocument/2006/relationships/image" Target="media/image333.png"/><Relationship Id="rId388" Type="http://schemas.openxmlformats.org/officeDocument/2006/relationships/image" Target="media/image334.png"/><Relationship Id="rId389" Type="http://schemas.openxmlformats.org/officeDocument/2006/relationships/image" Target="media/image335.png"/><Relationship Id="rId390" Type="http://schemas.openxmlformats.org/officeDocument/2006/relationships/image" Target="media/image336.png"/><Relationship Id="rId391" Type="http://schemas.openxmlformats.org/officeDocument/2006/relationships/image" Target="media/image337.png"/><Relationship Id="rId392" Type="http://schemas.openxmlformats.org/officeDocument/2006/relationships/image" Target="media/image338.png"/><Relationship Id="rId393" Type="http://schemas.openxmlformats.org/officeDocument/2006/relationships/image" Target="media/image339.png"/><Relationship Id="rId394" Type="http://schemas.openxmlformats.org/officeDocument/2006/relationships/image" Target="media/image340.png"/><Relationship Id="rId395" Type="http://schemas.openxmlformats.org/officeDocument/2006/relationships/image" Target="media/image341.png"/><Relationship Id="rId396" Type="http://schemas.openxmlformats.org/officeDocument/2006/relationships/image" Target="media/image342.png"/><Relationship Id="rId397" Type="http://schemas.openxmlformats.org/officeDocument/2006/relationships/image" Target="media/image343.png"/><Relationship Id="rId398" Type="http://schemas.openxmlformats.org/officeDocument/2006/relationships/image" Target="media/image344.png"/><Relationship Id="rId399" Type="http://schemas.openxmlformats.org/officeDocument/2006/relationships/image" Target="media/image345.png"/><Relationship Id="rId400" Type="http://schemas.openxmlformats.org/officeDocument/2006/relationships/image" Target="media/image346.png"/><Relationship Id="rId401" Type="http://schemas.openxmlformats.org/officeDocument/2006/relationships/image" Target="media/image347.png"/><Relationship Id="rId402" Type="http://schemas.openxmlformats.org/officeDocument/2006/relationships/image" Target="media/image348.png"/><Relationship Id="rId403" Type="http://schemas.openxmlformats.org/officeDocument/2006/relationships/image" Target="media/image349.png"/><Relationship Id="rId404" Type="http://schemas.openxmlformats.org/officeDocument/2006/relationships/image" Target="media/image350.png"/><Relationship Id="rId405" Type="http://schemas.openxmlformats.org/officeDocument/2006/relationships/image" Target="media/image351.png"/><Relationship Id="rId406" Type="http://schemas.openxmlformats.org/officeDocument/2006/relationships/image" Target="media/image352.png"/><Relationship Id="rId407" Type="http://schemas.openxmlformats.org/officeDocument/2006/relationships/image" Target="media/image353.jpeg"/><Relationship Id="rId408" Type="http://schemas.openxmlformats.org/officeDocument/2006/relationships/image" Target="media/image354.png"/><Relationship Id="rId409" Type="http://schemas.openxmlformats.org/officeDocument/2006/relationships/image" Target="media/image355.png"/><Relationship Id="rId410" Type="http://schemas.openxmlformats.org/officeDocument/2006/relationships/image" Target="media/image356.png"/><Relationship Id="rId411" Type="http://schemas.openxmlformats.org/officeDocument/2006/relationships/image" Target="media/image357.png"/><Relationship Id="rId412" Type="http://schemas.openxmlformats.org/officeDocument/2006/relationships/image" Target="media/image358.png"/><Relationship Id="rId413" Type="http://schemas.openxmlformats.org/officeDocument/2006/relationships/image" Target="media/image359.png"/><Relationship Id="rId414" Type="http://schemas.openxmlformats.org/officeDocument/2006/relationships/image" Target="media/image360.png"/><Relationship Id="rId415" Type="http://schemas.openxmlformats.org/officeDocument/2006/relationships/image" Target="media/image361.png"/><Relationship Id="rId416" Type="http://schemas.openxmlformats.org/officeDocument/2006/relationships/image" Target="media/image362.png"/><Relationship Id="rId417" Type="http://schemas.openxmlformats.org/officeDocument/2006/relationships/image" Target="media/image363.png"/><Relationship Id="rId303" Type="http://schemas.openxmlformats.org/officeDocument/2006/relationships/hyperlink" Target="https://www.sec.gov/Archives/edgar/data/1757715/000119312520307364/d61785dex21.htm" TargetMode="External"/><Relationship Id="rId304" Type="http://schemas.openxmlformats.org/officeDocument/2006/relationships/hyperlink" Target="https://www.sec.gov/Archives/edgar/data/1757715/000119312521026328/d101467dex21.htm" TargetMode="External"/><Relationship Id="rId309" Type="http://schemas.openxmlformats.org/officeDocument/2006/relationships/hyperlink" Target="https://www.sec.gov/Archives/edgar/data/1757715/000119312521156839/d404633dex21.htm" TargetMode="External"/><Relationship Id="rId316" Type="http://schemas.openxmlformats.org/officeDocument/2006/relationships/hyperlink" Target="https://www.sec.gov/Archives/edgar/data/1757715/000119312521156839/d404633dex22.htm" TargetMode="External"/><Relationship Id="rId320" Type="http://schemas.openxmlformats.org/officeDocument/2006/relationships/hyperlink" Target="https://www.sec.gov/Archives/edgar/data/1757715/000119312521142247/d180974dex32.htm" TargetMode="External"/><Relationship Id="rId323" Type="http://schemas.openxmlformats.org/officeDocument/2006/relationships/hyperlink" Target="https://www.sec.gov/Archives/edgar/data/1757715/000119312519173667/d826688dex31.htm" TargetMode="External"/><Relationship Id="rId325" Type="http://schemas.openxmlformats.org/officeDocument/2006/relationships/hyperlink" Target="https://www.sec.gov/Archives/edgar/data/1757715/000119312522165200/d339752dex31.htm" TargetMode="External"/><Relationship Id="rId327" Type="http://schemas.openxmlformats.org/officeDocument/2006/relationships/hyperlink" Target="https://www.sec.gov/Archives/edgar/data/1757715/000119312519157090/d639806dex41.htm" TargetMode="External"/><Relationship Id="rId329" Type="http://schemas.openxmlformats.org/officeDocument/2006/relationships/hyperlink" Target="https://www.sec.gov/Archives/edgar/data/1757715/000119312519144273/d639806dex42.htm" TargetMode="External"/><Relationship Id="rId332" Type="http://schemas.openxmlformats.org/officeDocument/2006/relationships/hyperlink" Target="https://www.sec.gov/Archives/edgar/data/1757715/000119312519144273/d639806dex43.htm" TargetMode="External"/><Relationship Id="rId335" Type="http://schemas.openxmlformats.org/officeDocument/2006/relationships/hyperlink" Target="https://www.sec.gov/Archives/edgar/data/1757715/000119312519144273/d639806dex44.htm" TargetMode="External"/><Relationship Id="rId338" Type="http://schemas.openxmlformats.org/officeDocument/2006/relationships/hyperlink" Target="https://www.sec.gov/Archives/edgar/data/1757715/000119312519144273/d639806dex45.htm" TargetMode="External"/><Relationship Id="rId341" Type="http://schemas.openxmlformats.org/officeDocument/2006/relationships/hyperlink" Target="https://www.sec.gov/Archives/edgar/data/1757715/000119312519144273/d639806dex46.htm" TargetMode="External"/><Relationship Id="rId347" Type="http://schemas.openxmlformats.org/officeDocument/2006/relationships/hyperlink" Target="https://www.sec.gov/Archives/edgar/data/1757715/000156459020052585/mwk-ex47_108.htm" TargetMode="External"/><Relationship Id="rId350" Type="http://schemas.openxmlformats.org/officeDocument/2006/relationships/hyperlink" Target="https://www.sec.gov/Archives/edgar/data/1757715/000119312521367017/d280987dex41.htm" TargetMode="External"/><Relationship Id="rId353" Type="http://schemas.openxmlformats.org/officeDocument/2006/relationships/hyperlink" Target="https://www.sec.gov/Archives/edgar/data/1757715/000119312519157090/d639806dex101.htm" TargetMode="External"/><Relationship Id="rId354" Type="http://schemas.openxmlformats.org/officeDocument/2006/relationships/hyperlink" Target="https://www.sec.gov/Archives/edgar/data/1757715/000119312519144273/d639806dex102.htm" TargetMode="External"/><Relationship Id="rId355" Type="http://schemas.openxmlformats.org/officeDocument/2006/relationships/hyperlink" Target="https://www.sec.gov/Archives/edgar/data/1757715/000119312519144273/d639806dex103.htm" TargetMode="External"/><Relationship Id="rId356" Type="http://schemas.openxmlformats.org/officeDocument/2006/relationships/hyperlink" Target="https://www.sec.gov/Archives/edgar/data/1757715/000119312519171607/d762301dex103.htm" TargetMode="External"/><Relationship Id="rId357" Type="http://schemas.openxmlformats.org/officeDocument/2006/relationships/hyperlink" Target="https://www.sec.gov/Archives/edgar/data/1757715/000119312519144273/d639806dex105.htm" TargetMode="External"/><Relationship Id="rId358" Type="http://schemas.openxmlformats.org/officeDocument/2006/relationships/hyperlink" Target="https://www.sec.gov/Archives/edgar/data/1757715/000119312519171607/d762301dex104.htm" TargetMode="External"/><Relationship Id="rId359" Type="http://schemas.openxmlformats.org/officeDocument/2006/relationships/hyperlink" Target="https://www.sec.gov/Archives/edgar/data/1757715/000119312519144273/d639806dex1017.htm" TargetMode="External"/><Relationship Id="rId360" Type="http://schemas.openxmlformats.org/officeDocument/2006/relationships/hyperlink" Target="https://www.sec.gov/Archives/edgar/data/1757715/000119312519144273/d639806dex1018.htm" TargetMode="External"/><Relationship Id="rId361" Type="http://schemas.openxmlformats.org/officeDocument/2006/relationships/hyperlink" Target="https://www.sec.gov/Archives/edgar/data/1757715/000119312519144273/d639806dex1010.htm" TargetMode="External"/><Relationship Id="rId362" Type="http://schemas.openxmlformats.org/officeDocument/2006/relationships/hyperlink" Target="https://www.sec.gov/Archives/edgar/data/1757715/000119312519144273/d639806dex1011.htm" TargetMode="External"/><Relationship Id="rId363" Type="http://schemas.openxmlformats.org/officeDocument/2006/relationships/hyperlink" Target="https://www.sec.gov/Archives/edgar/data/1757715/000119312519144273/d639806dex1014.htm" TargetMode="External"/><Relationship Id="rId364" Type="http://schemas.openxmlformats.org/officeDocument/2006/relationships/hyperlink" Target="https://www.sec.gov/Archives/edgar/data/1757715/000119312519144273/d639806dex1015.htm" TargetMode="External"/><Relationship Id="rId365" Type="http://schemas.openxmlformats.org/officeDocument/2006/relationships/hyperlink" Target="https://www.sec.gov/Archives/edgar/data/1757715/000119312519144273/d639806dex1016.htm" TargetMode="External"/><Relationship Id="rId366" Type="http://schemas.openxmlformats.org/officeDocument/2006/relationships/hyperlink" Target="https://www.sec.gov/Archives/edgar/data/1757715/000119312519144273/d639806dex1019.htm" TargetMode="External"/><Relationship Id="rId367" Type="http://schemas.openxmlformats.org/officeDocument/2006/relationships/hyperlink" Target="https://www.sec.gov/Archives/edgar/data/1757715/000119312520307364/d61785dex103.htm" TargetMode="External"/><Relationship Id="rId368" Type="http://schemas.openxmlformats.org/officeDocument/2006/relationships/hyperlink" Target="https://www.sec.gov/Archives/edgar/data/1757715/000119312520307364/d61785dex104.htm" TargetMode="External"/><Relationship Id="rId369" Type="http://schemas.openxmlformats.org/officeDocument/2006/relationships/hyperlink" Target="https://www.sec.gov/Archives/edgar/data/1757715/000119312521026328/d101467dex103.htm" TargetMode="External"/><Relationship Id="rId370" Type="http://schemas.openxmlformats.org/officeDocument/2006/relationships/hyperlink" Target="https://www.sec.gov/Archives/edgar/data/1757715/000119312521026328/d101467dex104.htm" TargetMode="External"/><Relationship Id="rId373" Type="http://schemas.openxmlformats.org/officeDocument/2006/relationships/hyperlink" Target="https://www.sec.gov/Archives/edgar/data/1757715/000119312521026328/d101467dex105.htm" TargetMode="External"/><Relationship Id="rId374" Type="http://schemas.openxmlformats.org/officeDocument/2006/relationships/hyperlink" Target="https://www.sec.gov/Archives/edgar/data/1757715/000119312521026328/d101467dex106.htm" TargetMode="External"/><Relationship Id="rId375" Type="http://schemas.openxmlformats.org/officeDocument/2006/relationships/hyperlink" Target="https://www.sec.gov/Archives/edgar/data/1757715/000119312521026328/d101467dex107.htm" TargetMode="External"/><Relationship Id="rId376" Type="http://schemas.openxmlformats.org/officeDocument/2006/relationships/hyperlink" Target="https://www.sec.gov/Archives/edgar/data/1757715/000119312521026328/d101467dex108.htm" TargetMode="External"/><Relationship Id="rId377" Type="http://schemas.openxmlformats.org/officeDocument/2006/relationships/hyperlink" Target="https://www.sec.gov/Archives/edgar/data/1757715/000119312521156839/d404633dex101.htm" TargetMode="External"/><Relationship Id="rId378" Type="http://schemas.openxmlformats.org/officeDocument/2006/relationships/hyperlink" Target="https://www.sec.gov/Archives/edgar/data/1757715/000119312521156839/d404633dex102.htm" TargetMode="External"/><Relationship Id="rId379" Type="http://schemas.openxmlformats.org/officeDocument/2006/relationships/hyperlink" Target="https://www.sec.gov/Archives/edgar/data/1757715/000119312521156839/d404633dex103.htm" TargetMode="External"/><Relationship Id="rId380" Type="http://schemas.openxmlformats.org/officeDocument/2006/relationships/hyperlink" Target="https://www.sec.gov/Archives/edgar/data/1757715/000119312521156839/d404633dex104.htm" TargetMode="External"/><Relationship Id="rId381" Type="http://schemas.openxmlformats.org/officeDocument/2006/relationships/hyperlink" Target="https://www.sec.gov/Archives/edgar/data/1757715/000119312521156839/d404633dex105.htm" TargetMode="External"/><Relationship Id="rId382" Type="http://schemas.openxmlformats.org/officeDocument/2006/relationships/hyperlink" Target="https://www.sec.gov/Archives/edgar/data/1757715/000119312521156839/d404633dex106.htm" TargetMode="External"/><Relationship Id="rId383" Type="http://schemas.openxmlformats.org/officeDocument/2006/relationships/hyperlink" Target="https://www.sec.gov/Archives/edgar/data/1757715/000119312521156839/d404633dex107.htm" TargetMode="External"/><Relationship Id="rId384" Type="http://schemas.openxmlformats.org/officeDocument/2006/relationships/hyperlink" Target="https://www.sec.gov/Archives/edgar/data/1757715/000156459021042357/ater-ex1015_89.htm" TargetMode="External"/><Relationship Id="rId385" Type="http://schemas.openxmlformats.org/officeDocument/2006/relationships/hyperlink" Target="https://www.sec.gov/Archives/edgar/data/1757715/000156459021042357/ater-ex1016_86.htm" TargetMode="External"/><Relationship Id="rId386" Type="http://schemas.openxmlformats.org/officeDocument/2006/relationships/hyperlink" Target="https://www.sec.gov/Archives/edgar/data/1757715/000119312521367017/d28098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2023-03-16T17:59:05Z</dcterms:created>
  <dcterms:modified xsi:type="dcterms:W3CDTF">2023-03-16T17:59:05Z</dcterms:modified>
</cp:coreProperties>
</file>