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2021</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4" w:lineRule="exact"/>
        <w:rPr>
          <w:sz w:val="24"/>
          <w:szCs w:val="24"/>
          <w:color w:val="auto"/>
        </w:rPr>
      </w:pPr>
    </w:p>
    <w:p>
      <w:pPr>
        <w:ind w:left="460" w:right="260" w:hanging="452"/>
        <w:spacing w:after="0" w:line="23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001-38937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Aterian,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1"/>
              </w:rPr>
              <w:t>Delaware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243"/>
              <w:spacing w:after="0"/>
              <w:rPr>
                <w:sz w:val="20"/>
                <w:szCs w:val="20"/>
                <w:color w:val="auto"/>
              </w:rPr>
            </w:pPr>
            <w:r>
              <w:rPr>
                <w:rFonts w:ascii="Arial" w:cs="Arial" w:eastAsia="Arial" w:hAnsi="Arial"/>
                <w:sz w:val="18"/>
                <w:szCs w:val="18"/>
                <w:b w:val="1"/>
                <w:bCs w:val="1"/>
                <w:color w:val="auto"/>
              </w:rPr>
              <w:t>83-1739858</w:t>
            </w:r>
          </w:p>
        </w:tc>
      </w:tr>
      <w:tr>
        <w:trPr>
          <w:trHeight w:val="148"/>
        </w:trPr>
        <w:tc>
          <w:tcPr>
            <w:tcW w:w="3940" w:type="dxa"/>
            <w:vAlign w:val="bottom"/>
          </w:tcPr>
          <w:p>
            <w:pPr>
              <w:jc w:val="center"/>
              <w:ind w:left="15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760" w:type="dxa"/>
            <w:vAlign w:val="bottom"/>
          </w:tcPr>
          <w:p>
            <w:pPr>
              <w:jc w:val="center"/>
              <w:ind w:right="1643"/>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left="1501"/>
              <w:spacing w:after="0"/>
              <w:rPr>
                <w:sz w:val="20"/>
                <w:szCs w:val="20"/>
                <w:color w:val="auto"/>
              </w:rPr>
            </w:pPr>
            <w:r>
              <w:rPr>
                <w:rFonts w:ascii="Arial" w:cs="Arial" w:eastAsia="Arial" w:hAnsi="Arial"/>
                <w:sz w:val="14"/>
                <w:szCs w:val="14"/>
                <w:b w:val="1"/>
                <w:bCs w:val="1"/>
                <w:color w:val="auto"/>
                <w:w w:val="94"/>
              </w:rPr>
              <w:t>incorporation or organization)</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tcPr>
          <w:p>
            <w:pPr>
              <w:jc w:val="center"/>
              <w:ind w:right="1663"/>
              <w:spacing w:after="0"/>
              <w:rPr>
                <w:sz w:val="20"/>
                <w:szCs w:val="20"/>
                <w:color w:val="auto"/>
              </w:rPr>
            </w:pPr>
            <w:r>
              <w:rPr>
                <w:rFonts w:ascii="Arial" w:cs="Arial" w:eastAsia="Arial" w:hAnsi="Arial"/>
                <w:sz w:val="14"/>
                <w:szCs w:val="14"/>
                <w:b w:val="1"/>
                <w:bCs w:val="1"/>
                <w:color w:val="auto"/>
                <w:w w:val="95"/>
              </w:rPr>
              <w:t>Identification Number)</w:t>
            </w:r>
          </w:p>
        </w:tc>
      </w:tr>
      <w:tr>
        <w:trPr>
          <w:trHeight w:val="250"/>
        </w:trPr>
        <w:tc>
          <w:tcPr>
            <w:tcW w:w="3940" w:type="dxa"/>
            <w:vAlign w:val="bottom"/>
          </w:tcPr>
          <w:p>
            <w:pPr>
              <w:jc w:val="center"/>
              <w:ind w:left="1521"/>
              <w:spacing w:after="0"/>
              <w:rPr>
                <w:sz w:val="20"/>
                <w:szCs w:val="20"/>
                <w:color w:val="auto"/>
              </w:rPr>
            </w:pPr>
            <w:r>
              <w:rPr>
                <w:rFonts w:ascii="Arial" w:cs="Arial" w:eastAsia="Arial" w:hAnsi="Arial"/>
                <w:sz w:val="18"/>
                <w:szCs w:val="18"/>
                <w:b w:val="1"/>
                <w:bCs w:val="1"/>
                <w:color w:val="auto"/>
                <w:w w:val="91"/>
              </w:rPr>
              <w:t>37 East 18th Street, 7th Floor</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16"/>
        </w:trPr>
        <w:tc>
          <w:tcPr>
            <w:tcW w:w="3940" w:type="dxa"/>
            <w:vAlign w:val="bottom"/>
          </w:tcPr>
          <w:p>
            <w:pPr>
              <w:jc w:val="center"/>
              <w:ind w:left="1501"/>
              <w:spacing w:after="0"/>
              <w:rPr>
                <w:sz w:val="20"/>
                <w:szCs w:val="20"/>
                <w:color w:val="auto"/>
              </w:rPr>
            </w:pPr>
            <w:r>
              <w:rPr>
                <w:rFonts w:ascii="Arial" w:cs="Arial" w:eastAsia="Arial" w:hAnsi="Arial"/>
                <w:sz w:val="18"/>
                <w:szCs w:val="18"/>
                <w:b w:val="1"/>
                <w:bCs w:val="1"/>
                <w:color w:val="auto"/>
                <w:w w:val="95"/>
              </w:rPr>
              <w:t>New York, NY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760" w:type="dxa"/>
            <w:vAlign w:val="bottom"/>
          </w:tcPr>
          <w:p>
            <w:pPr>
              <w:jc w:val="right"/>
              <w:ind w:right="2443"/>
              <w:spacing w:after="0"/>
              <w:rPr>
                <w:sz w:val="20"/>
                <w:szCs w:val="20"/>
                <w:color w:val="auto"/>
              </w:rPr>
            </w:pPr>
            <w:r>
              <w:rPr>
                <w:rFonts w:ascii="Arial" w:cs="Arial" w:eastAsia="Arial" w:hAnsi="Arial"/>
                <w:sz w:val="18"/>
                <w:szCs w:val="18"/>
                <w:b w:val="1"/>
                <w:bCs w:val="1"/>
                <w:color w:val="auto"/>
              </w:rPr>
              <w:t>10003</w:t>
            </w:r>
          </w:p>
        </w:tc>
      </w:tr>
      <w:tr>
        <w:trPr>
          <w:trHeight w:val="164"/>
        </w:trPr>
        <w:tc>
          <w:tcPr>
            <w:tcW w:w="3940" w:type="dxa"/>
            <w:vAlign w:val="bottom"/>
          </w:tcPr>
          <w:p>
            <w:pPr>
              <w:jc w:val="center"/>
              <w:ind w:left="1501"/>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760" w:type="dxa"/>
            <w:vAlign w:val="bottom"/>
          </w:tcPr>
          <w:p>
            <w:pPr>
              <w:jc w:val="center"/>
              <w:ind w:right="1663"/>
              <w:spacing w:after="0"/>
              <w:rPr>
                <w:sz w:val="20"/>
                <w:szCs w:val="20"/>
                <w:color w:val="auto"/>
              </w:rPr>
            </w:pPr>
            <w:r>
              <w:rPr>
                <w:rFonts w:ascii="Arial" w:cs="Arial" w:eastAsia="Arial" w:hAnsi="Arial"/>
                <w:sz w:val="13"/>
                <w:szCs w:val="13"/>
                <w:b w:val="1"/>
                <w:bCs w:val="1"/>
                <w:color w:val="auto"/>
                <w:w w:val="90"/>
              </w:rPr>
              <w:t>(Zip Code)</w:t>
            </w:r>
          </w:p>
        </w:tc>
      </w:tr>
      <w:tr>
        <w:trPr>
          <w:trHeight w:val="182"/>
        </w:trPr>
        <w:tc>
          <w:tcPr>
            <w:tcW w:w="3940" w:type="dxa"/>
            <w:vAlign w:val="bottom"/>
          </w:tcPr>
          <w:p>
            <w:pPr>
              <w:spacing w:after="0"/>
              <w:rPr>
                <w:sz w:val="15"/>
                <w:szCs w:val="15"/>
                <w:color w:val="auto"/>
              </w:rPr>
            </w:pPr>
          </w:p>
        </w:tc>
        <w:tc>
          <w:tcPr>
            <w:tcW w:w="28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(347) 676-1681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186"/>
        </w:trPr>
        <w:tc>
          <w:tcPr>
            <w:tcW w:w="3940" w:type="dxa"/>
            <w:vAlign w:val="bottom"/>
          </w:tcPr>
          <w:p>
            <w:pPr>
              <w:spacing w:after="0"/>
              <w:rPr>
                <w:sz w:val="16"/>
                <w:szCs w:val="16"/>
                <w:color w:val="auto"/>
              </w:rPr>
            </w:pPr>
          </w:p>
        </w:tc>
        <w:tc>
          <w:tcPr>
            <w:tcW w:w="3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760" w:type="dxa"/>
            <w:vAlign w:val="bottom"/>
          </w:tcPr>
          <w:p>
            <w:pPr>
              <w:spacing w:after="0"/>
              <w:rPr>
                <w:sz w:val="16"/>
                <w:szCs w:val="16"/>
                <w:color w:val="auto"/>
              </w:rPr>
            </w:pPr>
          </w:p>
        </w:tc>
      </w:tr>
      <w:tr>
        <w:trPr>
          <w:trHeight w:val="79"/>
        </w:trPr>
        <w:tc>
          <w:tcPr>
            <w:tcW w:w="44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760" w:type="dxa"/>
            <w:vAlign w:val="bottom"/>
          </w:tcPr>
          <w:p>
            <w:pPr>
              <w:spacing w:after="0"/>
              <w:rPr>
                <w:sz w:val="6"/>
                <w:szCs w:val="6"/>
                <w:color w:val="auto"/>
              </w:rPr>
            </w:pPr>
          </w:p>
        </w:tc>
      </w:tr>
      <w:tr>
        <w:trPr>
          <w:trHeight w:val="258"/>
        </w:trPr>
        <w:tc>
          <w:tcPr>
            <w:tcW w:w="7480" w:type="dxa"/>
            <w:vAlign w:val="bottom"/>
            <w:gridSpan w:val="8"/>
          </w:tcPr>
          <w:p>
            <w:pPr>
              <w:ind w:left="600"/>
              <w:spacing w:after="0"/>
              <w:rPr>
                <w:sz w:val="20"/>
                <w:szCs w:val="20"/>
                <w:color w:val="auto"/>
              </w:rPr>
            </w:pPr>
            <w:r>
              <w:rPr>
                <w:rFonts w:ascii="Arial" w:cs="Arial" w:eastAsia="Arial" w:hAnsi="Arial"/>
                <w:sz w:val="16"/>
                <w:szCs w:val="16"/>
                <w:color w:val="auto"/>
              </w:rPr>
              <w:t>Securities registered pursuant to Section 12(b) of the Act:</w:t>
            </w:r>
          </w:p>
        </w:tc>
        <w:tc>
          <w:tcPr>
            <w:tcW w:w="3760" w:type="dxa"/>
            <w:vAlign w:val="bottom"/>
          </w:tcPr>
          <w:p>
            <w:pPr>
              <w:spacing w:after="0"/>
              <w:rPr>
                <w:sz w:val="22"/>
                <w:szCs w:val="22"/>
                <w:color w:val="auto"/>
              </w:rPr>
            </w:pPr>
          </w:p>
        </w:tc>
      </w:tr>
      <w:tr>
        <w:trPr>
          <w:trHeight w:val="222"/>
        </w:trPr>
        <w:tc>
          <w:tcPr>
            <w:tcW w:w="3940" w:type="dxa"/>
            <w:vAlign w:val="bottom"/>
          </w:tcPr>
          <w:p>
            <w:pPr>
              <w:jc w:val="center"/>
              <w:ind w:left="381"/>
              <w:spacing w:after="0"/>
              <w:rPr>
                <w:sz w:val="20"/>
                <w:szCs w:val="20"/>
                <w:color w:val="auto"/>
              </w:rPr>
            </w:pPr>
            <w:r>
              <w:rPr>
                <w:rFonts w:ascii="Arial" w:cs="Arial" w:eastAsia="Arial" w:hAnsi="Arial"/>
                <w:sz w:val="14"/>
                <w:szCs w:val="14"/>
                <w:b w:val="1"/>
                <w:bCs w:val="1"/>
                <w:color w:val="auto"/>
                <w:w w:val="89"/>
              </w:rPr>
              <w:t>Title of each class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Pr>
          <w:p>
            <w:pPr>
              <w:jc w:val="center"/>
              <w:ind w:right="543"/>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0"/>
        </w:trPr>
        <w:tc>
          <w:tcPr>
            <w:tcW w:w="3940" w:type="dxa"/>
            <w:vAlign w:val="bottom"/>
            <w:tcBorders>
              <w:top w:val="single" w:sz="8" w:color="auto"/>
            </w:tcBorders>
          </w:tcPr>
          <w:p>
            <w:pPr>
              <w:jc w:val="center"/>
              <w:ind w:left="381"/>
              <w:spacing w:after="0"/>
              <w:rPr>
                <w:sz w:val="20"/>
                <w:szCs w:val="20"/>
                <w:color w:val="auto"/>
              </w:rPr>
            </w:pPr>
            <w:r>
              <w:rPr>
                <w:rFonts w:ascii="Arial" w:cs="Arial" w:eastAsia="Arial" w:hAnsi="Arial"/>
                <w:sz w:val="16"/>
                <w:szCs w:val="16"/>
                <w:color w:val="auto"/>
                <w:w w:val="90"/>
              </w:rPr>
              <w:t>Common Stock, $0.0001 par value per share</w:t>
            </w: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3"/>
              </w:rPr>
              <w:t>ATER</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760" w:type="dxa"/>
            <w:vAlign w:val="bottom"/>
            <w:tcBorders>
              <w:top w:val="single" w:sz="8" w:color="auto"/>
            </w:tcBorders>
          </w:tcPr>
          <w:p>
            <w:pPr>
              <w:jc w:val="center"/>
              <w:ind w:right="523"/>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4, 2021, the registrant had 35,734,767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8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8"/>
            <w:vMerge w:val="restart"/>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FINANCIAL INFORMATION</w:t>
              </w:r>
            </w:hyperlink>
          </w:p>
        </w:tc>
        <w:tc>
          <w:tcPr>
            <w:tcW w:w="6940" w:type="dxa"/>
            <w:vAlign w:val="bottom"/>
            <w:gridSpan w:val="11"/>
            <w:vMerge w:val="restart"/>
          </w:tcPr>
          <w:p>
            <w:pPr>
              <w:spacing w:after="0"/>
              <w:rPr>
                <w:sz w:val="24"/>
                <w:szCs w:val="24"/>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8"/>
            <w:vMerge w:val="continue"/>
          </w:tcPr>
          <w:p>
            <w:pPr>
              <w:spacing w:after="0"/>
              <w:rPr>
                <w:sz w:val="15"/>
                <w:szCs w:val="15"/>
                <w:color w:val="auto"/>
              </w:rPr>
            </w:pPr>
          </w:p>
        </w:tc>
        <w:tc>
          <w:tcPr>
            <w:tcW w:w="6940" w:type="dxa"/>
            <w:vAlign w:val="bottom"/>
            <w:gridSpan w:val="11"/>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26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54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Loss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w:t>
              </w:r>
            </w:hyperlink>
          </w:p>
        </w:tc>
        <w:tc>
          <w:tcPr>
            <w:tcW w:w="48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Cash Flows</w:t>
              </w:r>
            </w:hyperlink>
          </w:p>
        </w:tc>
        <w:tc>
          <w:tcPr>
            <w:tcW w:w="548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Management’s Discussion and Analysis of Financial Condition and Results of Operations</w:t>
              </w:r>
            </w:hyperlink>
          </w:p>
        </w:tc>
        <w:tc>
          <w:tcPr>
            <w:tcW w:w="2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482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Controls and Procedures</w:t>
              </w:r>
            </w:hyperlink>
          </w:p>
        </w:tc>
        <w:tc>
          <w:tcPr>
            <w:tcW w:w="740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18"/>
                <w:szCs w:val="18"/>
                <w:color w:val="auto"/>
              </w:rPr>
            </w:pPr>
          </w:p>
        </w:tc>
        <w:tc>
          <w:tcPr>
            <w:tcW w:w="7320" w:type="dxa"/>
            <w:vAlign w:val="bottom"/>
            <w:gridSpan w:val="1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1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Defaults Upon Senior Securities</w:t>
              </w:r>
            </w:hyperlink>
          </w:p>
        </w:tc>
        <w:tc>
          <w:tcPr>
            <w:tcW w:w="486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688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Other Information</w:t>
              </w:r>
            </w:hyperlink>
          </w:p>
        </w:tc>
        <w:tc>
          <w:tcPr>
            <w:tcW w:w="788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1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780" w:type="dxa"/>
            <w:vAlign w:val="bottom"/>
            <w:gridSpan w:val="17"/>
          </w:tcPr>
          <w:p>
            <w:pPr>
              <w:ind w:left="4440"/>
              <w:spacing w:after="0"/>
              <w:rPr>
                <w:sz w:val="20"/>
                <w:szCs w:val="20"/>
                <w:color w:val="auto"/>
              </w:rPr>
            </w:pPr>
            <w:r>
              <w:rPr>
                <w:rFonts w:ascii="Arial" w:cs="Arial" w:eastAsia="Arial" w:hAnsi="Arial"/>
                <w:sz w:val="18"/>
                <w:szCs w:val="18"/>
                <w:color w:val="auto"/>
              </w:rPr>
              <w:t>1</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66" w:lineRule="exact"/>
        <w:rPr>
          <w:sz w:val="20"/>
          <w:szCs w:val="20"/>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potential impact of the COVID-19 global pandemic on our business, revenue and financial condition, including our supply chain and our operations;</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4"/>
          <w:szCs w:val="14"/>
          <w:color w:val="auto"/>
        </w:rPr>
      </w:pPr>
      <w:r>
        <w:rPr>
          <w:rFonts w:ascii="Arial" w:cs="Arial" w:eastAsia="Arial" w:hAnsi="Arial"/>
          <w:sz w:val="15"/>
          <w:szCs w:val="15"/>
          <w:i w:val="1"/>
          <w:iCs w:val="1"/>
          <w:color w:val="auto"/>
        </w:rPr>
        <w:t>our expectation that consumer spending will continue to shift online, and that such shift will continue even after the COVID-19 global pandemic ends;</w:t>
      </w:r>
    </w:p>
    <w:p>
      <w:pPr>
        <w:spacing w:after="0" w:line="178" w:lineRule="exact"/>
        <w:rPr>
          <w:rFonts w:ascii="Arial" w:cs="Arial" w:eastAsia="Arial" w:hAnsi="Arial"/>
          <w:sz w:val="14"/>
          <w:szCs w:val="14"/>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future financial performance, including our revenue, costs of goods sold and operating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achieve, sustain and grow profitability;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5"/>
          <w:szCs w:val="15"/>
          <w:color w:val="auto"/>
        </w:rPr>
      </w:pPr>
      <w:r>
        <w:rPr>
          <w:rFonts w:ascii="Arial" w:cs="Arial" w:eastAsia="Arial" w:hAnsi="Arial"/>
          <w:sz w:val="16"/>
          <w:szCs w:val="16"/>
          <w:i w:val="1"/>
          <w:iCs w:val="1"/>
          <w:color w:val="auto"/>
        </w:rPr>
        <w:t>the sufficiency of our cash to meet our liquidity and operational needs and to execute our growth strategies, including potential acquisitions;</w:t>
      </w:r>
    </w:p>
    <w:p>
      <w:pPr>
        <w:spacing w:after="0" w:line="167" w:lineRule="exact"/>
        <w:rPr>
          <w:rFonts w:ascii="Arial" w:cs="Arial" w:eastAsia="Arial" w:hAnsi="Arial"/>
          <w:sz w:val="15"/>
          <w:szCs w:val="15"/>
          <w:color w:val="auto"/>
        </w:rPr>
      </w:pPr>
    </w:p>
    <w:p>
      <w:pPr>
        <w:ind w:left="880" w:hanging="373"/>
        <w:spacing w:after="0" w:line="274"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the security and availability of our technology platform, including our AIMEE (</w:t>
      </w:r>
      <w:r>
        <w:rPr>
          <w:rFonts w:ascii="Arial" w:cs="Arial" w:eastAsia="Arial" w:hAnsi="Arial"/>
          <w:sz w:val="17"/>
          <w:szCs w:val="17"/>
          <w:b w:val="1"/>
          <w:bCs w:val="1"/>
          <w:i w:val="1"/>
          <w:iCs w:val="1"/>
          <w:color w:val="auto"/>
        </w:rPr>
        <w:t>A</w:t>
      </w:r>
      <w:r>
        <w:rPr>
          <w:rFonts w:ascii="Arial" w:cs="Arial" w:eastAsia="Arial" w:hAnsi="Arial"/>
          <w:sz w:val="17"/>
          <w:szCs w:val="17"/>
          <w:i w:val="1"/>
          <w:iCs w:val="1"/>
          <w:color w:val="auto"/>
        </w:rPr>
        <w:t xml:space="preserve">rtificial </w:t>
      </w:r>
      <w:r>
        <w:rPr>
          <w:rFonts w:ascii="Arial" w:cs="Arial" w:eastAsia="Arial" w:hAnsi="Arial"/>
          <w:sz w:val="17"/>
          <w:szCs w:val="17"/>
          <w:b w:val="1"/>
          <w:bCs w:val="1"/>
          <w:i w:val="1"/>
          <w:iCs w:val="1"/>
          <w:color w:val="auto"/>
        </w:rPr>
        <w:t>I</w:t>
      </w:r>
      <w:r>
        <w:rPr>
          <w:rFonts w:ascii="Arial" w:cs="Arial" w:eastAsia="Arial" w:hAnsi="Arial"/>
          <w:sz w:val="17"/>
          <w:szCs w:val="17"/>
          <w:i w:val="1"/>
          <w:iCs w:val="1"/>
          <w:color w:val="auto"/>
        </w:rPr>
        <w:t xml:space="preserve">ntelligence </w:t>
      </w:r>
      <w:r>
        <w:rPr>
          <w:rFonts w:ascii="Arial" w:cs="Arial" w:eastAsia="Arial" w:hAnsi="Arial"/>
          <w:sz w:val="17"/>
          <w:szCs w:val="17"/>
          <w:b w:val="1"/>
          <w:bCs w:val="1"/>
          <w:i w:val="1"/>
          <w:iCs w:val="1"/>
          <w:color w:val="auto"/>
        </w:rPr>
        <w:t>M</w:t>
      </w:r>
      <w:r>
        <w:rPr>
          <w:rFonts w:ascii="Arial" w:cs="Arial" w:eastAsia="Arial" w:hAnsi="Arial"/>
          <w:sz w:val="17"/>
          <w:szCs w:val="17"/>
          <w:i w:val="1"/>
          <w:iCs w:val="1"/>
          <w:color w:val="auto"/>
        </w:rPr>
        <w:t xml:space="preserve">arketplace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 xml:space="preserve">-Commerce </w:t>
      </w:r>
      <w:r>
        <w:rPr>
          <w:rFonts w:ascii="Arial" w:cs="Arial" w:eastAsia="Arial" w:hAnsi="Arial"/>
          <w:sz w:val="17"/>
          <w:szCs w:val="17"/>
          <w:b w:val="1"/>
          <w:bCs w:val="1"/>
          <w:i w:val="1"/>
          <w:iCs w:val="1"/>
          <w:color w:val="auto"/>
        </w:rPr>
        <w:t>E</w:t>
      </w:r>
      <w:r>
        <w:rPr>
          <w:rFonts w:ascii="Arial" w:cs="Arial" w:eastAsia="Arial" w:hAnsi="Arial"/>
          <w:sz w:val="17"/>
          <w:szCs w:val="17"/>
          <w:i w:val="1"/>
          <w:iCs w:val="1"/>
          <w:color w:val="auto"/>
        </w:rPr>
        <w:t>ngine) software platform;</w:t>
      </w:r>
    </w:p>
    <w:p>
      <w:pPr>
        <w:spacing w:after="0" w:line="66"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launch new products, including our ability to successfully manage supply chain risks;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identify, complete and integrate merger and acquisition transactions;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execute and grow net revenue and profitability from sales of personal protective equipment (“PPE”);</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predictions about industry and market trends;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expand internationally;</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effectively manage our growth and future expenses;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estimated total addressable market, including for potential acquisitions;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maintain, protect and enhance our intellectual property, including our AIMEE software platform;</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comply with modified or new laws and regulations applying to our business;</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attract and retain key personnel;</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our ability to successfully defend litigation brought against us or to pursue litigation; and</w:t>
      </w:r>
    </w:p>
    <w:p>
      <w:pPr>
        <w:spacing w:after="0" w:line="155" w:lineRule="exact"/>
        <w:rPr>
          <w:rFonts w:ascii="Arial" w:cs="Arial" w:eastAsia="Arial" w:hAnsi="Arial"/>
          <w:sz w:val="16"/>
          <w:szCs w:val="16"/>
          <w:color w:val="auto"/>
        </w:rPr>
      </w:pPr>
    </w:p>
    <w:p>
      <w:pPr>
        <w:ind w:left="880" w:hanging="373"/>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7"/>
          <w:szCs w:val="17"/>
          <w:i w:val="1"/>
          <w:iCs w:val="1"/>
          <w:color w:val="auto"/>
        </w:rPr>
        <w:t>the increased expenses and obligations associated with being a public company.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caution you that the foregoing list may not contain all the forward-looking statements made in this Quarterly Report on Form 10-Q.</w:t>
      </w:r>
    </w:p>
    <w:p>
      <w:pPr>
        <w:spacing w:after="0" w:line="223"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of this Quarterly Report on Form 10-Q entitled “Risk Factors” and elsewhere in this Quarterly Report on Form 10-Q. Moreover, we operate in a highly competitive and challenging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or that the plans, intentions or expectations disclosed, in the forward-looking statements will be achieved or occur, and actual results, events or circumstances could differ materially from those expressed or implied by the forward-looking statements.</w:t>
      </w:r>
    </w:p>
    <w:p>
      <w:pPr>
        <w:spacing w:after="0" w:line="180"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i w:val="1"/>
          <w:iCs w:val="1"/>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new information or the occurrence of unanticipated events, except as required by law. Our forward-looking statements do not reflect the potential impact of any future acquisitions, mergers, dispositions, joint ventures, other strategic transactions or investments we may make or enter into.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December 31, 2020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61,934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16,263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75,514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166,427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118,619</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INTANGIBLES—net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69,115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157,454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359,063</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Credit facility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39,455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72,791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Seller notes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9,955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earn-out liability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14,812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161,686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CONTINGENT EARN-OUT LIABILITY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36,483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134,072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183,286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Common stock, par value $0.0001 per share—500,000,000 shares authorized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27,074,791 shares outstanding at December 31, 2020; 500,000,000 shares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authorized and 35,734,767 shares outstanding at June 30, 2021</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216,305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487,605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(192,935)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(311,794)</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175,777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157,454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359,063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 June 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9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32,200</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29,421</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28,275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82,092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(36,306)</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(118,859)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number of shares outstanding,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15,425,312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29,547,781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15,308,966</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27,886,582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w w:val="99"/>
              </w:rPr>
              <w:t>Three Months Ended June 30,</w:t>
            </w:r>
          </w:p>
        </w:tc>
        <w:tc>
          <w:tcPr>
            <w:tcW w:w="200" w:type="dxa"/>
            <w:vAlign w:val="bottom"/>
          </w:tcPr>
          <w:p>
            <w:pPr>
              <w:spacing w:after="0"/>
              <w:rPr>
                <w:sz w:val="14"/>
                <w:szCs w:val="14"/>
                <w:color w:val="auto"/>
              </w:rPr>
            </w:pPr>
          </w:p>
        </w:tc>
        <w:tc>
          <w:tcPr>
            <w:tcW w:w="21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(36,306)</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(118,859)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(9)</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500"/>
              <w:spacing w:after="0"/>
              <w:rPr>
                <w:sz w:val="20"/>
                <w:szCs w:val="20"/>
                <w:color w:val="auto"/>
              </w:rPr>
            </w:pPr>
            <w:r>
              <w:rPr>
                <w:rFonts w:ascii="Arial" w:cs="Arial" w:eastAsia="Arial" w:hAnsi="Arial"/>
                <w:sz w:val="18"/>
                <w:szCs w:val="18"/>
                <w:color w:val="auto"/>
              </w:rPr>
              <w:t>Other comprehensive loss</w:t>
            </w: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(17,976</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(118,905)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9"/>
              </w:rPr>
              <w:t>Three Months Ended June 30, 2020</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000" w:type="dxa"/>
            <w:vAlign w:val="bottom"/>
            <w:gridSpan w:val="4"/>
            <w:vMerge w:val="restart"/>
          </w:tcPr>
          <w:p>
            <w:pPr>
              <w:jc w:val="right"/>
              <w:ind w:right="34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Income/(Loss)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BALANCE—April 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17,763,994</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6"/>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147,777</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(144,839)</w:t>
            </w: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(2,937)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Forfeiture of 134,366 shares of restricted common stock</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(134,366)</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w w:val="99"/>
              </w:rPr>
              <w:t>Issuance of 134,364 shares of restricted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134,364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Shares of restricted common stock</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retired in connection with vesting</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BALANCE—June 30, 2020</w:t>
            </w:r>
          </w:p>
        </w:tc>
        <w:tc>
          <w:tcPr>
            <w:tcW w:w="1000" w:type="dxa"/>
            <w:vAlign w:val="bottom"/>
          </w:tcPr>
          <w:p>
            <w:pPr>
              <w:jc w:val="right"/>
              <w:spacing w:after="0"/>
              <w:rPr>
                <w:sz w:val="20"/>
                <w:szCs w:val="20"/>
                <w:color w:val="auto"/>
              </w:rPr>
            </w:pPr>
            <w:r>
              <w:rPr>
                <w:rFonts w:ascii="Arial" w:cs="Arial" w:eastAsia="Arial" w:hAnsi="Arial"/>
                <w:sz w:val="16"/>
                <w:szCs w:val="16"/>
                <w:color w:val="auto"/>
              </w:rPr>
              <w:t>17,763,164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152,948</w:t>
            </w:r>
          </w:p>
        </w:tc>
        <w:tc>
          <w:tcPr>
            <w:tcW w:w="140" w:type="dxa"/>
            <w:vAlign w:val="bottom"/>
          </w:tcPr>
          <w:p>
            <w:pPr>
              <w:spacing w:after="0"/>
              <w:rPr>
                <w:sz w:val="18"/>
                <w:szCs w:val="18"/>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(147,776)</w:t>
            </w:r>
          </w:p>
        </w:tc>
        <w:tc>
          <w:tcPr>
            <w:tcW w:w="280" w:type="dxa"/>
            <w:vAlign w:val="bottom"/>
            <w:gridSpan w:val="2"/>
          </w:tcPr>
          <w:p>
            <w:pPr>
              <w:jc w:val="right"/>
              <w:ind w:right="48"/>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48</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41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9"/>
              </w:rPr>
              <w:t>Three Months Ended June 30,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2000" w:type="dxa"/>
            <w:vAlign w:val="bottom"/>
            <w:gridSpan w:val="4"/>
            <w:vMerge w:val="restart"/>
          </w:tcPr>
          <w:p>
            <w:pPr>
              <w:jc w:val="right"/>
              <w:ind w:right="346"/>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200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1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41"/>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01"/>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BALANCE—April 1, 2021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30,590,796</w:t>
            </w:r>
          </w:p>
        </w:tc>
        <w:tc>
          <w:tcPr>
            <w:tcW w:w="1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6"/>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313,911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(275,488)</w:t>
            </w: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(36,306)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(36,306)</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warrants to High Trail</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rPr>
              <w:t>Issuance of common stock to High Trail</w:t>
            </w:r>
          </w:p>
        </w:tc>
        <w:tc>
          <w:tcPr>
            <w:tcW w:w="1000" w:type="dxa"/>
            <w:vAlign w:val="bottom"/>
          </w:tcPr>
          <w:p>
            <w:pPr>
              <w:jc w:val="right"/>
              <w:spacing w:after="0"/>
              <w:rPr>
                <w:sz w:val="20"/>
                <w:szCs w:val="20"/>
                <w:color w:val="auto"/>
              </w:rPr>
            </w:pPr>
            <w:r>
              <w:rPr>
                <w:rFonts w:ascii="Arial" w:cs="Arial" w:eastAsia="Arial" w:hAnsi="Arial"/>
                <w:sz w:val="16"/>
                <w:szCs w:val="16"/>
                <w:color w:val="auto"/>
              </w:rPr>
              <w:t>130,000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warrants to equity</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80" w:type="dxa"/>
            <w:vAlign w:val="bottom"/>
          </w:tcPr>
          <w:p>
            <w:pPr>
              <w:ind w:left="260"/>
              <w:spacing w:after="0"/>
              <w:rPr>
                <w:sz w:val="20"/>
                <w:szCs w:val="20"/>
                <w:color w:val="auto"/>
              </w:rPr>
            </w:pPr>
            <w:r>
              <w:rPr>
                <w:rFonts w:ascii="Arial" w:cs="Arial" w:eastAsia="Arial" w:hAnsi="Arial"/>
                <w:sz w:val="16"/>
                <w:szCs w:val="16"/>
                <w:color w:val="auto"/>
              </w:rPr>
              <w:t>Issuance of 2,666,667 shares of common stock net of</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Pr>
          <w:p>
            <w:pPr>
              <w:ind w:left="260"/>
              <w:spacing w:after="0"/>
              <w:rPr>
                <w:sz w:val="20"/>
                <w:szCs w:val="20"/>
                <w:color w:val="auto"/>
              </w:rPr>
            </w:pPr>
            <w:r>
              <w:rPr>
                <w:rFonts w:ascii="Arial" w:cs="Arial" w:eastAsia="Arial" w:hAnsi="Arial"/>
                <w:sz w:val="16"/>
                <w:szCs w:val="16"/>
                <w:color w:val="auto"/>
              </w:rPr>
              <w:t>professional fees and offering costs</w:t>
            </w:r>
          </w:p>
        </w:tc>
        <w:tc>
          <w:tcPr>
            <w:tcW w:w="1000" w:type="dxa"/>
            <w:vAlign w:val="bottom"/>
          </w:tcPr>
          <w:p>
            <w:pPr>
              <w:jc w:val="right"/>
              <w:spacing w:after="0"/>
              <w:rPr>
                <w:sz w:val="20"/>
                <w:szCs w:val="20"/>
                <w:color w:val="auto"/>
              </w:rPr>
            </w:pPr>
            <w:r>
              <w:rPr>
                <w:rFonts w:ascii="Arial" w:cs="Arial" w:eastAsia="Arial" w:hAnsi="Arial"/>
                <w:sz w:val="16"/>
                <w:szCs w:val="16"/>
                <w:color w:val="auto"/>
              </w:rPr>
              <w:t>2,666,667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704,548 shares of common stock in</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connection with asset purchase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704,548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w w:val="96"/>
              </w:rPr>
              <w:t>Issuance of 1,895,642 shares of restricted common stock</w:t>
            </w:r>
          </w:p>
        </w:tc>
        <w:tc>
          <w:tcPr>
            <w:tcW w:w="1000" w:type="dxa"/>
            <w:vAlign w:val="bottom"/>
          </w:tcPr>
          <w:p>
            <w:pPr>
              <w:jc w:val="right"/>
              <w:spacing w:after="0"/>
              <w:rPr>
                <w:sz w:val="20"/>
                <w:szCs w:val="20"/>
                <w:color w:val="auto"/>
              </w:rPr>
            </w:pPr>
            <w:r>
              <w:rPr>
                <w:rFonts w:ascii="Arial" w:cs="Arial" w:eastAsia="Arial" w:hAnsi="Arial"/>
                <w:sz w:val="16"/>
                <w:szCs w:val="16"/>
                <w:color w:val="auto"/>
              </w:rPr>
              <w:t>1,895,642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Issuance of common stock related to exercise of warrants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w w:val="98"/>
              </w:rPr>
              <w:t>Forfeiture of 258,971 shares of restricted common stock</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(258,971)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Cancellation of RSU issued to consultant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418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6"/>
                <w:szCs w:val="16"/>
                <w:color w:val="auto"/>
              </w:rPr>
              <w:t>BALANCE—June 30, 2021</w:t>
            </w: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18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35,734,767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60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487,605</w:t>
            </w:r>
          </w:p>
        </w:tc>
        <w:tc>
          <w:tcPr>
            <w:tcW w:w="140" w:type="dxa"/>
            <w:vAlign w:val="bottom"/>
          </w:tcPr>
          <w:p>
            <w:pPr>
              <w:spacing w:after="0"/>
              <w:rPr>
                <w:sz w:val="17"/>
                <w:szCs w:val="17"/>
                <w:color w:val="auto"/>
              </w:rPr>
            </w:pP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(311,794)</w:t>
            </w:r>
          </w:p>
        </w:tc>
        <w:tc>
          <w:tcPr>
            <w:tcW w:w="280" w:type="dxa"/>
            <w:vAlign w:val="bottom"/>
            <w:gridSpan w:val="2"/>
          </w:tcPr>
          <w:p>
            <w:pPr>
              <w:jc w:val="right"/>
              <w:ind w:right="48"/>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175,777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8"/>
          </w:tcPr>
          <w:p>
            <w:pPr>
              <w:jc w:val="right"/>
              <w:ind w:right="59"/>
              <w:spacing w:after="0"/>
              <w:rPr>
                <w:sz w:val="20"/>
                <w:szCs w:val="20"/>
                <w:color w:val="auto"/>
              </w:rPr>
            </w:pPr>
            <w:r>
              <w:rPr>
                <w:rFonts w:ascii="Arial" w:cs="Arial" w:eastAsia="Arial" w:hAnsi="Arial"/>
                <w:sz w:val="16"/>
                <w:szCs w:val="16"/>
                <w:b w:val="1"/>
                <w:bCs w:val="1"/>
                <w:color w:val="auto"/>
                <w:w w:val="88"/>
              </w:rPr>
              <w:t>Six Months Ended June 30, 2020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9"/>
              </w:rPr>
              <w:t>Accumulated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Additional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8"/>
          </w:tcPr>
          <w:p>
            <w:pPr>
              <w:ind w:left="220"/>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1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Paid-in</w:t>
            </w:r>
          </w:p>
        </w:tc>
        <w:tc>
          <w:tcPr>
            <w:tcW w:w="118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1"/>
              </w:rPr>
              <w:t>Accumulated</w:t>
            </w:r>
          </w:p>
        </w:tc>
        <w:tc>
          <w:tcPr>
            <w:tcW w:w="130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40" w:type="dxa"/>
            <w:vAlign w:val="bottom"/>
          </w:tcPr>
          <w:p>
            <w:pPr>
              <w:spacing w:after="0"/>
              <w:rPr>
                <w:sz w:val="18"/>
                <w:szCs w:val="18"/>
                <w:color w:val="auto"/>
              </w:rPr>
            </w:pPr>
          </w:p>
        </w:tc>
        <w:tc>
          <w:tcPr>
            <w:tcW w:w="114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13"/>
        </w:trPr>
        <w:tc>
          <w:tcPr>
            <w:tcW w:w="38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02"/>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95"/>
              </w:rPr>
              <w:t>Amount</w:t>
            </w: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Capital</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w w:val="98"/>
              </w:rPr>
              <w:t>Deficit</w:t>
            </w:r>
          </w:p>
        </w:tc>
        <w:tc>
          <w:tcPr>
            <w:tcW w:w="1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Income/(Loss)</w:t>
            </w:r>
          </w:p>
        </w:tc>
        <w:tc>
          <w:tcPr>
            <w:tcW w:w="180" w:type="dxa"/>
            <w:vAlign w:val="bottom"/>
            <w:tcBorders>
              <w:bottom w:val="single" w:sz="8" w:color="CFF0FC"/>
            </w:tcBorders>
            <w:gridSpan w:val="2"/>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8"/>
              </w:rPr>
              <w:t>Equity</w:t>
            </w:r>
          </w:p>
        </w:tc>
        <w:tc>
          <w:tcPr>
            <w:tcW w:w="120" w:type="dxa"/>
            <w:vAlign w:val="bottom"/>
            <w:tcBorders>
              <w:bottom w:val="single" w:sz="8" w:color="CFF0F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BALANCE—January 1, 2020</w:t>
            </w:r>
          </w:p>
        </w:tc>
        <w:tc>
          <w:tcPr>
            <w:tcW w:w="1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17,736,649</w:t>
            </w:r>
          </w:p>
        </w:tc>
        <w:tc>
          <w:tcPr>
            <w:tcW w:w="1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140,477</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w w:val="99"/>
              </w:rPr>
              <w:t>(129,809)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9"/>
              <w:spacing w:after="0"/>
              <w:rPr>
                <w:sz w:val="20"/>
                <w:szCs w:val="20"/>
                <w:color w:val="auto"/>
              </w:rPr>
            </w:pPr>
            <w:r>
              <w:rPr>
                <w:rFonts w:ascii="Arial" w:cs="Arial" w:eastAsia="Arial" w:hAnsi="Arial"/>
                <w:sz w:val="16"/>
                <w:szCs w:val="16"/>
                <w:color w:val="auto"/>
              </w:rPr>
              <w:t>(17,967)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(17,967)</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439,145 shares of</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restricted common stock on</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March 12, 2020</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439,145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Forfeiture of 371,329 shares of</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restricted common stock</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(371,329)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Forfeiture of 134,366 shares of</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restricted common stock</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(134,366)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Issuance of 134,364 shares of</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restricted common stock</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134,364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12,610</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Shares of restricted common stock</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340"/>
              <w:spacing w:after="0"/>
              <w:rPr>
                <w:sz w:val="20"/>
                <w:szCs w:val="20"/>
                <w:color w:val="auto"/>
              </w:rPr>
            </w:pPr>
            <w:r>
              <w:rPr>
                <w:rFonts w:ascii="Arial" w:cs="Arial" w:eastAsia="Arial" w:hAnsi="Arial"/>
                <w:sz w:val="16"/>
                <w:szCs w:val="16"/>
                <w:color w:val="auto"/>
              </w:rPr>
              <w:t>retired in connection with vesting</w:t>
            </w:r>
          </w:p>
        </w:tc>
        <w:tc>
          <w:tcPr>
            <w:tcW w:w="980" w:type="dxa"/>
            <w:vAlign w:val="bottom"/>
            <w:gridSpan w:val="3"/>
          </w:tcPr>
          <w:p>
            <w:pPr>
              <w:jc w:val="right"/>
              <w:ind w:right="60"/>
              <w:spacing w:after="0"/>
              <w:rPr>
                <w:sz w:val="20"/>
                <w:szCs w:val="20"/>
                <w:color w:val="auto"/>
              </w:rPr>
            </w:pPr>
            <w:r>
              <w:rPr>
                <w:rFonts w:ascii="Arial" w:cs="Arial" w:eastAsia="Arial" w:hAnsi="Arial"/>
                <w:sz w:val="16"/>
                <w:szCs w:val="16"/>
                <w:color w:val="auto"/>
              </w:rPr>
              <w:t>(41,299)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99"/>
              <w:spacing w:after="0"/>
              <w:rPr>
                <w:sz w:val="20"/>
                <w:szCs w:val="20"/>
                <w:color w:val="auto"/>
              </w:rPr>
            </w:pPr>
            <w:r>
              <w:rPr>
                <w:rFonts w:ascii="Arial" w:cs="Arial" w:eastAsia="Arial" w:hAnsi="Arial"/>
                <w:sz w:val="16"/>
                <w:szCs w:val="16"/>
                <w:color w:val="auto"/>
              </w:rPr>
              <w:t>(139)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80" w:type="dxa"/>
            <w:vAlign w:val="bottom"/>
          </w:tcPr>
          <w:p>
            <w:pPr>
              <w:spacing w:after="0"/>
              <w:rPr>
                <w:sz w:val="20"/>
                <w:szCs w:val="20"/>
                <w:color w:val="auto"/>
              </w:rPr>
            </w:pPr>
            <w:r>
              <w:rPr>
                <w:rFonts w:ascii="Arial" w:cs="Arial" w:eastAsia="Arial" w:hAnsi="Arial"/>
                <w:sz w:val="16"/>
                <w:szCs w:val="16"/>
                <w:color w:val="auto"/>
              </w:rPr>
              <w:t>BALANCE—June 30, 2020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17,763,164</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152,948</w:t>
            </w:r>
          </w:p>
        </w:tc>
        <w:tc>
          <w:tcPr>
            <w:tcW w:w="220" w:type="dxa"/>
            <w:vAlign w:val="bottom"/>
          </w:tcPr>
          <w:p>
            <w:pPr>
              <w:spacing w:after="0"/>
              <w:rPr>
                <w:sz w:val="18"/>
                <w:szCs w:val="18"/>
                <w:color w:val="auto"/>
              </w:rPr>
            </w:pPr>
          </w:p>
        </w:tc>
        <w:tc>
          <w:tcPr>
            <w:tcW w:w="22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8"/>
                <w:szCs w:val="18"/>
                <w:color w:val="auto"/>
              </w:rPr>
            </w:pPr>
          </w:p>
        </w:tc>
        <w:tc>
          <w:tcPr>
            <w:tcW w:w="820" w:type="dxa"/>
            <w:vAlign w:val="bottom"/>
            <w:gridSpan w:val="2"/>
          </w:tcPr>
          <w:p>
            <w:pPr>
              <w:jc w:val="right"/>
              <w:ind w:right="39"/>
              <w:spacing w:after="0"/>
              <w:rPr>
                <w:sz w:val="20"/>
                <w:szCs w:val="20"/>
                <w:color w:val="auto"/>
              </w:rPr>
            </w:pPr>
            <w:r>
              <w:rPr>
                <w:rFonts w:ascii="Arial" w:cs="Arial" w:eastAsia="Arial" w:hAnsi="Arial"/>
                <w:sz w:val="16"/>
                <w:szCs w:val="16"/>
                <w:color w:val="auto"/>
                <w:w w:val="99"/>
              </w:rPr>
              <w:t>(147,776)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6"/>
              </w:rPr>
              <w:t>Six Months Ended June 30, 2021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79"/>
              <w:spacing w:after="0"/>
              <w:rPr>
                <w:sz w:val="20"/>
                <w:szCs w:val="20"/>
                <w:color w:val="auto"/>
              </w:rPr>
            </w:pPr>
            <w:r>
              <w:rPr>
                <w:rFonts w:ascii="Arial" w:cs="Arial" w:eastAsia="Arial" w:hAnsi="Arial"/>
                <w:sz w:val="14"/>
                <w:szCs w:val="14"/>
                <w:b w:val="1"/>
                <w:bCs w:val="1"/>
                <w:color w:val="auto"/>
                <w:w w:val="99"/>
              </w:rPr>
              <w:t>Additional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4"/>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8"/>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7"/>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tcBorders>
              <w:bottom w:val="single" w:sz="8" w:color="auto"/>
            </w:tcBorders>
            <w:gridSpan w:val="8"/>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5"/>
        </w:trPr>
        <w:tc>
          <w:tcPr>
            <w:tcW w:w="38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179"/>
              <w:spacing w:after="0" w:line="155" w:lineRule="exact"/>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99"/>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BALANCE—January 1, 2021</w:t>
            </w: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27,074,791</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left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216,305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(192,935)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c>
          <w:tcPr>
            <w:tcW w:w="2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4"/>
          </w:tcPr>
          <w:p>
            <w:pPr>
              <w:jc w:val="right"/>
              <w:ind w:right="39"/>
              <w:spacing w:after="0"/>
              <w:rPr>
                <w:sz w:val="20"/>
                <w:szCs w:val="20"/>
                <w:color w:val="auto"/>
              </w:rPr>
            </w:pPr>
            <w:r>
              <w:rPr>
                <w:rFonts w:ascii="Arial" w:cs="Arial" w:eastAsia="Arial" w:hAnsi="Arial"/>
                <w:sz w:val="16"/>
                <w:szCs w:val="16"/>
                <w:color w:val="auto"/>
              </w:rPr>
              <w:t>(118,859)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6"/>
                <w:szCs w:val="16"/>
                <w:color w:val="auto"/>
              </w:rPr>
              <w:t>(118,859)</w:t>
            </w: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common stock upon exercise of stock</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option grants</w:t>
            </w: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978,495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8,749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Issuance of common stock related to exercise of</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warrants</w:t>
            </w: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1,047,140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40,284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common stock in connection with</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acquisition of Healing Solutions assets</w:t>
            </w: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1,387,759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39,454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Issuance of restricted stock awards</w:t>
            </w: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108,696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3,370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warrants to High Trail</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39,016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Issuance of common stock to High Trail</w:t>
            </w: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130,000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4,056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Reclassification of warrants to equity</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80,022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260"/>
              <w:spacing w:after="0"/>
              <w:rPr>
                <w:sz w:val="20"/>
                <w:szCs w:val="20"/>
                <w:color w:val="auto"/>
              </w:rPr>
            </w:pPr>
            <w:r>
              <w:rPr>
                <w:rFonts w:ascii="Arial" w:cs="Arial" w:eastAsia="Arial" w:hAnsi="Arial"/>
                <w:sz w:val="16"/>
                <w:szCs w:val="16"/>
                <w:color w:val="auto"/>
                <w:w w:val="98"/>
              </w:rPr>
              <w:t>Issuance of 2,666,667 shares of common stock net of</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professional fees and offering costs</w:t>
            </w: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2,666,667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36,735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Issuance of 704,548 shares of common stock in</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connection with asset purchase agreement</w:t>
            </w:r>
          </w:p>
        </w:tc>
        <w:tc>
          <w:tcPr>
            <w:tcW w:w="1200" w:type="dxa"/>
            <w:vAlign w:val="bottom"/>
            <w:gridSpan w:val="5"/>
            <w:shd w:val="clear" w:color="auto" w:fill="CFF0FC"/>
          </w:tcPr>
          <w:p>
            <w:pPr>
              <w:jc w:val="right"/>
              <w:ind w:right="20"/>
              <w:spacing w:after="0"/>
              <w:rPr>
                <w:sz w:val="20"/>
                <w:szCs w:val="20"/>
                <w:color w:val="auto"/>
              </w:rPr>
            </w:pPr>
            <w:r>
              <w:rPr>
                <w:rFonts w:ascii="Arial" w:cs="Arial" w:eastAsia="Arial" w:hAnsi="Arial"/>
                <w:sz w:val="16"/>
                <w:szCs w:val="16"/>
                <w:color w:val="auto"/>
              </w:rPr>
              <w:t>704,548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Issuance of 1,895,642 shares of restricted common</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stock</w:t>
            </w:r>
          </w:p>
        </w:tc>
        <w:tc>
          <w:tcPr>
            <w:tcW w:w="1200" w:type="dxa"/>
            <w:vAlign w:val="bottom"/>
            <w:gridSpan w:val="5"/>
          </w:tcPr>
          <w:p>
            <w:pPr>
              <w:jc w:val="right"/>
              <w:ind w:right="20"/>
              <w:spacing w:after="0"/>
              <w:rPr>
                <w:sz w:val="20"/>
                <w:szCs w:val="20"/>
                <w:color w:val="auto"/>
              </w:rPr>
            </w:pPr>
            <w:r>
              <w:rPr>
                <w:rFonts w:ascii="Arial" w:cs="Arial" w:eastAsia="Arial" w:hAnsi="Arial"/>
                <w:sz w:val="16"/>
                <w:szCs w:val="16"/>
                <w:color w:val="auto"/>
              </w:rPr>
              <w:t>1,895,642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94"/>
              </w:rPr>
              <w:t>Forfeiture of 258,971 shares of restricted common stock</w:t>
            </w:r>
          </w:p>
        </w:tc>
        <w:tc>
          <w:tcPr>
            <w:tcW w:w="1280" w:type="dxa"/>
            <w:vAlign w:val="bottom"/>
            <w:gridSpan w:val="6"/>
            <w:shd w:val="clear" w:color="auto" w:fill="CFF0FC"/>
          </w:tcPr>
          <w:p>
            <w:pPr>
              <w:jc w:val="right"/>
              <w:ind w:right="20"/>
              <w:spacing w:after="0"/>
              <w:rPr>
                <w:sz w:val="20"/>
                <w:szCs w:val="20"/>
                <w:color w:val="auto"/>
              </w:rPr>
            </w:pPr>
            <w:r>
              <w:rPr>
                <w:rFonts w:ascii="Arial" w:cs="Arial" w:eastAsia="Arial" w:hAnsi="Arial"/>
                <w:sz w:val="16"/>
                <w:szCs w:val="16"/>
                <w:color w:val="auto"/>
              </w:rPr>
              <w:t>(258,971)</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6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8,539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(46)</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6"/>
                <w:szCs w:val="16"/>
                <w:color w:val="auto"/>
              </w:rPr>
              <w:t>BALANCE—June 30, 2021</w:t>
            </w:r>
          </w:p>
        </w:tc>
        <w:tc>
          <w:tcPr>
            <w:tcW w:w="220" w:type="dxa"/>
            <w:vAlign w:val="bottom"/>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6"/>
                <w:szCs w:val="16"/>
                <w:color w:val="auto"/>
              </w:rPr>
              <w:t>35,734,767</w:t>
            </w:r>
          </w:p>
        </w:tc>
        <w:tc>
          <w:tcPr>
            <w:tcW w:w="80" w:type="dxa"/>
            <w:vAlign w:val="bottom"/>
          </w:tcPr>
          <w:p>
            <w:pPr>
              <w:spacing w:after="0"/>
              <w:rPr>
                <w:sz w:val="17"/>
                <w:szCs w:val="17"/>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487,605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4"/>
          </w:tcPr>
          <w:p>
            <w:pPr>
              <w:jc w:val="right"/>
              <w:ind w:right="39"/>
              <w:spacing w:after="0"/>
              <w:rPr>
                <w:sz w:val="20"/>
                <w:szCs w:val="20"/>
                <w:color w:val="auto"/>
              </w:rPr>
            </w:pPr>
            <w:r>
              <w:rPr>
                <w:rFonts w:ascii="Arial" w:cs="Arial" w:eastAsia="Arial" w:hAnsi="Arial"/>
                <w:sz w:val="16"/>
                <w:szCs w:val="16"/>
                <w:color w:val="auto"/>
              </w:rPr>
              <w:t>(311,794)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(37)</w:t>
            </w:r>
          </w:p>
        </w:tc>
        <w:tc>
          <w:tcPr>
            <w:tcW w:w="2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175,777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184"/>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ACTIVITIES:</w:t>
            </w: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5"/>
                <w:szCs w:val="15"/>
                <w:color w:val="auto"/>
              </w:rPr>
              <w:t>Net loss</w:t>
            </w:r>
          </w:p>
        </w:tc>
        <w:tc>
          <w:tcPr>
            <w:tcW w:w="2120" w:type="dxa"/>
            <w:vAlign w:val="bottom"/>
            <w:gridSpan w:val="2"/>
          </w:tcPr>
          <w:p>
            <w:pPr>
              <w:jc w:val="right"/>
              <w:ind w:right="848"/>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(17,967)</w:t>
            </w:r>
          </w:p>
        </w:tc>
        <w:tc>
          <w:tcPr>
            <w:tcW w:w="960" w:type="dxa"/>
            <w:vAlign w:val="bottom"/>
          </w:tcPr>
          <w:p>
            <w:pPr>
              <w:jc w:val="right"/>
              <w:ind w:right="804"/>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w w:val="96"/>
              </w:rPr>
              <w:t>(118,859)</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79</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Provision for sales returns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Amortization of deferred financing costs and debt discounts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610</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6,378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Stock-based compensation</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12,610</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Gain from increase of contingent earn-out liability fair value</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(7,704)</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in connection with the change in warrant fair value</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5"/>
                <w:szCs w:val="15"/>
                <w:color w:val="auto"/>
              </w:rPr>
              <w:t>Loss extinguishment of High Trail December 2020 and February 2021 Term Loan</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28,240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from embedded derivative related to term loan</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5"/>
                <w:szCs w:val="15"/>
                <w:color w:val="auto"/>
              </w:rPr>
              <w:t>Loss extinguishment of Credit Facility</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1,532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Loss on initial issuance of warrant</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500"/>
              <w:spacing w:after="0"/>
              <w:rPr>
                <w:sz w:val="20"/>
                <w:szCs w:val="20"/>
                <w:color w:val="auto"/>
              </w:rPr>
            </w:pPr>
            <w:r>
              <w:rPr>
                <w:rFonts w:ascii="Arial" w:cs="Arial" w:eastAsia="Arial" w:hAnsi="Arial"/>
                <w:sz w:val="15"/>
                <w:szCs w:val="15"/>
                <w:color w:val="auto"/>
              </w:rPr>
              <w:t>Allowance for doubtful accounts and other</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27</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Changes in assets and liabilities: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Accounts receivable</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(7,622)</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(10,736)</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Inventory</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8,866</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(31,772)</w:t>
            </w:r>
          </w:p>
        </w:tc>
        <w:tc>
          <w:tcPr>
            <w:tcW w:w="0" w:type="dxa"/>
            <w:vAlign w:val="bottom"/>
          </w:tcPr>
          <w:p>
            <w:pPr>
              <w:spacing w:after="0"/>
              <w:rPr>
                <w:sz w:val="1"/>
                <w:szCs w:val="1"/>
                <w:color w:val="auto"/>
              </w:rPr>
            </w:pPr>
          </w:p>
        </w:tc>
      </w:tr>
      <w:tr>
        <w:trPr>
          <w:trHeight w:val="175"/>
        </w:trPr>
        <w:tc>
          <w:tcPr>
            <w:tcW w:w="6640" w:type="dxa"/>
            <w:vAlign w:val="bottom"/>
          </w:tcPr>
          <w:p>
            <w:pPr>
              <w:ind w:left="500"/>
              <w:spacing w:after="0"/>
              <w:rPr>
                <w:sz w:val="20"/>
                <w:szCs w:val="20"/>
                <w:color w:val="auto"/>
              </w:rPr>
            </w:pPr>
            <w:r>
              <w:rPr>
                <w:rFonts w:ascii="Arial" w:cs="Arial" w:eastAsia="Arial" w:hAnsi="Arial"/>
                <w:sz w:val="15"/>
                <w:szCs w:val="15"/>
                <w:color w:val="auto"/>
              </w:rPr>
              <w:t>Prepaid and other current assets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(1,269)</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(6,545)</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Accounts payable, accrued and other liabilities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(4,282)</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5"/>
                <w:szCs w:val="15"/>
                <w:color w:val="auto"/>
              </w:rPr>
              <w:t>Cash used in operating activities</w:t>
            </w: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(8,923)</w:t>
            </w:r>
          </w:p>
        </w:tc>
        <w:tc>
          <w:tcPr>
            <w:tcW w:w="96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(32,836)</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INVESTING ACTIVITIES: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260"/>
              <w:spacing w:after="0"/>
              <w:rPr>
                <w:sz w:val="20"/>
                <w:szCs w:val="20"/>
                <w:color w:val="auto"/>
              </w:rPr>
            </w:pPr>
            <w:r>
              <w:rPr>
                <w:rFonts w:ascii="Arial" w:cs="Arial" w:eastAsia="Arial" w:hAnsi="Arial"/>
                <w:sz w:val="15"/>
                <w:szCs w:val="15"/>
                <w:color w:val="auto"/>
              </w:rPr>
              <w:t>Purchase of fixed assets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(19)</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Healing Solutions assets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(15,280)</w:t>
            </w:r>
          </w:p>
        </w:tc>
        <w:tc>
          <w:tcPr>
            <w:tcW w:w="0" w:type="dxa"/>
            <w:vAlign w:val="bottom"/>
          </w:tcPr>
          <w:p>
            <w:pPr>
              <w:spacing w:after="0"/>
              <w:rPr>
                <w:sz w:val="1"/>
                <w:szCs w:val="1"/>
                <w:color w:val="auto"/>
              </w:rPr>
            </w:pPr>
          </w:p>
        </w:tc>
      </w:tr>
      <w:tr>
        <w:trPr>
          <w:trHeight w:val="176"/>
        </w:trPr>
        <w:tc>
          <w:tcPr>
            <w:tcW w:w="6640" w:type="dxa"/>
            <w:vAlign w:val="bottom"/>
          </w:tcPr>
          <w:p>
            <w:pPr>
              <w:ind w:left="260"/>
              <w:spacing w:after="0"/>
              <w:rPr>
                <w:sz w:val="20"/>
                <w:szCs w:val="20"/>
                <w:color w:val="auto"/>
              </w:rPr>
            </w:pPr>
            <w:r>
              <w:rPr>
                <w:rFonts w:ascii="Arial" w:cs="Arial" w:eastAsia="Arial" w:hAnsi="Arial"/>
                <w:sz w:val="15"/>
                <w:szCs w:val="15"/>
                <w:color w:val="auto"/>
              </w:rPr>
              <w:t>Purchase of Photo Paper Direct, net of cash acquired</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(10,583)</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Purchase of Squatty Potty assets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(19,040)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740"/>
              <w:spacing w:after="0"/>
              <w:rPr>
                <w:sz w:val="20"/>
                <w:szCs w:val="20"/>
                <w:color w:val="auto"/>
              </w:rPr>
            </w:pPr>
            <w:r>
              <w:rPr>
                <w:rFonts w:ascii="Arial" w:cs="Arial" w:eastAsia="Arial" w:hAnsi="Arial"/>
                <w:sz w:val="15"/>
                <w:szCs w:val="15"/>
                <w:color w:val="auto"/>
              </w:rPr>
              <w:t>Cash used in investing activities</w:t>
            </w:r>
          </w:p>
        </w:tc>
        <w:tc>
          <w:tcPr>
            <w:tcW w:w="1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(19)</w:t>
            </w:r>
          </w:p>
        </w:tc>
        <w:tc>
          <w:tcPr>
            <w:tcW w:w="96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(44,947)</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FINANCING ACTIVITIES: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Proceeds from warrant exercise</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9,051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cancellation of warrant</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Proceeds from equity offering, net of issuance costs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36,735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Proceeds from exercise of stock options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Repayment of note payable related to Aussie Health acquisition</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(207)</w:t>
            </w:r>
          </w:p>
        </w:tc>
        <w:tc>
          <w:tcPr>
            <w:tcW w:w="9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Repayments on note payable to Smash</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(7,503)</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Taxes paid related to net settlement upon vesting of restricted common stock</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(112)</w:t>
            </w:r>
          </w:p>
        </w:tc>
        <w:tc>
          <w:tcPr>
            <w:tcW w:w="9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Borrowings from MidCap credit facility</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56,181</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Repayments from MidCap credit facility</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(60,023)</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(28,274)</w:t>
            </w:r>
          </w:p>
        </w:tc>
        <w:tc>
          <w:tcPr>
            <w:tcW w:w="0" w:type="dxa"/>
            <w:vAlign w:val="bottom"/>
          </w:tcPr>
          <w:p>
            <w:pPr>
              <w:spacing w:after="0"/>
              <w:rPr>
                <w:sz w:val="1"/>
                <w:szCs w:val="1"/>
                <w:color w:val="auto"/>
              </w:rPr>
            </w:pPr>
          </w:p>
        </w:tc>
      </w:tr>
      <w:tr>
        <w:trPr>
          <w:trHeight w:val="176"/>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financing costs from MidCap credit facility</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Repayments for High Trail December 2020 Note and February 2021 Note</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(59,500)</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Borrowings from High Trail February 2021 Note</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14,025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Borrowings from High Trail April 2021 Note</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Debt issuance costs from High Trail February 2021 Note</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(1,462)</w:t>
            </w:r>
          </w:p>
        </w:tc>
        <w:tc>
          <w:tcPr>
            <w:tcW w:w="0" w:type="dxa"/>
            <w:vAlign w:val="bottom"/>
          </w:tcPr>
          <w:p>
            <w:pPr>
              <w:spacing w:after="0"/>
              <w:rPr>
                <w:sz w:val="1"/>
                <w:szCs w:val="1"/>
                <w:color w:val="auto"/>
              </w:rPr>
            </w:pPr>
          </w:p>
        </w:tc>
      </w:tr>
      <w:tr>
        <w:trPr>
          <w:trHeight w:val="216"/>
        </w:trPr>
        <w:tc>
          <w:tcPr>
            <w:tcW w:w="6640" w:type="dxa"/>
            <w:vAlign w:val="bottom"/>
          </w:tcPr>
          <w:p>
            <w:pPr>
              <w:ind w:left="260"/>
              <w:spacing w:after="0"/>
              <w:rPr>
                <w:sz w:val="20"/>
                <w:szCs w:val="20"/>
                <w:color w:val="auto"/>
              </w:rPr>
            </w:pPr>
            <w:r>
              <w:rPr>
                <w:rFonts w:ascii="Arial" w:cs="Arial" w:eastAsia="Arial" w:hAnsi="Arial"/>
                <w:sz w:val="15"/>
                <w:szCs w:val="15"/>
                <w:color w:val="auto"/>
              </w:rPr>
              <w:t>Debt issuance costs from High Trail April 2021 Note</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(2,200)</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Deferred offering costs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(139)</w:t>
            </w:r>
          </w:p>
        </w:tc>
        <w:tc>
          <w:tcPr>
            <w:tcW w:w="9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Insurance obligation payments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(1,491)</w:t>
            </w: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(1,557)</w:t>
            </w: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Insurance financing proceeds</w:t>
            </w:r>
          </w:p>
        </w:tc>
        <w:tc>
          <w:tcPr>
            <w:tcW w:w="1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1,577</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tcPr>
          <w:p>
            <w:pPr>
              <w:ind w:left="260"/>
              <w:spacing w:after="0"/>
              <w:rPr>
                <w:sz w:val="20"/>
                <w:szCs w:val="20"/>
                <w:color w:val="auto"/>
              </w:rPr>
            </w:pPr>
            <w:r>
              <w:rPr>
                <w:rFonts w:ascii="Arial" w:cs="Arial" w:eastAsia="Arial" w:hAnsi="Arial"/>
                <w:sz w:val="15"/>
                <w:szCs w:val="15"/>
                <w:color w:val="auto"/>
              </w:rPr>
              <w:t>Capital lease obligation payments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(4)</w:t>
            </w:r>
          </w:p>
        </w:tc>
        <w:tc>
          <w:tcPr>
            <w:tcW w:w="9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740"/>
              <w:spacing w:after="0"/>
              <w:rPr>
                <w:sz w:val="20"/>
                <w:szCs w:val="20"/>
                <w:color w:val="auto"/>
              </w:rPr>
            </w:pPr>
            <w:r>
              <w:rPr>
                <w:rFonts w:ascii="Arial" w:cs="Arial" w:eastAsia="Arial" w:hAnsi="Arial"/>
                <w:sz w:val="15"/>
                <w:szCs w:val="15"/>
                <w:color w:val="auto"/>
              </w:rPr>
              <w:t>Cash provided by financing activities</w:t>
            </w:r>
          </w:p>
        </w:tc>
        <w:tc>
          <w:tcPr>
            <w:tcW w:w="11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(4,218)</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111,924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5"/>
                <w:szCs w:val="15"/>
                <w:color w:val="auto"/>
              </w:rPr>
              <w:t>EFFECT OF EXCHANGE RATE ON CASH</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color w:val="auto"/>
              </w:rPr>
              <w:t>(175)</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CHANGE IN CASH AND RESTRICTED CASH FOR PERIOD</w:t>
            </w:r>
          </w:p>
        </w:tc>
        <w:tc>
          <w:tcPr>
            <w:tcW w:w="11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40" w:type="dxa"/>
            <w:vAlign w:val="bottom"/>
            <w:vMerge w:val="continue"/>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(13,159)</w:t>
            </w:r>
          </w:p>
        </w:tc>
        <w:tc>
          <w:tcPr>
            <w:tcW w:w="9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33,966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40" w:type="dxa"/>
            <w:vAlign w:val="bottom"/>
          </w:tcPr>
          <w:p>
            <w:pPr>
              <w:spacing w:after="0"/>
              <w:rPr>
                <w:sz w:val="20"/>
                <w:szCs w:val="20"/>
                <w:color w:val="auto"/>
              </w:rPr>
            </w:pPr>
            <w:r>
              <w:rPr>
                <w:rFonts w:ascii="Arial" w:cs="Arial" w:eastAsia="Arial" w:hAnsi="Arial"/>
                <w:sz w:val="15"/>
                <w:szCs w:val="15"/>
                <w:color w:val="auto"/>
              </w:rPr>
              <w:t>CASH AND RESTRICTED CASH AT BEGINNING OF PERIOD</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30,789</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30,097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CASH AND RESTRICTED CASH AT END OF PERIOD</w:t>
            </w:r>
          </w:p>
        </w:tc>
        <w:tc>
          <w:tcPr>
            <w:tcW w:w="2120" w:type="dxa"/>
            <w:vAlign w:val="bottom"/>
            <w:gridSpan w:val="2"/>
            <w:shd w:val="clear" w:color="auto" w:fill="CFF0FC"/>
          </w:tcPr>
          <w:p>
            <w:pPr>
              <w:jc w:val="right"/>
              <w:ind w:right="848"/>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17,630</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64,063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RECONCILIATION OF CASH AND RESTRICTED CASH</w:t>
            </w:r>
          </w:p>
        </w:tc>
        <w:tc>
          <w:tcPr>
            <w:tcW w:w="11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CASH</w:t>
            </w:r>
          </w:p>
        </w:tc>
        <w:tc>
          <w:tcPr>
            <w:tcW w:w="2120" w:type="dxa"/>
            <w:vAlign w:val="bottom"/>
            <w:gridSpan w:val="2"/>
            <w:shd w:val="clear" w:color="auto" w:fill="CFF0FC"/>
          </w:tcPr>
          <w:p>
            <w:pPr>
              <w:jc w:val="right"/>
              <w:ind w:right="848"/>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17,189</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8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61,934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40" w:type="dxa"/>
            <w:vAlign w:val="bottom"/>
          </w:tcPr>
          <w:p>
            <w:pPr>
              <w:spacing w:after="0"/>
              <w:rPr>
                <w:sz w:val="20"/>
                <w:szCs w:val="20"/>
                <w:color w:val="auto"/>
              </w:rPr>
            </w:pPr>
            <w:r>
              <w:rPr>
                <w:rFonts w:ascii="Arial" w:cs="Arial" w:eastAsia="Arial" w:hAnsi="Arial"/>
                <w:sz w:val="15"/>
                <w:szCs w:val="15"/>
                <w:color w:val="auto"/>
              </w:rPr>
              <w:t>RESTRICTED CASH—Prepaid and other assets</w:t>
            </w: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312</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40" w:type="dxa"/>
            <w:vAlign w:val="bottom"/>
            <w:shd w:val="clear" w:color="auto" w:fill="CFF0FC"/>
          </w:tcPr>
          <w:p>
            <w:pPr>
              <w:spacing w:after="0"/>
              <w:rPr>
                <w:sz w:val="20"/>
                <w:szCs w:val="20"/>
                <w:color w:val="auto"/>
              </w:rPr>
            </w:pPr>
            <w:r>
              <w:rPr>
                <w:rFonts w:ascii="Arial" w:cs="Arial" w:eastAsia="Arial" w:hAnsi="Arial"/>
                <w:sz w:val="15"/>
                <w:szCs w:val="15"/>
                <w:color w:val="auto"/>
              </w:rPr>
              <w:t>RESTRICTED CASH—Other non-current assets</w:t>
            </w:r>
          </w:p>
        </w:tc>
        <w:tc>
          <w:tcPr>
            <w:tcW w:w="114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w:t>
            </w:r>
          </w:p>
        </w:tc>
        <w:tc>
          <w:tcPr>
            <w:tcW w:w="280" w:type="dxa"/>
            <w:vAlign w:val="bottom"/>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40" w:type="dxa"/>
            <w:vAlign w:val="bottom"/>
          </w:tcPr>
          <w:p>
            <w:pPr>
              <w:spacing w:after="0" w:line="169" w:lineRule="exact"/>
              <w:rPr>
                <w:sz w:val="20"/>
                <w:szCs w:val="20"/>
                <w:color w:val="auto"/>
              </w:rPr>
            </w:pPr>
            <w:r>
              <w:rPr>
                <w:rFonts w:ascii="Arial" w:cs="Arial" w:eastAsia="Arial" w:hAnsi="Arial"/>
                <w:sz w:val="15"/>
                <w:szCs w:val="15"/>
                <w:color w:val="auto"/>
              </w:rPr>
              <w:t>TOTAL CASH AND RESTRICTED CASH</w:t>
            </w:r>
          </w:p>
        </w:tc>
        <w:tc>
          <w:tcPr>
            <w:tcW w:w="2120" w:type="dxa"/>
            <w:vAlign w:val="bottom"/>
            <w:gridSpan w:val="2"/>
          </w:tcPr>
          <w:p>
            <w:pPr>
              <w:jc w:val="right"/>
              <w:ind w:right="848"/>
              <w:spacing w:after="0" w:line="169"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9" w:lineRule="exact"/>
              <w:rPr>
                <w:sz w:val="20"/>
                <w:szCs w:val="20"/>
                <w:color w:val="auto"/>
              </w:rPr>
            </w:pPr>
            <w:r>
              <w:rPr>
                <w:rFonts w:ascii="Arial" w:cs="Arial" w:eastAsia="Arial" w:hAnsi="Arial"/>
                <w:sz w:val="15"/>
                <w:szCs w:val="15"/>
                <w:color w:val="auto"/>
              </w:rPr>
              <w:t>17,630</w:t>
            </w:r>
          </w:p>
        </w:tc>
        <w:tc>
          <w:tcPr>
            <w:tcW w:w="280" w:type="dxa"/>
            <w:vAlign w:val="bottom"/>
          </w:tcPr>
          <w:p>
            <w:pPr>
              <w:spacing w:after="0"/>
              <w:rPr>
                <w:sz w:val="14"/>
                <w:szCs w:val="14"/>
                <w:color w:val="auto"/>
              </w:rPr>
            </w:pPr>
          </w:p>
        </w:tc>
        <w:tc>
          <w:tcPr>
            <w:tcW w:w="960" w:type="dxa"/>
            <w:vAlign w:val="bottom"/>
          </w:tcPr>
          <w:p>
            <w:pPr>
              <w:jc w:val="right"/>
              <w:ind w:right="804"/>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64,063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SUPPLEMENTAL DISCLOSURES OF CASH FLOW INFORMATION</w:t>
            </w:r>
          </w:p>
        </w:tc>
        <w:tc>
          <w:tcPr>
            <w:tcW w:w="14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Cash paid for interest</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1,618</w:t>
            </w:r>
          </w:p>
        </w:tc>
        <w:tc>
          <w:tcPr>
            <w:tcW w:w="740" w:type="dxa"/>
            <w:vAlign w:val="bottom"/>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1,727</w:t>
            </w: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Cash paid for taxes</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46</w:t>
            </w:r>
          </w:p>
        </w:tc>
        <w:tc>
          <w:tcPr>
            <w:tcW w:w="74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41</w:t>
            </w:r>
          </w:p>
        </w:tc>
      </w:tr>
      <w:tr>
        <w:trPr>
          <w:trHeight w:val="175"/>
        </w:trPr>
        <w:tc>
          <w:tcPr>
            <w:tcW w:w="6980" w:type="dxa"/>
            <w:vAlign w:val="bottom"/>
          </w:tcPr>
          <w:p>
            <w:pPr>
              <w:spacing w:after="0"/>
              <w:rPr>
                <w:sz w:val="20"/>
                <w:szCs w:val="20"/>
                <w:color w:val="auto"/>
              </w:rPr>
            </w:pPr>
            <w:r>
              <w:rPr>
                <w:rFonts w:ascii="Arial" w:cs="Arial" w:eastAsia="Arial" w:hAnsi="Arial"/>
                <w:sz w:val="15"/>
                <w:szCs w:val="15"/>
                <w:color w:val="auto"/>
              </w:rPr>
              <w:t>NON-CASH INVESTING AND FINANCING ACTIVITIES:</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Equity fundraising costs not paid</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125</w:t>
            </w:r>
          </w:p>
        </w:tc>
      </w:tr>
      <w:tr>
        <w:trPr>
          <w:trHeight w:val="175"/>
        </w:trPr>
        <w:tc>
          <w:tcPr>
            <w:tcW w:w="6980" w:type="dxa"/>
            <w:vAlign w:val="bottom"/>
          </w:tcPr>
          <w:p>
            <w:pPr>
              <w:spacing w:after="0"/>
              <w:rPr>
                <w:sz w:val="20"/>
                <w:szCs w:val="20"/>
                <w:color w:val="auto"/>
              </w:rPr>
            </w:pPr>
            <w:r>
              <w:rPr>
                <w:rFonts w:ascii="Arial" w:cs="Arial" w:eastAsia="Arial" w:hAnsi="Arial"/>
                <w:sz w:val="15"/>
                <w:szCs w:val="15"/>
                <w:color w:val="auto"/>
              </w:rPr>
              <w:t>Original issue discount</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2,475</w:t>
            </w:r>
          </w:p>
        </w:tc>
      </w:tr>
      <w:tr>
        <w:trPr>
          <w:trHeight w:val="176"/>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Fair value of contingent consideration</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20,971</w:t>
            </w: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Discount of debt relating to warrants issuance</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46,756</w:t>
            </w:r>
          </w:p>
        </w:tc>
      </w:tr>
      <w:tr>
        <w:trPr>
          <w:trHeight w:val="175"/>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Issuance of restricted stock awards</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3,427</w:t>
            </w:r>
          </w:p>
        </w:tc>
      </w:tr>
      <w:tr>
        <w:trPr>
          <w:trHeight w:val="176"/>
        </w:trPr>
        <w:tc>
          <w:tcPr>
            <w:tcW w:w="6980" w:type="dxa"/>
            <w:vAlign w:val="bottom"/>
          </w:tcPr>
          <w:p>
            <w:pPr>
              <w:spacing w:after="0"/>
              <w:rPr>
                <w:sz w:val="20"/>
                <w:szCs w:val="20"/>
                <w:color w:val="auto"/>
              </w:rPr>
            </w:pPr>
            <w:r>
              <w:rPr>
                <w:rFonts w:ascii="Arial" w:cs="Arial" w:eastAsia="Arial" w:hAnsi="Arial"/>
                <w:sz w:val="15"/>
                <w:szCs w:val="15"/>
                <w:color w:val="auto"/>
              </w:rPr>
              <w:t>Issuance of common stock in connection with Healing Solutions and Photo Paper Direct acquisitions</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50,529</w:t>
            </w:r>
          </w:p>
        </w:tc>
      </w:tr>
      <w:tr>
        <w:trPr>
          <w:trHeight w:val="175"/>
        </w:trPr>
        <w:tc>
          <w:tcPr>
            <w:tcW w:w="6980" w:type="dxa"/>
            <w:vAlign w:val="bottom"/>
            <w:shd w:val="clear" w:color="auto" w:fill="CFF0FC"/>
          </w:tcPr>
          <w:p>
            <w:pPr>
              <w:spacing w:after="0"/>
              <w:rPr>
                <w:sz w:val="20"/>
                <w:szCs w:val="20"/>
                <w:color w:val="auto"/>
              </w:rPr>
            </w:pPr>
            <w:r>
              <w:rPr>
                <w:rFonts w:ascii="Arial" w:cs="Arial" w:eastAsia="Arial" w:hAnsi="Arial"/>
                <w:sz w:val="15"/>
                <w:szCs w:val="15"/>
                <w:color w:val="auto"/>
              </w:rPr>
              <w:t>Common stock issued to High Trail</w:t>
            </w:r>
          </w:p>
        </w:tc>
        <w:tc>
          <w:tcPr>
            <w:tcW w:w="1420" w:type="dxa"/>
            <w:vAlign w:val="bottom"/>
            <w:shd w:val="clear" w:color="auto" w:fill="CFF0FC"/>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4,056</w:t>
            </w:r>
          </w:p>
        </w:tc>
      </w:tr>
      <w:tr>
        <w:trPr>
          <w:trHeight w:val="194"/>
        </w:trPr>
        <w:tc>
          <w:tcPr>
            <w:tcW w:w="6980" w:type="dxa"/>
            <w:vAlign w:val="bottom"/>
          </w:tcPr>
          <w:p>
            <w:pPr>
              <w:spacing w:after="0"/>
              <w:rPr>
                <w:sz w:val="20"/>
                <w:szCs w:val="20"/>
                <w:color w:val="auto"/>
              </w:rPr>
            </w:pPr>
            <w:r>
              <w:rPr>
                <w:rFonts w:ascii="Arial" w:cs="Arial" w:eastAsia="Arial" w:hAnsi="Arial"/>
                <w:sz w:val="15"/>
                <w:szCs w:val="15"/>
                <w:color w:val="auto"/>
              </w:rPr>
              <w:t>Reclassification of warrants to equity</w:t>
            </w:r>
          </w:p>
        </w:tc>
        <w:tc>
          <w:tcPr>
            <w:tcW w:w="1420" w:type="dxa"/>
            <w:vAlign w:val="bottom"/>
          </w:tcPr>
          <w:p>
            <w:pPr>
              <w:jc w:val="right"/>
              <w:ind w:right="48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4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80,022</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Aterian,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Six Months Ended June 30, 2020 and 2021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Aterian, Inc. and its subsidiaries, formerly known as Mohawk Group Holdings, Inc., (“Aterian” or the “Company”), is a technology-enabled consumer products platform that builds, acquires and partners with e-commerce brands. The Company’s proprietary software and agile supply chain helps create a growing base of consumer products. Aterian predominantly operates through online retail channels such as Amazon and Walmart, Inc. The Company owns and operates fourteen brands, which were either incubated or purchased, selling products in multiple categories, including home and kitchen appliances, kitchenware, heating, cooling and air quality appliances (dehumidifiers, humidifiers and air conditioners), health and beauty products and essentials oils.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New York, Aterian’s offices can also be found in China, Philippines, Israel and Poland.</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Healing Solutions Acquisition—</w:t>
      </w:r>
      <w:r>
        <w:rPr>
          <w:rFonts w:ascii="Arial" w:cs="Arial" w:eastAsia="Arial" w:hAnsi="Arial"/>
          <w:sz w:val="18"/>
          <w:szCs w:val="18"/>
          <w:color w:val="auto"/>
        </w:rPr>
        <w:t>On February 2, 2021, the Company acquired certain assets of Healing Solutions, LLC (“Healing Solutions”) assets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its retail and ecommerce business under the Healing Solutions’ brands, Tarvol, Sun Essential Oils and Artizen (among others), which primarily sells essential oils primarily through Amazon and other marketplaces (see Note 10).</w:t>
      </w:r>
    </w:p>
    <w:p>
      <w:pPr>
        <w:spacing w:after="0" w:line="2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Squatty Potty Assets Acquisition—</w:t>
      </w:r>
      <w:r>
        <w:rPr>
          <w:rFonts w:ascii="Arial" w:cs="Arial" w:eastAsia="Arial" w:hAnsi="Arial"/>
          <w:sz w:val="18"/>
          <w:szCs w:val="18"/>
          <w:color w:val="auto"/>
        </w:rPr>
        <w:t>On May 5, 2021</w:t>
      </w:r>
      <w:r>
        <w:rPr>
          <w:rFonts w:ascii="Arial" w:cs="Arial" w:eastAsia="Arial" w:hAnsi="Arial"/>
          <w:sz w:val="18"/>
          <w:szCs w:val="18"/>
          <w:b w:val="1"/>
          <w:bCs w:val="1"/>
          <w:color w:val="auto"/>
        </w:rPr>
        <w:t xml:space="preserve">, the Company acquired the business of e-commerce and retail company Squatty Potty, LLC (“Squatty Potty”), a leading online seller of health and wellness products in an asset purchase transaction. In addition, Squatty Potty products are sold in retail locations including Bed, Bath &amp; Beyond, Walmart and Target </w:t>
      </w:r>
      <w:r>
        <w:rPr>
          <w:rFonts w:ascii="Arial" w:cs="Arial" w:eastAsia="Arial" w:hAnsi="Arial"/>
          <w:sz w:val="18"/>
          <w:szCs w:val="18"/>
          <w:color w:val="auto"/>
        </w:rPr>
        <w:t>(see Note 10).</w:t>
      </w:r>
    </w:p>
    <w:p>
      <w:pPr>
        <w:spacing w:after="0" w:line="2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Photo Paper Direct Acquisition—</w:t>
      </w:r>
      <w:r>
        <w:rPr>
          <w:rFonts w:ascii="Arial" w:cs="Arial" w:eastAsia="Arial" w:hAnsi="Arial"/>
          <w:sz w:val="18"/>
          <w:szCs w:val="18"/>
          <w:color w:val="auto"/>
        </w:rPr>
        <w:t>On May 5, 2021, the Company closed the acquisition of all outstanding stock of e-commerce company Photo Paper</w:t>
      </w:r>
      <w:r>
        <w:rPr>
          <w:rFonts w:ascii="Arial" w:cs="Arial" w:eastAsia="Arial" w:hAnsi="Arial"/>
          <w:sz w:val="18"/>
          <w:szCs w:val="18"/>
          <w:b w:val="1"/>
          <w:bCs w:val="1"/>
          <w:color w:val="auto"/>
        </w:rPr>
        <w:t xml:space="preserve"> </w:t>
      </w:r>
      <w:r>
        <w:rPr>
          <w:rFonts w:ascii="Arial" w:cs="Arial" w:eastAsia="Arial" w:hAnsi="Arial"/>
          <w:sz w:val="18"/>
          <w:szCs w:val="18"/>
          <w:color w:val="auto"/>
        </w:rPr>
        <w:t>Direct Ltd. (“Photo Paper Direct''), a leading online seller of printing supplies (see Note 10).</w:t>
      </w: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 xml:space="preserve">Equity Raise: </w:t>
      </w:r>
      <w:r>
        <w:rPr>
          <w:rFonts w:ascii="Arial" w:cs="Arial" w:eastAsia="Arial" w:hAnsi="Arial"/>
          <w:sz w:val="18"/>
          <w:szCs w:val="18"/>
          <w:color w:val="auto"/>
        </w:rPr>
        <w:t>On June 10, 2021, the Company entered into a Securities Purchase Agreement (the “Purchase Agreement”) with certain accredited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the “Investors”) pursuant to which, among other things, the Company issued and sold to the Investors, in a private placement transaction, an aggregate of 2,666,667 shares of common stock, of the Company (the “Shares”), at an offering price of $15.00 per Share, with proceeds to the Company, net of offering costs, of $36.7 million.</w:t>
      </w:r>
    </w:p>
    <w:p>
      <w:pPr>
        <w:spacing w:after="0" w:line="28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 xml:space="preserve">Going Concern— </w:t>
      </w:r>
      <w:r>
        <w:rPr>
          <w:rFonts w:ascii="Arial" w:cs="Arial" w:eastAsia="Arial" w:hAnsi="Arial"/>
          <w:sz w:val="17"/>
          <w:szCs w:val="17"/>
          <w:color w:val="auto"/>
        </w:rPr>
        <w:t>The Company has been affected by the impact of the COVID-19 pandemic and related global shipping crisis. Together, these have 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 increases in the costs of shipping containers, which the Company relies on to import its goods. This has reduced the reliability and timely delivery of such shipping containers and has substantially increased the Company’s international inbound costs as well as last mile shipping costs on its oversized goods. These cost increases have been particularly substantial for oversized goods, which are a material part of the Company’s business. The increased cost of the shipping containers has negatively impacted the Company in the three months ended June 30, 2021, and the Company currently believes it will continue to negatively impact the Company for at least the next six to nine months. The reduced reliability and delivery of such shipping containers is forcing the Company to spend more on premium shipping to ensure space on board of the vessels, if at all, and the lack of reliability and timely delivery has further down supply chain impacts as it takes longer for containers to be offloaded and returned. Further, this global shipping crisis is forcing the Company to increase its inventory on-hand, which negatively impacts its working capital.</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Third party last mile shipping partners, such as UPS and Fedex, continue to increase the cost of delivering goods to the end consumers as their delivery networks continue to be impacted by the COVID-19 pandemic. In addition, the Company may be adversely impacted by rising costs of the commodity raw materials used to produce its products.</w:t>
      </w:r>
    </w:p>
    <w:p>
      <w:pPr>
        <w:spacing w:after="0" w:line="292"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the Company has noticed changes to consumer buying habits which may have reduced demand for its products. See COVID-19 disclosure below.</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such, these impacts led the Company to breach its Adjusted EBITDA covenant for the three months ended June 30, 2021 with its lender, High Trail Investments SA LLC (“High Trail SA”) and High Trail Investments ON LLC (“High Trail ON” and, together with High Trail SA, “High Trail”). As of the date of this report, the Company has secured a waiver from High Trail, which will be effective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upon the Company making certain cash payments to High Trail on August 9, 2021 and issuing shares of the Company’s common stock to High Trail by no later than August 11, 2021. See Note 12 for additional information.</w:t>
      </w:r>
    </w:p>
    <w:p>
      <w:pPr>
        <w:spacing w:after="0" w:line="17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Further, due to these crises, the Company has reduced its forecast for the next twelve months. The Company has been taking, and plan to continue to take, various action items to help improve its financial forecasts and allow it to navigate through these crises. These actions include, but are not limited to, new third party vendors for shipping containers, renegotiating rates with third party last mile providers, postponing or cancelling some or all of its product launches and the reducing of fixed costs. As there can be no assurance that these actions along with the Company’s operating forecast for the twelve months following the issuance of the accompanying consolidated financial statements will be attained such that the Company will be able to maintain compliance with its Adjusted EBITDA covenant and liquidity covenants due to the timing of working capital as part of the waiver with its lender, these negative financial conditions raise substantial doubt about the Company’s ability to continue as a going concern.</w:t>
      </w:r>
    </w:p>
    <w:p>
      <w:pPr>
        <w:spacing w:after="0" w:line="17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is in active conversations with its lender, High Trail. Management plans to continue to closely monitor its operating forecast and may pursue additional sources of financing and/or capital to fund its operations or to continue its merger and acquisition strategy. If the Company is unable to improve its operating results, secure waivers from its lender, and/or obtain additional sources of financing and capital on acceptable terms (if at all) for its merger and acquisition strategy, the Company may have to make significant changes to its operating plan, such as delay expenditures, reduce investments in new products, delay the development of its software, reduce its sale and distribution infrastructure, or otherwise significantly reduce the scope of its business. The accompanying consolidated financial statements do not include any adjustments that might result from the outcome of this uncertainty.</w:t>
      </w:r>
    </w:p>
    <w:p>
      <w:pPr>
        <w:spacing w:after="0" w:line="26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color w:val="auto"/>
        </w:rPr>
        <w:t>COVID-19 Pandemic—</w:t>
      </w:r>
      <w:r>
        <w:rPr>
          <w:rFonts w:ascii="Arial" w:cs="Arial" w:eastAsia="Arial" w:hAnsi="Arial"/>
          <w:sz w:val="17"/>
          <w:szCs w:val="17"/>
          <w:color w:val="auto"/>
        </w:rPr>
        <w:t>The full impact of the COVID-19 pandemic, including the impact associated with preventative and precautionary measures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other businesses and governments are taking, continues to evolve as of the date of this report. During the first half of 2021, the Company experienced negative impacts to its margins related to increased international freight demands, lack of shipping containers and general international freight congestion due to the continued increased demand of goods being sold on ecommerce marketplaces. The Company has experienced, and expects to continue to experience, an increase in last-mile shipping costs as shipping providers’ delivery networks continue be stressed due to increased demand from the increase of goods sold on ecommerce marketplaces.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the Company has noticed changes in consumer buying habits that may have reduced demand for its products. The Company continues to consider the impact of COVID-19 based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the Company's results of operations, financial position, and liquidity.</w:t>
      </w:r>
    </w:p>
    <w:p>
      <w:pPr>
        <w:spacing w:after="0" w:line="28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7"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—The accompanying unaudited condensed consolidated financial statements have been prepared by the Company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generally accepted accounting principles in the United States (“GAAP”) for interim financial reporting and as required by Rule 10-01 of Regulation S-X. Certain information and note disclosures normally included in the annual financial statements prepared in accordance with GAAP have been condensed or omitted pursuant to such rules and regulations. The condensed consolidated balance sheet as of December 31, 2020 included herein was derived from the Company’s audited consolidated financial statements as of that date. As such, the information included in this Quarterly Report on Form 10-Q should be read in conjunction with the audited consolidated financial statements and the related notes thereto as of and for the year ended December 31, 2020, included in the Company’s Annual Report on Form 10-K filed with the Securities and Exchange Commission, on March 16, 2021 (the “Annual Report”).</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the Company’s management, the accompanying unaudited condensed consolidated financial statements contain all adjustments (consisting of items of a normal and recurring nature) necessary to present fairly the financial position as of June 30, 2021, the results of operations for the three and six months ended June 30, 2020 and 2021, the statements of stockholders’ equity for the three and the six months ended June 30, 2020 and 2021, and cash flows for the six months ended June 30, 2020 and 2021. The results of operations for the three and six months ended June 30, 2021 are not necessarily indicative of the results to be expected for the full year.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120"/>
        <w:spacing w:after="0" w:line="256"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 Preparation of financial statements in conformity with GAAP requires management to make estimates and assumptions that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amounts of assets and liabilities and the disclosure of contingent assets and liabilities at the date of the financial statements and the reported amounts of revenues and expenses during the reporting period covered by the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 The condensed consolidated financial statements include the accounts of the Company and its wholly-owned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07"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 The Company has restricted cash with its primary banks for use as required minimum restricted capital for its Chinese subsidiary.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2020, the Company has classified the following as restricted cash: $0.1 million related to its Chinese subsidiary within “other non-current assets” on the condensed consolidated balance sheets and $2.0 million related to a U.S. customs bond.</w:t>
      </w:r>
    </w:p>
    <w:p>
      <w:pPr>
        <w:spacing w:after="0" w:line="18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June 30, 2021, the Company has classified the following as restricted cash: $0.1 million related to its Chinese subsidiary within “other non-current assets” on the condensed consolidated balance sheets, and $2.0 million related to a letter of credit within “prepaid and other current assets” on the condensed consolidated balance sheets.</w:t>
      </w:r>
    </w:p>
    <w:p>
      <w:pPr>
        <w:spacing w:after="0" w:line="18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 accounts for revenue in accordance with Financial Accounting Standards Board (“FASB”) Accounting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66"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Company derives its revenue from the sale of consumer products. The Company sells its products directly to consumers through online retail channels and through wholesale channels.</w:t>
      </w:r>
    </w:p>
    <w:p>
      <w:pPr>
        <w:spacing w:after="0" w:line="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Net Revenue by Category</w:t>
      </w:r>
      <w:r>
        <w:rPr>
          <w:rFonts w:ascii="Arial" w:cs="Arial" w:eastAsia="Arial" w:hAnsi="Arial"/>
          <w:sz w:val="18"/>
          <w:szCs w:val="18"/>
          <w:color w:val="auto"/>
        </w:rPr>
        <w:t>. The following table sets forth the Company’s net revenue disaggregated by sales channel and geographic region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billing addresses of its customers: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3"/>
              </w:rPr>
              <w:t>Three Months Ended June 30, 2020</w:t>
            </w: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left="559"/>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PaaS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53,693</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59,765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53,728</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5,727</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35"/>
              <w:spacing w:after="0"/>
              <w:rPr>
                <w:sz w:val="20"/>
                <w:szCs w:val="20"/>
                <w:color w:val="auto"/>
              </w:rPr>
            </w:pPr>
            <w:r>
              <w:rPr>
                <w:rFonts w:ascii="Arial" w:cs="Arial" w:eastAsia="Arial" w:hAnsi="Arial"/>
                <w:sz w:val="14"/>
                <w:szCs w:val="14"/>
                <w:b w:val="1"/>
                <w:bCs w:val="1"/>
                <w:color w:val="auto"/>
                <w:w w:val="93"/>
              </w:rPr>
              <w:t>Three Months Ended June 30, 2021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left="559"/>
              <w:spacing w:after="0" w:line="147"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PaaS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67,155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68,080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4"/>
                <w:szCs w:val="14"/>
                <w:b w:val="1"/>
                <w:bCs w:val="1"/>
                <w:color w:val="auto"/>
                <w:w w:val="92"/>
              </w:rPr>
              <w:t>Six Months Ended June 30, 2020</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left="579"/>
              <w:spacing w:after="0" w:line="147" w:lineRule="exact"/>
              <w:rPr>
                <w:sz w:val="20"/>
                <w:szCs w:val="20"/>
                <w:color w:val="auto"/>
              </w:rPr>
            </w:pPr>
            <w:r>
              <w:rPr>
                <w:rFonts w:ascii="Arial" w:cs="Arial" w:eastAsia="Arial" w:hAnsi="Arial"/>
                <w:sz w:val="14"/>
                <w:szCs w:val="14"/>
                <w:color w:val="auto"/>
                <w:w w:val="92"/>
              </w:rPr>
              <w:t>(in 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PaaS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North America</w:t>
            </w:r>
          </w:p>
        </w:tc>
        <w:tc>
          <w:tcPr>
            <w:tcW w:w="24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78,901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revenue</w:t>
            </w:r>
          </w:p>
        </w:tc>
        <w:tc>
          <w:tcPr>
            <w:tcW w:w="24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78,936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4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4"/>
                <w:szCs w:val="14"/>
                <w:b w:val="1"/>
                <w:bCs w:val="1"/>
                <w:color w:val="auto"/>
                <w:w w:val="92"/>
              </w:rPr>
              <w:t>Six Months Ended June 30, 2021</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3"/>
          </w:tcPr>
          <w:p>
            <w:pPr>
              <w:jc w:val="center"/>
              <w:ind w:left="579"/>
              <w:spacing w:after="0" w:line="147" w:lineRule="exact"/>
              <w:rPr>
                <w:sz w:val="20"/>
                <w:szCs w:val="20"/>
                <w:color w:val="auto"/>
              </w:rPr>
            </w:pPr>
            <w:r>
              <w:rPr>
                <w:rFonts w:ascii="Arial" w:cs="Arial" w:eastAsia="Arial" w:hAnsi="Arial"/>
                <w:sz w:val="14"/>
                <w:szCs w:val="14"/>
                <w:color w:val="auto"/>
                <w:w w:val="92"/>
              </w:rPr>
              <w:t>(in 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8"/>
                <w:szCs w:val="18"/>
                <w:color w:val="auto"/>
              </w:rPr>
              <w:t>North America</w:t>
            </w:r>
          </w:p>
        </w:tc>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295"/>
              <w:spacing w:after="0"/>
              <w:rPr>
                <w:sz w:val="20"/>
                <w:szCs w:val="20"/>
                <w:color w:val="auto"/>
              </w:rPr>
            </w:pPr>
            <w:r>
              <w:rPr>
                <w:rFonts w:ascii="Arial" w:cs="Arial" w:eastAsia="Arial" w:hAnsi="Arial"/>
                <w:sz w:val="14"/>
                <w:szCs w:val="14"/>
                <w:b w:val="1"/>
                <w:bCs w:val="1"/>
                <w:color w:val="auto"/>
              </w:rPr>
              <w:t>Direct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335"/>
              <w:spacing w:after="0"/>
              <w:rPr>
                <w:sz w:val="20"/>
                <w:szCs w:val="20"/>
                <w:color w:val="auto"/>
              </w:rPr>
            </w:pPr>
            <w:r>
              <w:rPr>
                <w:rFonts w:ascii="Arial" w:cs="Arial" w:eastAsia="Arial" w:hAnsi="Arial"/>
                <w:sz w:val="14"/>
                <w:szCs w:val="14"/>
                <w:b w:val="1"/>
                <w:bCs w:val="1"/>
                <w:color w:val="auto"/>
                <w:w w:val="99"/>
              </w:rPr>
              <w:t>PaaS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40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113,297</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Pr>
          <w:p>
            <w:pPr>
              <w:spacing w:after="0"/>
              <w:rPr>
                <w:sz w:val="19"/>
                <w:szCs w:val="19"/>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Total net revenue</w:t>
            </w:r>
          </w:p>
        </w:tc>
        <w:tc>
          <w:tcPr>
            <w:tcW w:w="24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114,232</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460" w:type="dxa"/>
            <w:vAlign w:val="bottom"/>
            <w:vMerge w:val="restart"/>
          </w:tcPr>
          <w:p>
            <w:pPr>
              <w:jc w:val="right"/>
              <w:ind w:right="5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Net Revenue by Product Categories</w:t>
      </w:r>
      <w:r>
        <w:rPr>
          <w:rFonts w:ascii="Arial" w:cs="Arial" w:eastAsia="Arial" w:hAnsi="Arial"/>
          <w:sz w:val="18"/>
          <w:szCs w:val="18"/>
          <w:color w:val="auto"/>
        </w:rPr>
        <w:t>. The following table sets forth the Company’s net revenue disaggregated by product categories: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40" w:type="dxa"/>
            <w:vAlign w:val="bottom"/>
            <w:tcBorders>
              <w:bottom w:val="single" w:sz="8" w:color="auto"/>
            </w:tcBorders>
            <w:gridSpan w:val="5"/>
          </w:tcPr>
          <w:p>
            <w:pPr>
              <w:jc w:val="center"/>
              <w:ind w:left="528"/>
              <w:spacing w:after="0"/>
              <w:rPr>
                <w:sz w:val="20"/>
                <w:szCs w:val="20"/>
                <w:color w:val="auto"/>
              </w:rPr>
            </w:pPr>
            <w:r>
              <w:rPr>
                <w:rFonts w:ascii="Arial" w:cs="Arial" w:eastAsia="Arial" w:hAnsi="Arial"/>
                <w:sz w:val="14"/>
                <w:szCs w:val="14"/>
                <w:b w:val="1"/>
                <w:bCs w:val="1"/>
                <w:color w:val="auto"/>
                <w:w w:val="93"/>
              </w:rPr>
              <w:t>Three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80" w:type="dxa"/>
            <w:vAlign w:val="bottom"/>
            <w:gridSpan w:val="4"/>
          </w:tcPr>
          <w:p>
            <w:pPr>
              <w:jc w:val="center"/>
              <w:ind w:right="309"/>
              <w:spacing w:after="0" w:line="155"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35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29,541</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Home office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68,080</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PaaS</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59,800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68,188</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2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40" w:type="dxa"/>
            <w:vAlign w:val="bottom"/>
            <w:tcBorders>
              <w:bottom w:val="single" w:sz="8" w:color="auto"/>
            </w:tcBorders>
            <w:gridSpan w:val="5"/>
          </w:tcPr>
          <w:p>
            <w:pPr>
              <w:jc w:val="center"/>
              <w:ind w:left="508"/>
              <w:spacing w:after="0"/>
              <w:rPr>
                <w:sz w:val="20"/>
                <w:szCs w:val="20"/>
                <w:color w:val="auto"/>
              </w:rPr>
            </w:pPr>
            <w:r>
              <w:rPr>
                <w:rFonts w:ascii="Arial" w:cs="Arial" w:eastAsia="Arial" w:hAnsi="Arial"/>
                <w:sz w:val="14"/>
                <w:szCs w:val="14"/>
                <w:b w:val="1"/>
                <w:bCs w:val="1"/>
                <w:color w:val="auto"/>
                <w:w w:val="92"/>
              </w:rPr>
              <w:t>Six Months Ended June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80" w:type="dxa"/>
            <w:vAlign w:val="bottom"/>
            <w:gridSpan w:val="4"/>
          </w:tcPr>
          <w:p>
            <w:pPr>
              <w:jc w:val="center"/>
              <w:ind w:right="309"/>
              <w:spacing w:after="0" w:line="155" w:lineRule="exact"/>
              <w:rPr>
                <w:sz w:val="20"/>
                <w:szCs w:val="20"/>
                <w:color w:val="auto"/>
              </w:rPr>
            </w:pPr>
            <w:r>
              <w:rPr>
                <w:rFonts w:ascii="Arial" w:cs="Arial" w:eastAsia="Arial" w:hAnsi="Arial"/>
                <w:sz w:val="14"/>
                <w:szCs w:val="14"/>
                <w:color w:val="auto"/>
                <w:w w:val="92"/>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Heating, cooling and air quality</w:t>
            </w:r>
          </w:p>
        </w:tc>
        <w:tc>
          <w:tcPr>
            <w:tcW w:w="35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39,418</w:t>
            </w:r>
          </w:p>
        </w:tc>
        <w:tc>
          <w:tcPr>
            <w:tcW w:w="280" w:type="dxa"/>
            <w:vAlign w:val="bottom"/>
          </w:tcPr>
          <w:p>
            <w:pPr>
              <w:spacing w:after="0"/>
              <w:rPr>
                <w:sz w:val="20"/>
                <w:szCs w:val="20"/>
                <w:color w:val="auto"/>
              </w:rPr>
            </w:pPr>
          </w:p>
        </w:tc>
        <w:tc>
          <w:tcPr>
            <w:tcW w:w="940" w:type="dxa"/>
            <w:vAlign w:val="bottom"/>
            <w:gridSpan w:val="2"/>
          </w:tcPr>
          <w:p>
            <w:pPr>
              <w:jc w:val="right"/>
              <w:ind w:right="80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32,980</w:t>
            </w:r>
          </w:p>
        </w:tc>
        <w:tc>
          <w:tcPr>
            <w:tcW w:w="100" w:type="dxa"/>
            <w:vAlign w:val="bottom"/>
          </w:tcPr>
          <w:p>
            <w:pPr>
              <w:spacing w:after="0"/>
              <w:rPr>
                <w:sz w:val="20"/>
                <w:szCs w:val="20"/>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18,185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Health and beauty</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Home office</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Pr>
          <w:p>
            <w:pPr>
              <w:spacing w:after="0"/>
              <w:rPr>
                <w:sz w:val="20"/>
                <w:szCs w:val="20"/>
                <w:color w:val="auto"/>
              </w:rPr>
            </w:pPr>
            <w:r>
              <w:rPr>
                <w:rFonts w:ascii="Arial" w:cs="Arial" w:eastAsia="Arial" w:hAnsi="Arial"/>
                <w:sz w:val="18"/>
                <w:szCs w:val="18"/>
                <w:color w:val="auto"/>
              </w:rPr>
              <w:t>Housewares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16,291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17,295</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84,722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116,034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PaaS</w:t>
            </w:r>
          </w:p>
        </w:tc>
        <w:tc>
          <w:tcPr>
            <w:tcW w:w="2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85,428</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80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116,324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Fair Value of Financial Instruments</w:t>
      </w:r>
      <w:r>
        <w:rPr>
          <w:rFonts w:ascii="Arial" w:cs="Arial" w:eastAsia="Arial" w:hAnsi="Arial"/>
          <w:sz w:val="18"/>
          <w:szCs w:val="18"/>
          <w:color w:val="auto"/>
        </w:rPr>
        <w:t>—The Company’s financial instruments, including net accounts receivable, accounts payable, and accrued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liabilities are carried at historical cost. On June 30, 2021, the carrying amounts of these instruments approximated their fair values because of their short-term nature. The Company’s credit facility and term loans are carried at amortized cost at December 31, 2020 and June 30, 2021, and the carrying amount approximates fair value as the stated interest rate approximates market rates currently available to the Company. On June 30, 2021, the credit facility with MidCap Funding IV Trust (“MidCap”) was paid off and there was no balance. The Company considers the inputs utilized to determine the fair value of the borrowings to be Level 2 inputs.</w:t>
      </w:r>
    </w:p>
    <w:p>
      <w:pPr>
        <w:spacing w:after="0" w:line="19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considers the inputs utilized to determine the fair value of the borrowings to be Level 3 inputs. The Company categorizes its warrants potentially settleable in cash as Level 3 fair value measurements. The warrants potentially settleable in cash are measured at fair value on a recurring basis and are being marked to fair value at each reporting date until they are completely settled or meet the requirements to be accounted for as component of stockholders’ equity. As of June 30, 2021, as a result of amendment to the terms of the warrants, during the three months ended June 30, 2021, the warrants were classified as a component of equity (see Note 6).</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11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data for the related assets or liabilities.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 The following table summarizes the fair value of the Company’s financial assets that are measured at fair value as of December 31, 2020 and June 30, 2021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1"/>
                <w:szCs w:val="21"/>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5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26,718</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3,379</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market value of warrant liability</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31,821</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Estimated fair value of contingent earn-out considerations</w:t>
            </w:r>
          </w:p>
        </w:tc>
        <w:tc>
          <w:tcPr>
            <w:tcW w:w="168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22,531</w:t>
            </w:r>
          </w:p>
        </w:tc>
      </w:tr>
      <w:tr>
        <w:trPr>
          <w:trHeight w:val="595"/>
        </w:trPr>
        <w:tc>
          <w:tcPr>
            <w:tcW w:w="5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760" w:type="dxa"/>
            <w:vAlign w:val="bottom"/>
            <w:gridSpan w:val="4"/>
          </w:tcPr>
          <w:p>
            <w:pPr>
              <w:jc w:val="center"/>
              <w:ind w:left="476"/>
              <w:spacing w:after="0"/>
              <w:rPr>
                <w:sz w:val="20"/>
                <w:szCs w:val="20"/>
                <w:color w:val="auto"/>
              </w:rPr>
            </w:pPr>
            <w:r>
              <w:rPr>
                <w:rFonts w:ascii="Arial" w:cs="Arial" w:eastAsia="Arial" w:hAnsi="Arial"/>
                <w:sz w:val="14"/>
                <w:szCs w:val="14"/>
                <w:b w:val="1"/>
                <w:bCs w:val="1"/>
                <w:color w:val="auto"/>
                <w:w w:val="93"/>
              </w:rPr>
              <w:t>Fair Value Measurement Category</w:t>
            </w:r>
          </w:p>
        </w:tc>
        <w:tc>
          <w:tcPr>
            <w:tcW w:w="900" w:type="dxa"/>
            <w:vAlign w:val="bottom"/>
          </w:tcPr>
          <w:p>
            <w:pPr>
              <w:spacing w:after="0"/>
              <w:rPr>
                <w:sz w:val="21"/>
                <w:szCs w:val="21"/>
                <w:color w:val="auto"/>
              </w:rPr>
            </w:pPr>
          </w:p>
        </w:tc>
      </w:tr>
      <w:tr>
        <w:trPr>
          <w:trHeight w:val="243"/>
        </w:trPr>
        <w:tc>
          <w:tcPr>
            <w:tcW w:w="5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jc w:val="right"/>
              <w:ind w:right="336"/>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1"/>
                <w:szCs w:val="21"/>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Level 3</w:t>
            </w:r>
          </w:p>
        </w:tc>
      </w:tr>
      <w:tr>
        <w:trPr>
          <w:trHeight w:val="228"/>
        </w:trPr>
        <w:tc>
          <w:tcPr>
            <w:tcW w:w="59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61,934</w:t>
            </w:r>
          </w:p>
        </w:tc>
        <w:tc>
          <w:tcPr>
            <w:tcW w:w="4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2,129</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Liabilities:</w:t>
            </w: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fair value of contingent earn-out considerations</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35,798</w:t>
            </w: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Change in fair market value of warrant liability</w:t>
            </w:r>
          </w:p>
        </w:tc>
        <w:tc>
          <w:tcPr>
            <w:tcW w:w="16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80" w:type="dxa"/>
            <w:vAlign w:val="bottom"/>
          </w:tcPr>
          <w:p>
            <w:pPr>
              <w:ind w:left="6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34,589</w:t>
            </w:r>
          </w:p>
        </w:tc>
      </w:tr>
      <w:tr>
        <w:trPr>
          <w:trHeight w:val="230"/>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liability</w:t>
            </w: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1,894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Jumpstart Our Business Startups Act of 2012 (the “JOBS Act”) permits an emerging growth company to take advantage of an extended transition period to comply with new or revised accounting standards applicable to public companies. The Company has elected to use this extended transition period until it is no longer an emerging growth company or until it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This ASU requires lessees to record most leases on their balance sheets but recognize the expenses on their income statements in a manner similar to current practice. ASU 2016-02 states that a lessee would recognize a lease liability for the obligation to make lease payments and a right-to-use asset for the right to use the underlying asset for the lease term. In July 2019, the FASB delayed the effective date for this ASU for private companies (including emerging growth companies) and it will be effective for annual reporting periods beginning after December 15, 2021, with early adoption permitted. While the Company has not completed its evaluation of the impact of adoption of this standard, the Company does not expect it to have a material impact on its condensed consolidated financial statements.</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2016-13: Financial Instruments – Credit Losses (Topic 326).</w:t>
      </w:r>
      <w:r>
        <w:rPr>
          <w:rFonts w:ascii="Arial" w:cs="Arial" w:eastAsia="Arial" w:hAnsi="Arial"/>
          <w:sz w:val="18"/>
          <w:szCs w:val="18"/>
          <w:color w:val="auto"/>
        </w:rPr>
        <w:t xml:space="preserve"> This ASU requires the use of an expected loss model for certain types of financial instruments and requires consideration of a broader range of reasonable and supportable information to calculate credit loss estimates. For trade receivables, loans and held-to-maturity debt securities, an estimate of lifetime expected credit losses is required. For available-for-sale debt securities, an allowance for credit losses will be required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ind w:right="200"/>
        <w:spacing w:after="0" w:line="259" w:lineRule="auto"/>
        <w:rPr>
          <w:sz w:val="20"/>
          <w:szCs w:val="20"/>
          <w:color w:val="auto"/>
        </w:rPr>
      </w:pPr>
      <w:r>
        <w:rPr>
          <w:rFonts w:ascii="Arial" w:cs="Arial" w:eastAsia="Arial" w:hAnsi="Arial"/>
          <w:sz w:val="18"/>
          <w:szCs w:val="18"/>
          <w:color w:val="auto"/>
        </w:rPr>
        <w:t>rather than a reduction to the carrying value of the asset. In July 2019, the FASB delayed the effective date for this ASU for private companies (including emerging growth companies) and will be effective for annual reporting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December 2019, the FASB issued </w:t>
      </w:r>
      <w:r>
        <w:rPr>
          <w:rFonts w:ascii="Arial" w:cs="Arial" w:eastAsia="Arial" w:hAnsi="Arial"/>
          <w:sz w:val="18"/>
          <w:szCs w:val="18"/>
          <w:i w:val="1"/>
          <w:iCs w:val="1"/>
          <w:color w:val="auto"/>
        </w:rPr>
        <w:t>ASU 2019-12, Income Taxes</w:t>
      </w:r>
      <w:r>
        <w:rPr>
          <w:rFonts w:ascii="Arial" w:cs="Arial" w:eastAsia="Arial" w:hAnsi="Arial"/>
          <w:sz w:val="18"/>
          <w:szCs w:val="18"/>
          <w:color w:val="auto"/>
        </w:rPr>
        <w:t>. This ASU provides for certain updates to reduce complexity in accounting for income taxes, including the utilization of the incremental approach for intra-period tax allocation, among others. This standard is effective for fiscal years beginning after December 15, 2021, and for interim periods beginning after December 15, 2022 with early adoption permitted. While the Company has not completed its evaluation of the impact of adoption of this standard, the Company does not expect it to have a material impact on its condensed consolidated financial statements.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August 2018, the FASB issued </w:t>
      </w:r>
      <w:r>
        <w:rPr>
          <w:rFonts w:ascii="Arial" w:cs="Arial" w:eastAsia="Arial" w:hAnsi="Arial"/>
          <w:sz w:val="16"/>
          <w:szCs w:val="16"/>
          <w:i w:val="1"/>
          <w:iCs w:val="1"/>
          <w:color w:val="auto"/>
        </w:rPr>
        <w:t>ASU No. 2018-15, “Customer’s Accounting for Implementation Cost Incurred in a Cloud Computing Arrangement That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Is a Service Contract” </w:t>
      </w:r>
      <w:r>
        <w:rPr>
          <w:rFonts w:ascii="Arial" w:cs="Arial" w:eastAsia="Arial" w:hAnsi="Arial"/>
          <w:sz w:val="16"/>
          <w:szCs w:val="16"/>
          <w:color w:val="auto"/>
        </w:rPr>
        <w:t>(“ASU 2018-15”). Under the new guidance, customers apply the same criteria for capitalizing implementation costs as they would</w:t>
      </w:r>
      <w:r>
        <w:rPr>
          <w:rFonts w:ascii="Arial" w:cs="Arial" w:eastAsia="Arial" w:hAnsi="Arial"/>
          <w:sz w:val="16"/>
          <w:szCs w:val="16"/>
          <w:i w:val="1"/>
          <w:iCs w:val="1"/>
          <w:color w:val="auto"/>
        </w:rPr>
        <w:t xml:space="preserve"> </w:t>
      </w:r>
      <w:r>
        <w:rPr>
          <w:rFonts w:ascii="Arial" w:cs="Arial" w:eastAsia="Arial" w:hAnsi="Arial"/>
          <w:sz w:val="16"/>
          <w:szCs w:val="16"/>
          <w:color w:val="auto"/>
        </w:rPr>
        <w:t>for an arrangement that has a software license. This will result in certain implementation costs being capitalized; the associated amortization charge will, however, be recorded as an operating expense. Under the previous guidance, costs incurred when implementing a cloud computing arrangement deemed to be a service contract were recorded as an operating expense when incurred.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condensed consolidated financial statements.</w:t>
      </w:r>
    </w:p>
    <w:p>
      <w:pPr>
        <w:spacing w:after="0" w:line="16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In August 2020, the FASB issued </w:t>
      </w:r>
      <w:r>
        <w:rPr>
          <w:rFonts w:ascii="Arial" w:cs="Arial" w:eastAsia="Arial" w:hAnsi="Arial"/>
          <w:sz w:val="18"/>
          <w:szCs w:val="18"/>
          <w:i w:val="1"/>
          <w:iCs w:val="1"/>
          <w:color w:val="auto"/>
        </w:rPr>
        <w:t>ASU No. 2020-06, “Debt—Debt with Conversion and Other Options (Topic 470)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(Topic 814): Accounting for Convertible Instruments and Contracts in an Entity’s Own Equity” </w:t>
      </w:r>
      <w:r>
        <w:rPr>
          <w:rFonts w:ascii="Arial" w:cs="Arial" w:eastAsia="Arial" w:hAnsi="Arial"/>
          <w:sz w:val="18"/>
          <w:szCs w:val="18"/>
          <w:color w:val="auto"/>
        </w:rPr>
        <w:t>(“ASU 2020-06”).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2020-06 eliminates the number of accounting models used to account for convertible debt instruments and convertible preferred stock. The update also amends the disclosure requirements for convertible instruments and EPS in an effort to increase financial reporting transparency. ASU 2020-06 will be effective for fiscal years beginning after December 15, 2021, including interim periods within those fiscal years. Early adoption is permitted. While the Company has not completed its evaluation of the impact of adoption of this standard, the Company does not expect it to have a material impact on its condensed consolidated financial statements.</w:t>
      </w:r>
    </w:p>
    <w:p>
      <w:pPr>
        <w:spacing w:after="0" w:line="32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 as of December 31, 2020 and June 30, 2021:</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34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5"/>
        </w:trPr>
        <w:tc>
          <w:tcPr>
            <w:tcW w:w="34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4"/>
          </w:tcPr>
          <w:p>
            <w:pPr>
              <w:jc w:val="right"/>
              <w:ind w:right="697"/>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Inventory on-hand</w:t>
            </w:r>
          </w:p>
        </w:tc>
        <w:tc>
          <w:tcPr>
            <w:tcW w:w="2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54,798</w:t>
            </w:r>
          </w:p>
        </w:tc>
        <w:tc>
          <w:tcPr>
            <w:tcW w:w="80" w:type="dxa"/>
            <w:vAlign w:val="bottom"/>
            <w:shd w:val="clear" w:color="auto" w:fill="CFF0FC"/>
          </w:tcPr>
          <w:p>
            <w:pPr>
              <w:spacing w:after="0"/>
              <w:rPr>
                <w:sz w:val="19"/>
                <w:szCs w:val="19"/>
                <w:color w:val="auto"/>
              </w:rPr>
            </w:pPr>
          </w:p>
        </w:tc>
      </w:tr>
      <w:tr>
        <w:trPr>
          <w:trHeight w:val="229"/>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Inventory in-transit</w:t>
            </w:r>
          </w:p>
        </w:tc>
        <w:tc>
          <w:tcPr>
            <w:tcW w:w="20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20,716</w:t>
            </w:r>
          </w:p>
        </w:tc>
        <w:tc>
          <w:tcPr>
            <w:tcW w:w="80" w:type="dxa"/>
            <w:vAlign w:val="bottom"/>
            <w:tcBorders>
              <w:bottom w:val="single" w:sz="8" w:color="CFF0FC"/>
            </w:tcBorders>
          </w:tcPr>
          <w:p>
            <w:pPr>
              <w:spacing w:after="0"/>
              <w:rPr>
                <w:sz w:val="19"/>
                <w:szCs w:val="19"/>
                <w:color w:val="auto"/>
              </w:rPr>
            </w:pPr>
          </w:p>
        </w:tc>
      </w:tr>
      <w:tr>
        <w:trPr>
          <w:trHeight w:val="223"/>
        </w:trPr>
        <w:tc>
          <w:tcPr>
            <w:tcW w:w="3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31,582</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Company’s Inventory on-hand is held either with Amazon or the Company’s other third-party warehouses. The Company does not have any contractual right of returns with its contract manufacturers. The Company’s inventory on-hand held by Amazon was approximately $5.3 million and $13.2 million as of December 31, 2020 and June 30, 2021, respectively.</w:t>
      </w:r>
    </w:p>
    <w:p>
      <w:pPr>
        <w:spacing w:after="0" w:line="273"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Prepaids and other current assets consisted of the following as of December 31, 2020 and June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Prepaid inventory</w:t>
            </w:r>
          </w:p>
        </w:tc>
        <w:tc>
          <w:tcPr>
            <w:tcW w:w="256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Restricted cash</w:t>
            </w:r>
          </w:p>
        </w:tc>
        <w:tc>
          <w:tcPr>
            <w:tcW w:w="2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and other current assets</w:t>
            </w:r>
          </w:p>
        </w:tc>
        <w:tc>
          <w:tcPr>
            <w:tcW w:w="23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8"/>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11,111</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12,716</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340" w:type="dxa"/>
            <w:vAlign w:val="bottom"/>
            <w:vMerge w:val="restart"/>
          </w:tcPr>
          <w:p>
            <w:pPr>
              <w:jc w:val="right"/>
              <w:ind w:right="129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 as of December 31, 2020 and June 30, 2021:</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5"/>
          </w:tcPr>
          <w:p>
            <w:pPr>
              <w:jc w:val="right"/>
              <w:ind w:right="772"/>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costs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Accrued professional fees and consultants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1,723</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logistics costs</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Product related accruals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2,910</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tax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Sales return reserve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Insurance financing</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Accrued fulfillment expense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Federal payroll taxes payable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w:t>
            </w:r>
          </w:p>
        </w:tc>
        <w:tc>
          <w:tcPr>
            <w:tcW w:w="8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Transition services payable to seller</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8,231</w:t>
            </w:r>
          </w:p>
        </w:tc>
        <w:tc>
          <w:tcPr>
            <w:tcW w:w="8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All other accruals</w:t>
            </w: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2,459</w:t>
            </w:r>
          </w:p>
        </w:tc>
        <w:tc>
          <w:tcPr>
            <w:tcW w:w="8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24,673</w:t>
            </w:r>
          </w:p>
        </w:tc>
        <w:tc>
          <w:tcPr>
            <w:tcW w:w="8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sponsors, through its professional employer organization provider, a 401(k) defined contribution plan covering all eligible US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401(k) plan are discretionary. Currently, the Company does not match or make any contributions to the 401(k) plan.</w:t>
      </w:r>
    </w:p>
    <w:p>
      <w:pPr>
        <w:spacing w:after="0" w:line="301" w:lineRule="exact"/>
        <w:rPr>
          <w:sz w:val="20"/>
          <w:szCs w:val="20"/>
          <w:color w:val="auto"/>
        </w:rPr>
      </w:pPr>
    </w:p>
    <w:p>
      <w:pPr>
        <w:ind w:left="800" w:hanging="792"/>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TERM LOANS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facility consisted of the following as of December 31, 2020 and June 30, 2021: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55"/>
        </w:trPr>
        <w:tc>
          <w:tcPr>
            <w:tcW w:w="5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4"/>
          </w:tcPr>
          <w:p>
            <w:pPr>
              <w:jc w:val="right"/>
              <w:ind w:right="69"/>
              <w:spacing w:after="0" w:line="155" w:lineRule="exact"/>
              <w:rPr>
                <w:sz w:val="20"/>
                <w:szCs w:val="20"/>
                <w:color w:val="auto"/>
              </w:rPr>
            </w:pPr>
            <w:r>
              <w:rPr>
                <w:rFonts w:ascii="Arial" w:cs="Arial" w:eastAsia="Arial" w:hAnsi="Arial"/>
                <w:sz w:val="14"/>
                <w:szCs w:val="14"/>
                <w:color w:val="auto"/>
              </w:rPr>
              <w:t>(in thousands)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2240" w:type="dxa"/>
            <w:vAlign w:val="bottom"/>
            <w:tcBorders>
              <w:top w:val="single" w:sz="8" w:color="CFF0FC"/>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12,905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6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2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Total MidCap Credit Facility</w:t>
            </w:r>
          </w:p>
        </w:tc>
        <w:tc>
          <w:tcPr>
            <w:tcW w:w="20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MidCap Credit Facility and Term Loan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November 23, 2018, the Company entered into the three-year $25.0 million revolving credit facility (the “Credit Facility”) with MidCap as agent and lenders party thereto. The Credit Facility could be increased, subject to certain conditions, to $50.0 million. Loans under the Credit Facility were determined based on percentages of the Company’s eligible accounts receivable and eligible inventory. The Credit Facility bore interest at a rate of the London Interbank Offered Rate (“LIBOR”) plus 5.75% for outstanding borrowings. The Company was required to pay a facility availability fee of 0.5% on the average unused portion of the Credit Facility.</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December 1, 2020, the Company, certain of the Company’s subsidiaries and MidCap entered into an amendment to the Credit Facility, (i) providing for a $30.0 million revolving credit facility, which could be increased, subject to certain conditions, to $50.0 million, (ii) permitting the incurrence of certain debt under certain conditions and restrictions, including the senior secured note with an aggregate principal amount of $43.0 million issued on December 1, 2020 (as amended, the “December 2020 Note”), (iii) permitting certain payments to High Trail SA as required under the December 2020 Note, and</w:t>
      </w:r>
    </w:p>
    <w:p>
      <w:pPr>
        <w:spacing w:after="0" w:line="1" w:lineRule="exact"/>
        <w:rPr>
          <w:sz w:val="20"/>
          <w:szCs w:val="20"/>
          <w:color w:val="auto"/>
        </w:rPr>
      </w:pPr>
    </w:p>
    <w:p>
      <w:pPr>
        <w:ind w:right="200" w:firstLine="8"/>
        <w:spacing w:after="0" w:line="260" w:lineRule="auto"/>
        <w:tabs>
          <w:tab w:leader="none" w:pos="3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permitting the acquisition of the assets of an e-commerce business under the brands Mueller, Pursteam, Pohl and Schmitt, and Spiralizer (the “Smash Assets”). Further, the Credit Facility was extended to November 23,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p>
      <w:pPr>
        <w:ind w:right="40"/>
        <w:spacing w:after="0" w:line="263" w:lineRule="auto"/>
        <w:rPr>
          <w:sz w:val="20"/>
          <w:szCs w:val="20"/>
          <w:color w:val="auto"/>
        </w:rPr>
      </w:pPr>
      <w:r>
        <w:rPr>
          <w:rFonts w:ascii="Arial" w:cs="Arial" w:eastAsia="Arial" w:hAnsi="Arial"/>
          <w:sz w:val="18"/>
          <w:szCs w:val="18"/>
          <w:color w:val="auto"/>
        </w:rPr>
        <w:t>The Credit Facility contained a minimum liquidity financial covenant that required the Company to maintain a minimum of $6.5 million in cash on hand or availability in the Credit Facility. The Company was in compliance with the financial covenants contained within the Credit Facility as of December 31, 2020.</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As of December 31, 2020, there was $12.9 million outstanding on the Credit Facility and an available balance of approximately $1.4 million and as of June 30, 2021, there was no outstanding balance on the Credit Facility.</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April 8, 2021, the Company paid off all obligations owing under, and terminated, the Credit Facility. The Company recorded $1.5 million of extinguishment of debt for the three and six months ended June 30, 2021, which has been classified within loss on extinguishment of debt on the condensed consolidated statements of operations.</w:t>
      </w:r>
    </w:p>
    <w:p>
      <w:pPr>
        <w:spacing w:after="0" w:line="18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Pursuant to the Credit Facility, upon the payment of the amounts outstanding under the Credit Facility, the Company paid a prepayment fee and a payoff letter preparation fee in an aggregate amount equal to 4.3% of the then outstanding principal balance of the Credit Facility.</w:t>
      </w:r>
    </w:p>
    <w:p>
      <w:pPr>
        <w:spacing w:after="0" w:line="14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recorded interest expense from the Credit Facility of approximately $0.6 million and $0.1 million for the three months ended June 30, 2020 and 2021 respectively, which included $0.2 million and $0.1 million, respectively, relating to debt issuance costs. The Company recorded interest expense from the Credit Facility of approximately $1.2 million and $0.4 million for the six months ended June 30, 2020 and 2021 respectively, which included $0.4 million and $0.1 million, respectively, relating to debt issuance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Term Loan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On December 31, 2018, the Company entered into a term loan agreement (the “Horizon Loan Agreement”) with Horizon Technology Finance Corporation (“Horizon”). As part of the Horizon Loan Agreement, the Company obtained a four-year $15.0 million term loan (the “Horizon Term Loan”). The Horizon Term Loan bore interest at 9.90% plus the amount by which one-month LIBOR exceeded 2.50% for outstanding borrowings, and payments on principal were made on a monthly basis. The maturity date of the Horizon Term Loan was January 2023.</w:t>
      </w:r>
    </w:p>
    <w:p>
      <w:pPr>
        <w:spacing w:after="0" w:line="17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December 1, 2020, the Company paid off all remaining obligations under the Horizon Term Loan for $15.0 million and terminated the Horizon Term Loan. The Company recorded interest expense from the Horizon Term Loan of $1.0 million and $0.0 million for the six months ended June 30, 2020 and 2021, respectively, which included $0.1 million and $0.0 million, respectively, relating to debt issuance costs.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Loan December 2020 Note</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December 1, 2020, the Company refinanced the Horizon Term Loan through the issuance of the December 2020 Note to High Trail SA. The Company received gross proceeds of $38.0 million in exchange for the December 2020 Note with an aggregate principal amount of $43.0 million. The December 2020 Note was to be repaid over 24 equal monthly cash payments of $1.8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December 2020 Note consisted of the following as of December 31, 2020:</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236"/>
        </w:trPr>
        <w:tc>
          <w:tcPr>
            <w:tcW w:w="9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(in thousands)</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December 2020 Note</w:t>
            </w:r>
          </w:p>
        </w:tc>
        <w:tc>
          <w:tcPr>
            <w:tcW w:w="300" w:type="dxa"/>
            <w:vAlign w:val="bottom"/>
            <w:gridSpan w:val="2"/>
            <w:shd w:val="clear" w:color="auto" w:fill="CFF0FC"/>
          </w:tcPr>
          <w:p>
            <w:pPr>
              <w:jc w:val="right"/>
              <w:ind w:right="169"/>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43,000</w:t>
            </w:r>
          </w:p>
        </w:tc>
        <w:tc>
          <w:tcPr>
            <w:tcW w:w="12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(9,839)</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Less: discount associated with original issuance of loan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(4,692)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High Trail warrant</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12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December 2020 Note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58,083</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Less-current portion</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(21,600)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Term loan-non current portion</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36,483</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December 2020 Note contained a minimum liquidity financial covenant that required the Company to maintain a minimum of $10.0 million in unrestricted cash on hand. Additionally, as of the last day of each applicable fiscal quarter, the Company was required to maintain Adjusted EBITDA amounts for the 12-month period ending on such day, as defined in the December 2020 Note. The Company was in compliance with the December 2020 Note’s financial covenants as of December 31,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The December 2020 Note was extinguished on April 8, 2021 in exchange for an April 2021 Note (see the discussion under the heading High Trail April 2021 Note of this Note 6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February 2021 Note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February 2, 2021, the Company entered into a second, separate transaction with High Trail, where it entered into a securities purchase agreement with High Trail ON for a 0% coupon senior secured promissory note in an aggregate principal amount of $16.5 million (as amended, the “February 2021 Note”) that was to mature on February 1, 2023.</w:t>
      </w:r>
    </w:p>
    <w:p>
      <w:pPr>
        <w:spacing w:after="0" w:line="184"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Company recorded interest expense from December 2020 Note of $1.1 million for the year-ended December 31, 2020, which included $0.2 million relating to debt issuance costs. The Company recorded interest expense from the December 2020 Note and February 2021 Note of $0.3 million and $4.1 million for the three and six months ended June 30, 2021, respectively, which included $0.5 million relating to debt issuance costs.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Trail April 2021 Note</w:t>
      </w:r>
    </w:p>
    <w:p>
      <w:pPr>
        <w:spacing w:after="0" w:line="12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 April 8, 2021, the Company refinanced all its existing debt with High Trail and Midcap. As such, the Company entered into a new securities purchase and exchange agreement (the “Securities Purchase Agreement”) with High Trail SA and High Trail ON, pursuant to which, among other things, the Company agreed to issue and sell to High Trail, in a private placement transaction (the “Private Placement”), (i) senior secured promissory notes in an aggregate principal amount of $110.0 million (the “April 2021 Notes”) that accrued interest at a rate of 8% per annum and mature on April 8, 2024, and</w:t>
      </w:r>
    </w:p>
    <w:p>
      <w:pPr>
        <w:spacing w:after="0" w:line="1"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warrants (the “Warrants” and each, a “Warrant”) to purchase up to an aggregate of 2,259,166 shares of the Company’s common stock in exchange for:</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cash payment by High Trail to the Company of $57.7 million, (b) the December 2020 Note, and (c) the February 2021 Note.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$14.8 million of the net proceeds from the Private Placement to repay all amounts owed under the Credit Facility on April 8,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9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4"/>
                <w:szCs w:val="14"/>
                <w:color w:val="auto"/>
              </w:rPr>
            </w:pPr>
          </w:p>
        </w:tc>
      </w:tr>
      <w:tr>
        <w:trPr>
          <w:trHeight w:val="236"/>
        </w:trPr>
        <w:tc>
          <w:tcPr>
            <w:tcW w:w="9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(in thousands)</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April 2021 Note</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Less: deferred debt issuance costs</w:t>
            </w:r>
          </w:p>
        </w:tc>
        <w:tc>
          <w:tcPr>
            <w:tcW w:w="30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(2,089)</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discount associated with issuance of warrants</w:t>
            </w: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(37,014)</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April 2021 Note</w:t>
            </w:r>
          </w:p>
        </w:tc>
        <w:tc>
          <w:tcPr>
            <w:tcW w:w="3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70,897</w:t>
            </w:r>
          </w:p>
        </w:tc>
        <w:tc>
          <w:tcPr>
            <w:tcW w:w="12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related to term loan</w:t>
            </w:r>
          </w:p>
        </w:tc>
        <w:tc>
          <w:tcPr>
            <w:tcW w:w="3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120" w:type="dxa"/>
            <w:vAlign w:val="bottom"/>
            <w:shd w:val="clear" w:color="auto" w:fill="CFF0FC"/>
          </w:tcPr>
          <w:p>
            <w:pPr>
              <w:spacing w:after="0"/>
              <w:rPr>
                <w:sz w:val="19"/>
                <w:szCs w:val="19"/>
                <w:color w:val="auto"/>
              </w:rPr>
            </w:pPr>
          </w:p>
        </w:tc>
      </w:tr>
      <w:tr>
        <w:trPr>
          <w:trHeight w:val="237"/>
        </w:trPr>
        <w:tc>
          <w:tcPr>
            <w:tcW w:w="9260" w:type="dxa"/>
            <w:vAlign w:val="bottom"/>
          </w:tcPr>
          <w:p>
            <w:pPr>
              <w:spacing w:after="0"/>
              <w:rPr>
                <w:sz w:val="20"/>
                <w:szCs w:val="20"/>
                <w:color w:val="auto"/>
              </w:rPr>
            </w:pPr>
            <w:r>
              <w:rPr>
                <w:rFonts w:ascii="Arial" w:cs="Arial" w:eastAsia="Arial" w:hAnsi="Arial"/>
                <w:sz w:val="18"/>
                <w:szCs w:val="18"/>
                <w:color w:val="auto"/>
              </w:rPr>
              <w:t>April 2021 Note</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72,791</w:t>
            </w:r>
          </w:p>
        </w:tc>
        <w:tc>
          <w:tcPr>
            <w:tcW w:w="12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High Trail April 2021 Note transaction resulted in the extinguishment of the two prior High Trail December 2020 and February 2021 term loans. The Company recorded $29.7 million of extinguishment of debt for the three and six months ended June 30, 2021, which has been classified within loss on extinguishment of debt on the condensed consolidated statements of operations.</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breached its Adjusted EBITDA covenant as of June 30, 2021 with its lender, High Trail. As of date of this report, the Company has secured a waiver from its lender. See Note 12 for additional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the issuance of the December 2020 Note, the Company issued to High Trail SA a warrant to purchase an aggregate of 2,864,133 shares of its common stock at an exercise price of $9.01 per share (the “December Warrant”). The December Warrant initially provided that it would be exercisable on June 1, 2021, expire five years from the date of issuance and be exercisable on a cash basis, unless there was not an effective registration statement covering the resale of the shares issuable upon exercise of the December Warrant, in which case the December Warrant would also be exercisable on a cashless exercise basis at High Trail SA’s election. The December Warrant included a provision that gave the Company the right to require High Trail SA to exercise the December Warrant if the price of the common stock of the Company exceeded 200% of the exercise price of the December Warrant for 20 consecutive trading days and certain other conditions were satisfied. The Company utilized the Monte-Carlo Simulation model to determine the fair value of the December Warrant. Due to the complexity of the warrants issued, the Company uses an outside expert to assist in providing the mark to market fair valuation of the liabilities over the reporting periods in which the original agreement was in effect. Inputs used to determine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Generally, increases (decreases) in the fair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jc w:val="both"/>
        <w:ind w:right="180"/>
        <w:spacing w:after="0" w:line="257" w:lineRule="auto"/>
        <w:rPr>
          <w:sz w:val="20"/>
          <w:szCs w:val="20"/>
          <w:color w:val="auto"/>
        </w:rPr>
      </w:pPr>
      <w:r>
        <w:rPr>
          <w:rFonts w:ascii="Arial" w:cs="Arial" w:eastAsia="Arial" w:hAnsi="Arial"/>
          <w:sz w:val="18"/>
          <w:szCs w:val="18"/>
          <w:color w:val="auto"/>
        </w:rPr>
        <w:t>value of the underlying stock and estimated term result in a directionally similar impact to the periodic fair value measurement of the outstanding warrant liability, and are recorded within the Change in fair market value of warranty line item on the statement of operations. As of December 1, 2020, the initial fair value of the December Warrant on issuance was $10.5 million, which has been recorded as a debt discount against the December 2020 Note. During the year ended December 31, 2020, the fair value amount of this warrant liability was approximately $31.8 million, which includes a change of fair value impact of approximately $21.3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February 8, 2021, the Company entered into a letter agreement with High Trail SA (the “Letter Agreement”), pursuant to which, among other things,</w:t>
      </w:r>
    </w:p>
    <w:p>
      <w:pPr>
        <w:spacing w:after="0" w:line="46" w:lineRule="exact"/>
        <w:rPr>
          <w:sz w:val="20"/>
          <w:szCs w:val="20"/>
          <w:color w:val="auto"/>
        </w:rPr>
      </w:pPr>
    </w:p>
    <w:p>
      <w:pPr>
        <w:ind w:firstLine="8"/>
        <w:spacing w:after="0" w:line="284" w:lineRule="auto"/>
        <w:tabs>
          <w:tab w:leader="none" w:pos="2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and High Trail SA agreed to amend the terms of the December Warrant, to provide that the December Warrant was immediately exercisable on a cash basis, (ii) High Trail SA agreed to exercise 980,000 shares of the Company’s common stock subject to the December Warrant (the “December Warrant Shares”) for an aggregate payment to the Company of $8.8 million, (iii) High Trail SA and the Company agreed to cancel the unexercised portion of the December Warrant in exchange for an aggregate payment by High Trail SA to the Company of $17.0 million and the issuance by the Company to High Trail SA of a warrant to purchase 1,884,133 shares of the Company’s common stock (the “Penny Warrant”), (iv) the Company agreed to seek stockholder approval (collectively, the “Stockholder Approvals”) at a stockholder meeting to be held no later than May 31, 2021 (the “Stockholder Meeting”) to issue shares of the Company’s common stock in excess of the limitations imposed by Nasdaq Listing Standard Rule 5635(a) and/or 5635(d) (collectively, the “Nasdaq Rules”) pursuant to the Additional Warrant (as defined below), the December Note, the February Note, that certain Warrant to purchase common stock issued by the Company to High Trail ON on February 2, 2021 (as amended, the “</w:t>
      </w:r>
      <w:r>
        <w:rPr>
          <w:rFonts w:ascii="Arial" w:cs="Arial" w:eastAsia="Arial" w:hAnsi="Arial"/>
          <w:sz w:val="16"/>
          <w:szCs w:val="16"/>
          <w:u w:val="single" w:color="auto"/>
          <w:color w:val="auto"/>
        </w:rPr>
        <w:t>February Warrant</w:t>
      </w:r>
      <w:r>
        <w:rPr>
          <w:rFonts w:ascii="Arial" w:cs="Arial" w:eastAsia="Arial" w:hAnsi="Arial"/>
          <w:sz w:val="16"/>
          <w:szCs w:val="16"/>
          <w:color w:val="auto"/>
        </w:rPr>
        <w:t>”) and that certain Asset Purchase Agreement, dated February 2, 2021, by and among the Company and Truweo, LLC, as purchaser, Healing Solutions, Jason R. Hope, and for the purposes of Section 5.11 and Article VII, Super Transcontinental Holdings LLC (the “Asset Purchase Agreement”), (v) the Company agreed to issue to High Trail SA a warrant to purchase 750,000 shares of the Company’s common stock (the “Additional Warrant”), (vi) the Company agreed to prepare and file by March 26, 2021 a registration statement (the “Registration Statement”) with the Securities and Exchange Commission for the purpose of registering for resale the December Warrant Shares and the shares issuable upon exercise of the Penny Warrant (the “Penny Warrant Shares”), and (vii) High Trail SA agreed, for the first 30 days following the effectiveness of the Registration Statement, not to sell, or otherwise transfer or dispose of the December Warrant Shares or Penny Warrant Shares on any day in an amount that is greater than 10% of the trading volume of the Company’s common stock for such day.</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Letter Agreement, High Trail SA exercised the December Warrant and the Company issued the Penny Warrant and the Additional Warrant to High Trail SA on February 9, 2021. On February 8, 2021, the Company entered into (i) an amendment (the “2022 Note Amendment”) to the December 2020 Note, (ii) an amendment (the “2023 Note Amendment”) to the February 2021 Note, and (iii) an amendment (the “Warrant Amendment”) to the February Warrant.</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2022 Note Amendment and the 2023 Note Amendment amended the December 2020 Note and the February 2021 Note, respectively, to provide that no shares of common stock may be issued pursuant thereto unless the Company obtained the Stockholder Approvals to issue shares of Company’s common stock pursuant thereto in excess of the limitations imposed by the Nasdaq Rules.</w:t>
      </w:r>
    </w:p>
    <w:p>
      <w:pPr>
        <w:spacing w:after="0" w:line="18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Warrant Amendment amended the February Warrant to provide that: (i) it may only be exercised for up to 134,348 shares of Company’s common stock unless the Company obtained the Stockholder Approval contemplated by the Nasdaq Rules to issue additional shares of Company’s common stock in excess of 134,348 shares, (ii) its term shall be the later of five years from the date of issuance and the date that is one year from the date that the Stockholder Approvals are obtained, and (iii) the beneficial ownership limitation is increased from 4.99% to 9.99%. The initial fair value of the February Warrant and the Additional Warrant on issuance was $10.9 million, which was recorded as a debt discount against the February 2021 Note.</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six months ended June 30, 2021, the fair value amount of the remaining Penny Warrants from the December 2020 Note, the February Warrants from the February 2021 Note, the Penny Warrant and the Additional Warrant warrant liabilities were fair valued on April 8, 2021, prior to their amendment in connection with the April Letter Agreement (see below), which resulted in a change of fair value charge of $4.4 million for the three months ended June 30, 2021 and $34.6 million for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April Letter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8, 2021, the Company entered into a Letter Agreement (the “April Letter Agreement”) with High Trail SA and High Trail ON, pursuant to which, among other things, (i) the Company and High Trail SA agreed to amend the terms of the Letter Agreement to provide that the Company will prepare and file by June 30, 2021 a registration statement (the “Resale Registration Statement”) with the Securities and Exchange Commission for the purposes of registering for resale the December Warrant Shares, the Penny Warrant Shares and the Restricted Shares (as defined below), (ii) the Company issued 130,000 shares of its common stock to High Trail SA (the “Restricted Shares”), and (iii) High Trail SA and High Trail ON agreed to waive any Default or Event of Default (as such terms are defined in the December 2020 Note or the February 2021 Note) caused by the Company’s failure to file the Resale Registration Statement by March 26,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40"/>
        <w:spacing w:after="0" w:line="269" w:lineRule="auto"/>
        <w:rPr>
          <w:sz w:val="20"/>
          <w:szCs w:val="20"/>
          <w:color w:val="auto"/>
        </w:rPr>
      </w:pPr>
      <w:r>
        <w:rPr>
          <w:rFonts w:ascii="Arial" w:cs="Arial" w:eastAsia="Arial" w:hAnsi="Arial"/>
          <w:sz w:val="17"/>
          <w:szCs w:val="17"/>
          <w:color w:val="auto"/>
        </w:rPr>
        <w:t>On April 8, 2021, the Company entered into (i) an amendment (the “SPA Amendment”) to that certain Securities Purchase Agreement, dated as of November 30, 2020, by and between the Company and High Trail SA (the “December 2020 SPA”), and to that certain Securities Purchase Agreement, dated as of February 2, 2021, by and between the Company and High Trail ON (the “February 2021 SPA”), (ii) an amendment to the February Warrant (the “February Warrant Amendment”), (iii) an amendment to the Penny Warrant (the “Penny Warrant Amendment”), and (iv) an amendment to the Additional Warrant (the “Additional Warrant Amendment” and, together with the February Warrant Amendment and the Penny Warrant Amendment, the “Warrant Amendments”). The SPA Amendment amended the December 2020 SPA and the February 2021 SPA to, among other things, allow for the issuance of the April 2021 Notes and to waive certain rights of High Trail under the December 2020 SPA and the February 2021 SPA. The Warrant Amendments amend the February Warrant, the Penny Warrant and the Additional Warrant to amend the definition of “Black Scholes Value” in each warrant to provide that the expected volatility used in the Black Scholes Value shall equal 100% instead of the greater of 100% and the 100-day volatility obtained from the HVT function on Bloomberg (determined utilizing a 365-day annualization factor) as of the trading day immediately following the public announcement of a Change of Control (as defined in each of the warrants), or, if the Change of Control is not publicly announced, the date the Change of Control is consummated.</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Warrant Amendments to the February Warrant, the Penny Warrant and the Additional Warrant resulted in an $80.0 million reclassification from a liability to a component of equity.</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Restricted Shares were expensed as part of extinguishment loss, valued based on the fair market value on April 8, 2021 for $4.1 million for each of the three and six months ended June 30, 2021, with the offset impacting stockholders’ equity.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 for the three and six months ended June 30, 2020 and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0"/>
              </w:rPr>
              <w:t>June 30, 2021</w:t>
            </w:r>
          </w:p>
        </w:tc>
        <w:tc>
          <w:tcPr>
            <w:tcW w:w="280" w:type="dxa"/>
            <w:vAlign w:val="bottom"/>
          </w:tcPr>
          <w:p>
            <w:pPr>
              <w:spacing w:after="0"/>
              <w:rPr>
                <w:sz w:val="13"/>
                <w:szCs w:val="13"/>
                <w:color w:val="auto"/>
              </w:rPr>
            </w:pPr>
          </w:p>
        </w:tc>
        <w:tc>
          <w:tcPr>
            <w:tcW w:w="1080" w:type="dxa"/>
            <w:vAlign w:val="bottom"/>
            <w:tcBorders>
              <w:top w:val="single" w:sz="8" w:color="auto"/>
              <w:bottom w:val="single" w:sz="8" w:color="auto"/>
            </w:tcBorders>
            <w:gridSpan w:val="3"/>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June 30, 2020</w:t>
            </w: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60" w:type="dxa"/>
            <w:vAlign w:val="bottom"/>
            <w:gridSpan w:val="4"/>
          </w:tcPr>
          <w:p>
            <w:pPr>
              <w:jc w:val="right"/>
              <w:ind w:right="755"/>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4"/>
          </w:tcPr>
          <w:p>
            <w:pPr>
              <w:jc w:val="right"/>
              <w:ind w:right="119"/>
              <w:spacing w:after="0" w:line="155"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9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3"/>
        </w:trPr>
        <w:tc>
          <w:tcPr>
            <w:tcW w:w="62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expense,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9,092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7.</w:t>
            </w:r>
          </w:p>
        </w:tc>
        <w:tc>
          <w:tcPr>
            <w:tcW w:w="59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 w:type="dxa"/>
            <w:vAlign w:val="bottom"/>
            <w:vMerge w:val="continue"/>
          </w:tcPr>
          <w:p>
            <w:pPr>
              <w:spacing w:after="0"/>
              <w:rPr>
                <w:sz w:val="24"/>
                <w:szCs w:val="24"/>
                <w:color w:val="auto"/>
              </w:rPr>
            </w:pPr>
          </w:p>
        </w:tc>
        <w:tc>
          <w:tcPr>
            <w:tcW w:w="5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equity plans: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Amended and Restated Equity Incentive Plan</w:t>
      </w:r>
    </w:p>
    <w:p>
      <w:pPr>
        <w:spacing w:after="0" w:line="1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of Aterian Group, Inc., a subsidiary of the Company (“AGI”), adopted, and AGI’s stockholders approved, the Mohawk Group, Inc. 2014 Equity Incentive Plan on June 11, 2014. On March 1, 2017, AGI’s board of directors adopted, and AGI’s stockholders approved, an amendment and restatement of the 2014 Equity Incentive Plan (as amended, the “Aterian 2014 Plan”). As of June 30, 2021, 60,509 shares were reserved for awards available for future issuance under the Aterian 2014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board of directors adopted the Aterian, Inc. 2018 Equity Incentive Plan (the “2018 Plan”) on October 11, 2018. The 2018 Plan was approved by its stockholders on May 24, 2019. As of June 30, 2021, 341,397 shares were reserved for awards available for future issuance under the 2018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t>Options granted to date under the Aterian 2014 Plan and the 2018 Plan generally vest either: (i) over a four-year period with 25% of the shares underlying the options vesting on the first anniversary of the vesting commencement date with the remaining 75% of the shares vesting on a pro-rata basis over the succeeding thirty-six months, subject to continued service with the Company through each vesting date, or (ii) over a three-year period with 33 1/3% of the shares underlying the options vesting on the first anniversary of the vesting commencement date with the remaining 66 2/3% of the shares vesting on a pro-rata basis over the succeeding twenty-four months, subject to continued service with the Company through each vesting date. Options granted are generally exercisable for up to 10 years subject to continued service with the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Plan</w:t>
      </w:r>
    </w:p>
    <w:p>
      <w:pPr>
        <w:spacing w:after="0" w:line="13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The Company’s board of directors adopted the Aterian, Inc. 2019 Equity Plan (the “2019 Equity Plan”) on March 20, 2019. The 2019 Equity Plan was approved by its stockholders on May 24, 2019. As of June 30, 2021, no shares were reserved for future issuance. Shares of restricted common stock granted under the 2019 Equity Plan initially vested in substantially equal installments on the 6th, 12th, 18th and 24th monthly anniversary of the closing of the Company’s initial public offering (“IPO”). The Company and the 2019 Equity Plan participants subsequently agreed to extend (i) the vesting date for the first installment of shares of restricted common stock under the 2019 Equity Plan to March 13, 2020, (ii) the vesting date for the second installment of shares of restricted common stock to December 15, 2020, (iii) the vesting date for the third installment of shares of restricted common stock to</w:t>
      </w:r>
    </w:p>
    <w:p>
      <w:pPr>
        <w:spacing w:after="0" w:line="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either January 18, 2021 or March 10, 2021, and (iv) the vesting date for the fourth installment of shares of restricted common stock to July 1, 2021 or December 14, 2021. Awards granted under the 2019 Equity Plan and not previously forfeited upon termination of service carry dividend and voting rights applicable to the Company’s common stock, irrespective of any vesting requirement. Under ASC Topic 718, the Company treats each award in substance as multiple awards as a result of the graded vesting and the fact that there is more than one requisite service period. Upon the prerequisite service period becoming probable, the day of the IPO, the Company recorded a cumulative catch up expense and the remaining expense will be recorded under graded vesting. In the event the service of a participant in the 2019 Equity Plan (each, a “Participant”) is terminated due to an “involuntary termination”, then all of such Participant’s unvested shares of restricted common stock shall vest on the date of such involuntary termination unless, within three business days of such termination (1) the Company’s board of directors unanimously determines that such vesting shall not occur and (2) the remaining Participants holding restricted share awards covering at least 70% of the shares of restricted common stock issued and outstanding under the 2019 Equity Plan determine that such vesting shall not occur. In the event of a forfeiture, voluntary or involuntary, of shares of restricted common stock granted under the 2019 Equity Plan, such shares are automatically reallocated to the remaining Participants in proportion to the number of shares of restricted common stock covered by outstanding awards that each such Participant holds.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during the six months ended June 30, 2021:</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1,570,728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Options 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(978,495)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Options cancelled</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(29,705)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Exercisable as of June 30, 2021</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7.26</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467,528</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CFF0FC"/>
            </w:tcBorders>
            <w:gridSpan w:val="2"/>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as of June 30, 2021</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562,528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3,049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2021, the total unrecognized compensation expense related to unvested options was $1.5 million, which the Company expects to recognize over an estimated weighted average period of 0.35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222222"/>
        </w:rPr>
        <w:t>A summary of restricted stock award activity within the Company’s equity plans and changes for the six months ended June 30, 2021 is as follows:</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42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Restricted Stock Awards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54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at January 1, 2021</w:t>
            </w:r>
          </w:p>
        </w:tc>
        <w:tc>
          <w:tcPr>
            <w:tcW w:w="1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3,259,389</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1,895,642</w:t>
            </w:r>
          </w:p>
        </w:tc>
        <w:tc>
          <w:tcPr>
            <w:tcW w:w="2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(1,460,312)</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(258,971)</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Nonvested at June 30,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3,435,748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March 12, 2020, 371,320 shares of restricted common stock were forfeited and treated as a cancellation with remaining unrecognized expense for the unvested awards recognized on the date of cancellation. The Company did not reverse previously recognized compensation expenses as a result of these cancellations.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June 30, 2020, the total unrecognized compensation expense related to unvested shares of restricted common stock was $9.1 million, which the Company expects to recognize over an estimated weighted-average period of 0.90 years. As of June 30, 2021, the total unrecognized compensation expense related to unvested shares of restricted common stock was $33.9 million, which the Company expects to recognize over an estimated weighted-average period of 1.63 years.</w:t>
      </w:r>
    </w:p>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222222"/>
        </w:rPr>
        <w:t>Stock-based compensation expense is allocated based on the cost center to which the award holder belongs. The following table summarizes the total stock-based compensation expense by function, including expense related to consultants, for the three and six months ended June 30, 2020 and 2021:</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168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359"/>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6"/>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gridSpan w:val="4"/>
          </w:tcPr>
          <w:p>
            <w:pPr>
              <w:jc w:val="center"/>
              <w:ind w:right="94"/>
              <w:spacing w:after="0" w:line="155" w:lineRule="exact"/>
              <w:rPr>
                <w:sz w:val="20"/>
                <w:szCs w:val="20"/>
                <w:color w:val="auto"/>
              </w:rPr>
            </w:pPr>
            <w:r>
              <w:rPr>
                <w:rFonts w:ascii="Arial" w:cs="Arial" w:eastAsia="Arial" w:hAnsi="Arial"/>
                <w:sz w:val="14"/>
                <w:szCs w:val="14"/>
                <w:color w:val="auto"/>
                <w:w w:val="92"/>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center"/>
              <w:ind w:right="14"/>
              <w:spacing w:after="0" w:line="155" w:lineRule="exact"/>
              <w:rPr>
                <w:sz w:val="20"/>
                <w:szCs w:val="20"/>
                <w:color w:val="auto"/>
              </w:rPr>
            </w:pPr>
            <w:r>
              <w:rPr>
                <w:rFonts w:ascii="Arial" w:cs="Arial" w:eastAsia="Arial" w:hAnsi="Arial"/>
                <w:sz w:val="14"/>
                <w:szCs w:val="14"/>
                <w:color w:val="auto"/>
                <w:w w:val="92"/>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4"/>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Total stock-based compensation expense</w:t>
            </w:r>
          </w:p>
        </w:tc>
        <w:tc>
          <w:tcPr>
            <w:tcW w:w="8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5,171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4,862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12,610</w:t>
            </w:r>
          </w:p>
        </w:tc>
        <w:tc>
          <w:tcPr>
            <w:tcW w:w="18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11,760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spacing w:after="0" w:line="18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two-class method to consider the impact of the shares of restricted common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shares of common stock and shares of restricted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Three Months Ended June 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56"/>
        </w:trPr>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6"/>
        </w:trPr>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4"/>
          </w:tcPr>
          <w:p>
            <w:pPr>
              <w:jc w:val="right"/>
              <w:ind w:right="535"/>
              <w:spacing w:after="0" w:line="155"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4"/>
          </w:tcPr>
          <w:p>
            <w:pPr>
              <w:jc w:val="right"/>
              <w:ind w:right="535"/>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(36,306)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(118,859)</w:t>
            </w: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Weighted-average number of 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outstanding used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w w:val="96"/>
              </w:rPr>
              <w:t>computing net loss per share, basic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15,425,312</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29,547,781</w:t>
            </w:r>
          </w:p>
        </w:tc>
        <w:tc>
          <w:tcPr>
            <w:tcW w:w="12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15,308,966</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27,886,582</w:t>
            </w:r>
          </w:p>
        </w:tc>
        <w:tc>
          <w:tcPr>
            <w:tcW w:w="80" w:type="dxa"/>
            <w:vAlign w:val="bottom"/>
            <w:tcBorders>
              <w:bottom w:val="single" w:sz="8" w:color="CFF0FC"/>
            </w:tcBorders>
          </w:tcPr>
          <w:p>
            <w:pPr>
              <w:spacing w:after="0"/>
              <w:rPr>
                <w:sz w:val="20"/>
                <w:szCs w:val="20"/>
                <w:color w:val="auto"/>
              </w:rPr>
            </w:pPr>
          </w:p>
        </w:tc>
      </w:tr>
      <w:tr>
        <w:trPr>
          <w:trHeight w:val="223"/>
        </w:trPr>
        <w:tc>
          <w:tcPr>
            <w:tcW w:w="3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Legal Proceedings</w:t>
      </w:r>
      <w:r>
        <w:rPr>
          <w:rFonts w:ascii="Arial" w:cs="Arial" w:eastAsia="Arial" w:hAnsi="Arial"/>
          <w:sz w:val="16"/>
          <w:szCs w:val="16"/>
          <w:color w:val="auto"/>
        </w:rPr>
        <w:t>—The Company is party to various actions and claims arising in the normal course of business. The Company does not believe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final outcome of these matters will have a material adverse effect on the Company’s condensed consolidated financial position or results of operations. In addition, the Company maintains what it believes is adequate insurance coverage to further mitigate risk. However, no assurance can be given that the final outcome of such proceedings will not materially impact the Company’s condensed consolidated financial condition or results of operations. Further, no assurance can be given that the amount or scope of existing insurance coverage will be sufficient to cover losses arising from such matters.</w:t>
      </w:r>
    </w:p>
    <w:p>
      <w:pPr>
        <w:spacing w:after="0" w:line="15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On May 13, 2021, a securities class action complaint was filed in the U.S. District Court for the Southern District of New York by Andrew Tate naming the Company, Yaniv Sarig, and Fabrice Hamaide as defendants. On June 10, 2021, a substantially similar securities class action complaint was filed in the U.S. District Court for the Southern District of New York by Jeff Coon against the same defendants. Both complaints assert violations of Sections 10(b) and 20(a) of the Exchange Act and Rule 10b-5 promulgated thereunder, claiming that the defendants made false and materially misleading statements and failed to disclose material adverse facts regarding the Company's business, operations and prospects, specifically regarding (1) the Company’s acquisitions of certain e-commerce business brands from 9830 Macarthur LLC, ZN Direct LLC, and Reliance Equities Group, LLC (as announced on December 1, 2020) and from Healing Solutions, LLC (as announced on February 2, 2021); (2) the Company’s organic growth; (3) the Company’s AIMEE software; and</w:t>
      </w:r>
    </w:p>
    <w:p>
      <w:pPr>
        <w:spacing w:after="0" w:line="2" w:lineRule="exact"/>
        <w:rPr>
          <w:sz w:val="20"/>
          <w:szCs w:val="20"/>
          <w:color w:val="auto"/>
        </w:rPr>
      </w:pPr>
    </w:p>
    <w:p>
      <w:pPr>
        <w:ind w:right="100" w:firstLine="8"/>
        <w:spacing w:after="0" w:line="295"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Company’s marketing practices. Several stockholders and their respective counsel have sought consolidation of the two actions and appointment as lead plaintiff and class counsel, respectively. The Court has yet to act on those motions. The Company intends to vigorously defend against these actions. However, the outcome of this legal proceeding is uncertain at this point. Based on information available to the Company at present, it cannot reasonably estimate a range of loss for this action. Accordingly, the Company has not accrued any liability associated with this action.</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Sales or Other Similar Taxes</w:t>
      </w:r>
      <w:r>
        <w:rPr>
          <w:rFonts w:ascii="Arial" w:cs="Arial" w:eastAsia="Arial" w:hAnsi="Arial"/>
          <w:sz w:val="18"/>
          <w:szCs w:val="18"/>
          <w:color w:val="auto"/>
        </w:rPr>
        <w:t>— Based on the location of the Company’s current operations, the majority of sales tax is collected and remitted either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on its behalf by e-commerce marketplaces in most states within the United States. To date, the Company has had no actual or threatened sales and use tax claims from any state where it does not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each of December 31, 2020 and June 30, 2021, the Company estimates that the potential liability, including current sales tax payable is approximately $0.5 million and $0.7 million, respectively, which has been recorded as an accrued liability. The Company believes this is the best estimate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4" w:name="page25"/>
    <w:bookmarkEnd w:id="24"/>
    <w:p>
      <w:pPr>
        <w:ind w:right="220"/>
        <w:spacing w:after="0" w:line="277" w:lineRule="auto"/>
        <w:rPr>
          <w:sz w:val="20"/>
          <w:szCs w:val="20"/>
          <w:color w:val="auto"/>
        </w:rPr>
      </w:pPr>
      <w:r>
        <w:rPr>
          <w:rFonts w:ascii="Arial" w:cs="Arial" w:eastAsia="Arial" w:hAnsi="Arial"/>
          <w:sz w:val="18"/>
          <w:szCs w:val="18"/>
          <w:color w:val="auto"/>
        </w:rPr>
        <w:t>of an amount due to taxing agencies, given that such a potential loss is an unasserted liability that would be contested and subject to negotiation between the Company and the state, or decided by a court.</w:t>
      </w:r>
    </w:p>
    <w:p>
      <w:pPr>
        <w:spacing w:after="0" w:line="1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color w:val="auto"/>
        </w:rPr>
        <w:t>U.S. Department of Energy</w:t>
      </w:r>
      <w:r>
        <w:rPr>
          <w:rFonts w:ascii="Arial" w:cs="Arial" w:eastAsia="Arial" w:hAnsi="Arial"/>
          <w:sz w:val="16"/>
          <w:szCs w:val="16"/>
          <w:color w:val="auto"/>
        </w:rPr>
        <w:t>— In September 2019, the Company received a Test Notice from the U.S. Department of Energy (“DOE”) indicating that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certain dehumidifier model may not comply with applicable energy-conservation standards. The DOE requested that the Company provide it with several model units for DOE testing. If the Company is determined to have violated certain energy-conservation standards, it could be fined pursuant to DOE guidelines, and this civil penalty may be material to the Company’s consolidated financial statements. The Company intends to vigorously defend itself. The Company has submitted to the DOE testing process, made a good-faith effort to provide necessary notice as practicable, and included in a formal response to the DOE copies of the energy-efficiency report and certification that were issued for the dehumidifier model at the time of production. </w:t>
      </w:r>
      <w:r>
        <w:rPr>
          <w:rFonts w:ascii="Arial" w:cs="Arial" w:eastAsia="Arial" w:hAnsi="Arial"/>
          <w:sz w:val="16"/>
          <w:szCs w:val="16"/>
          <w:color w:val="222222"/>
        </w:rPr>
        <w:t>The</w:t>
      </w:r>
      <w:r>
        <w:rPr>
          <w:rFonts w:ascii="Arial" w:cs="Arial" w:eastAsia="Arial" w:hAnsi="Arial"/>
          <w:sz w:val="16"/>
          <w:szCs w:val="16"/>
          <w:color w:val="auto"/>
        </w:rPr>
        <w:t xml:space="preserve"> </w:t>
      </w:r>
      <w:r>
        <w:rPr>
          <w:rFonts w:ascii="Arial" w:cs="Arial" w:eastAsia="Arial" w:hAnsi="Arial"/>
          <w:sz w:val="16"/>
          <w:szCs w:val="16"/>
          <w:color w:val="222222"/>
        </w:rPr>
        <w:t xml:space="preserve">Company believes that its products are compliant, and the Company, in conjunction with its manufacturing partner, has disputed the Test Notice received from the DOE. </w:t>
      </w:r>
      <w:r>
        <w:rPr>
          <w:rFonts w:ascii="Arial" w:cs="Arial" w:eastAsia="Arial" w:hAnsi="Arial"/>
          <w:sz w:val="16"/>
          <w:szCs w:val="16"/>
          <w:color w:val="000000"/>
        </w:rPr>
        <w:t>As of the date of the issuance of these financial statements, the Company cannot reasonably estimate what, if any, penalties may be levied.</w:t>
      </w:r>
    </w:p>
    <w:p>
      <w:pPr>
        <w:spacing w:after="0" w:line="159"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U.S. Environmental Protection Agency</w:t>
      </w:r>
      <w:r>
        <w:rPr>
          <w:rFonts w:ascii="Arial" w:cs="Arial" w:eastAsia="Arial" w:hAnsi="Arial"/>
          <w:sz w:val="17"/>
          <w:szCs w:val="17"/>
          <w:color w:val="auto"/>
        </w:rPr>
        <w:t>—</w:t>
      </w:r>
      <w:r>
        <w:rPr>
          <w:rFonts w:ascii="Arial" w:cs="Arial" w:eastAsia="Arial" w:hAnsi="Arial"/>
          <w:sz w:val="17"/>
          <w:szCs w:val="17"/>
          <w:color w:val="222222"/>
        </w:rPr>
        <w:t>In September 2019, the Company received notice from the U.S. Environmental Protection Agency (“EPA”) that</w:t>
      </w:r>
      <w:r>
        <w:rPr>
          <w:rFonts w:ascii="Arial" w:cs="Arial" w:eastAsia="Arial" w:hAnsi="Arial"/>
          <w:sz w:val="17"/>
          <w:szCs w:val="17"/>
          <w:b w:val="1"/>
          <w:bCs w:val="1"/>
          <w:color w:val="auto"/>
        </w:rPr>
        <w:t xml:space="preserve"> </w:t>
      </w:r>
      <w:r>
        <w:rPr>
          <w:rFonts w:ascii="Arial" w:cs="Arial" w:eastAsia="Arial" w:hAnsi="Arial"/>
          <w:sz w:val="17"/>
          <w:szCs w:val="17"/>
          <w:color w:val="222222"/>
        </w:rPr>
        <w:t>certain of its dehumidifier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The Company believes that its products are compliant, and the Company, in conjunction with its manufacturing partner, has disputed the AHAM testing determination pursuant to EPA guidelines. While a resolution remains pending, the Company is not selling or marketing the products identified by the EPA. The Company cannot be certain that these products will eventually be certified by the EPA, and the Company may incur costs that cannot presently be calculated in the event that the Company needs to make changes to the manner in which these products are manufactured and sold.</w:t>
      </w:r>
    </w:p>
    <w:p>
      <w:pPr>
        <w:spacing w:after="0" w:line="17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222222"/>
        </w:rPr>
        <w:t>In April 2020, the Company received notice from the EPA with respect to regulatory compliance and the advertising associated with certain of its dehumidifier products. The Company believes that its products are compliant, and the Company is currently in discussions with the EPA to resolve the matter. The EPA has placed a hold on the sale of certain of the Company's dehumidifier inventory while it reviews the matter with the Company. As of October 2020, the Company is able to resume selling the products identified by the EPA, and discussions are continuing with the EPA. The Company cannot be certain of the outcome with the EPA, and the Company may incur costs and penalties that cannot presently be calculated in the event that the Company is unable to resolve this matter with the EPA.</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Settlement Agreement</w:t>
      </w:r>
      <w:r>
        <w:rPr>
          <w:rFonts w:ascii="Arial" w:cs="Arial" w:eastAsia="Arial" w:hAnsi="Arial"/>
          <w:sz w:val="17"/>
          <w:szCs w:val="17"/>
          <w:color w:val="auto"/>
        </w:rPr>
        <w:t>—</w:t>
      </w:r>
      <w:r>
        <w:rPr>
          <w:rFonts w:ascii="Arial" w:cs="Arial" w:eastAsia="Arial" w:hAnsi="Arial"/>
          <w:sz w:val="17"/>
          <w:szCs w:val="17"/>
          <w:color w:val="222222"/>
        </w:rPr>
        <w:t>On May 2, 2021, the Company entered into a settlement agreement with one of the Company’s suppliers to agree to pay the</w:t>
      </w:r>
      <w:r>
        <w:rPr>
          <w:rFonts w:ascii="Arial" w:cs="Arial" w:eastAsia="Arial" w:hAnsi="Arial"/>
          <w:sz w:val="17"/>
          <w:szCs w:val="17"/>
          <w:b w:val="1"/>
          <w:bCs w:val="1"/>
          <w:color w:val="auto"/>
        </w:rPr>
        <w:t xml:space="preserve"> </w:t>
      </w:r>
      <w:r>
        <w:rPr>
          <w:rFonts w:ascii="Arial" w:cs="Arial" w:eastAsia="Arial" w:hAnsi="Arial"/>
          <w:sz w:val="17"/>
          <w:szCs w:val="17"/>
          <w:color w:val="222222"/>
        </w:rPr>
        <w:t>amount of $3.0 million to the Company in three installments of $1.0 million each, with the first payment to be paid on or before May 31, 2021, the second payment to be paid on or before September 30, 2021, and the third payment to be paid on or before November 30, 2021. Further, the supplier agreed to deliver certain goods as part of this settlement by June 30, 2021. Through the date of these condensed consolidated financial statements, the supplier has not paid in full its required first payment of $1.0 million nor has it delivered the required quantity of goods. As such, the Company has fully reserved during the three months ended June 30, 2021, within in sales and distribution expenses, $4.1 million of this prepaid assets within condensed consolidated financial statements. The Company continue to reserve its legal options and rights on this matter.</w:t>
      </w:r>
    </w:p>
    <w:p>
      <w:pPr>
        <w:spacing w:after="0" w:line="280" w:lineRule="exact"/>
        <w:rPr>
          <w:sz w:val="20"/>
          <w:szCs w:val="20"/>
          <w:color w:val="auto"/>
        </w:rPr>
      </w:pPr>
    </w:p>
    <w:p>
      <w:pPr>
        <w:ind w:right="9720" w:firstLine="8"/>
        <w:spacing w:after="0" w:line="400" w:lineRule="auto"/>
        <w:tabs>
          <w:tab w:leader="none" w:pos="27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Healing Solutions</w:t>
      </w:r>
    </w:p>
    <w:p>
      <w:pPr>
        <w:ind w:right="40"/>
        <w:spacing w:after="0" w:line="289" w:lineRule="auto"/>
        <w:rPr>
          <w:sz w:val="20"/>
          <w:szCs w:val="20"/>
          <w:color w:val="auto"/>
        </w:rPr>
      </w:pPr>
      <w:r>
        <w:rPr>
          <w:rFonts w:ascii="Arial" w:cs="Arial" w:eastAsia="Arial" w:hAnsi="Arial"/>
          <w:sz w:val="16"/>
          <w:szCs w:val="16"/>
          <w:color w:val="auto"/>
        </w:rPr>
        <w:t>On February 2, 2021 (the “Closing Date”), the Company entered into and closed the Asset Purchase Agreement with Healing Solutions. Pursuant to the Asset Purchase Agreement, the Company purchased and acquired certain assets of Healing Solutions (the “Healing Solutions Assets”) related to Healing Solutions’ retail and e-commerce business under the Healing Solutions’ brands, Tarvol, Sun Essential Oils and Artizen (among others), which primarily sells essential oils through Amazon and other marketplaces (the “Asset Purchase”). The Acquisition was accounted for as a business combination using the acquisition method of accounting in accordance with ASC 805, Business Combinations. As consideration for the Asset Purchase, the Company (i) paid to Healing Solutions $15.3 million in cash (the “Cash Purchase Price”), and (ii) issued 1,387,759 shares of common stock to Healing Solutions, the cost basis of which was the closing price per share of the common stock on the Closing Date. At the closing (the “Closing”), the Company withheld $2.0 million of the Cash Purchase Price to serve as collateral for Healing Solutions’ payment of certain overdue trade payables to be released to Healing Solutions in accordance with the terms of the Asset Purchase Agreement. This amount was paid by the Company within 60 days of the Closing Date.</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Healing Solutions will also be entitled to receive 170,042 shares of common stock (up to a maximum of 280,000 shares pursuant to certain terms and valuation at the measurement date) in respect of certain inventory. The shares will be issued to Healing Solutions following the final determination of inventory values pursuant to the terms of the Asset Purchase Agreement, which determination is expected to occur approximately nine to ten months following the Closing Date and such shares will be subject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right="80"/>
        <w:spacing w:after="0" w:line="290" w:lineRule="auto"/>
        <w:rPr>
          <w:sz w:val="20"/>
          <w:szCs w:val="20"/>
          <w:color w:val="auto"/>
        </w:rPr>
      </w:pPr>
      <w:r>
        <w:rPr>
          <w:rFonts w:ascii="Arial" w:cs="Arial" w:eastAsia="Arial" w:hAnsi="Arial"/>
          <w:sz w:val="16"/>
          <w:szCs w:val="16"/>
          <w:color w:val="auto"/>
        </w:rPr>
        <w:t>vesting restrictions which will lapse on the date that is the one-year anniversary after the Closing Date. Pursuant to the terms of the Asset Purchase Agreement, Healing Solutions is required to use its commercially reasonable efforts to identify one or more suppliers of finished goods inventory of all SKUs that constitute assets acquired in the Asset Purchase (“New Suppliers”) and to initiate discussions with such New Suppliers for the purpose of negotiating new supply agreements between the Company or its affiliates, on the one hand, and the New Supplier, on the other hand, for the purchase of such SKUs following the Closing on terms acceptable to Purchaser in its sole discretion, acting reasonably. If, on or before the date that is 15 months after the Closing Date, an Earn-Out Consideration Event (as defined in the Asset Purchase Agreement) has occurred, then Healing Solutions shall be entitled to receive up to a maximum of 528,670 shares of Common Stock (the “Earn-Out Shares”), which number of shares is subject to reduction in accordance with the terms of the Asset Purchase Agreement based on the time period within which the Earn-Out Consideration Event occurs.</w:t>
      </w:r>
    </w:p>
    <w:p>
      <w:pPr>
        <w:spacing w:after="0" w:line="165"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22"/>
        </w:trPr>
        <w:tc>
          <w:tcPr>
            <w:tcW w:w="7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Cash purchase price</w:t>
            </w:r>
          </w:p>
        </w:tc>
        <w:tc>
          <w:tcPr>
            <w:tcW w:w="15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1,387,759 shares of common stock issued</w:t>
            </w: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Estimated common share consideration for inventory</w:t>
            </w: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1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consideration</w:t>
            </w:r>
          </w:p>
        </w:tc>
        <w:tc>
          <w:tcPr>
            <w:tcW w:w="12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2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w:t>
            </w:r>
          </w:p>
        </w:tc>
      </w:tr>
      <w:tr>
        <w:trPr>
          <w:trHeight w:val="222"/>
        </w:trPr>
        <w:tc>
          <w:tcPr>
            <w:tcW w:w="84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Inventory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8,215</w:t>
            </w:r>
          </w:p>
        </w:tc>
        <w:tc>
          <w:tcPr>
            <w:tcW w:w="120" w:type="dxa"/>
            <w:vAlign w:val="bottom"/>
          </w:tcPr>
          <w:p>
            <w:pPr>
              <w:spacing w:after="0"/>
              <w:rPr>
                <w:sz w:val="20"/>
                <w:szCs w:val="20"/>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Trademarks (10 year useful life)</w:t>
            </w: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22,900</w:t>
            </w:r>
          </w:p>
        </w:tc>
        <w:tc>
          <w:tcPr>
            <w:tcW w:w="120" w:type="dxa"/>
            <w:vAlign w:val="bottom"/>
          </w:tcPr>
          <w:p>
            <w:pPr>
              <w:spacing w:after="0"/>
              <w:rPr>
                <w:sz w:val="19"/>
                <w:szCs w:val="19"/>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39,975</w:t>
            </w:r>
          </w:p>
        </w:tc>
        <w:tc>
          <w:tcPr>
            <w:tcW w:w="120" w:type="dxa"/>
            <w:vAlign w:val="bottom"/>
            <w:shd w:val="clear" w:color="auto" w:fill="CFF0FC"/>
          </w:tcPr>
          <w:p>
            <w:pPr>
              <w:spacing w:after="0"/>
              <w:rPr>
                <w:sz w:val="19"/>
                <w:szCs w:val="19"/>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w:t>
            </w:r>
          </w:p>
        </w:tc>
        <w:tc>
          <w:tcPr>
            <w:tcW w:w="12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Goodwill is expected to be deductible for tax purposes. The goodwill is attributable to expected synergies resulting from integrating the Healing Solutions’ products into the Company’s existing sales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Healing Solutions Assets acquisition on the Company’s net revenue for the three and six months ended June 30, 2020 and 2021. The acquisition of the Healing Solutions Assets is reflected in the following pro forma information as if the acquisition had occurred on January 1, 2020.</w:t>
      </w:r>
    </w:p>
    <w:p>
      <w:pPr>
        <w:sectPr>
          <w:pgSz w:w="11900" w:h="16838" w:orient="portrait"/>
          <w:cols w:equalWidth="0" w:num="1">
            <w:col w:w="11240"/>
          </w:cols>
          <w:pgMar w:left="320" w:top="503" w:right="339" w:bottom="1440" w:gutter="0" w:footer="0" w:header="0"/>
        </w:sectPr>
      </w:pPr>
    </w:p>
    <w:p>
      <w:pPr>
        <w:spacing w:after="0" w:line="283" w:lineRule="exact"/>
        <w:rPr>
          <w:sz w:val="20"/>
          <w:szCs w:val="20"/>
          <w:color w:val="auto"/>
        </w:rPr>
      </w:pPr>
    </w:p>
    <w:p>
      <w:pPr>
        <w:ind w:left="61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13970</wp:posOffset>
            </wp:positionV>
            <wp:extent cx="17659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87" w:lineRule="exact"/>
        <w:rPr>
          <w:sz w:val="20"/>
          <w:szCs w:val="20"/>
          <w:color w:val="auto"/>
        </w:rPr>
      </w:pPr>
    </w:p>
    <w:p>
      <w:pPr>
        <w:ind w:left="6160"/>
        <w:spacing w:after="0"/>
        <w:tabs>
          <w:tab w:leader="none" w:pos="7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6350</wp:posOffset>
            </wp:positionV>
            <wp:extent cx="1765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80"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20955</wp:posOffset>
            </wp:positionV>
            <wp:extent cx="1517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6350</wp:posOffset>
            </wp:positionV>
            <wp:extent cx="1517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thousands)</w:t>
      </w:r>
    </w:p>
    <w:p>
      <w:pPr>
        <w:spacing w:after="0" w:line="26" w:lineRule="exact"/>
        <w:rPr>
          <w:sz w:val="20"/>
          <w:szCs w:val="20"/>
          <w:color w:val="auto"/>
        </w:rPr>
      </w:pPr>
    </w:p>
    <w:p>
      <w:pPr>
        <w:sectPr>
          <w:pgSz w:w="11900" w:h="16838" w:orient="portrait"/>
          <w:cols w:equalWidth="0" w:num="2">
            <w:col w:w="8360" w:space="720"/>
            <w:col w:w="2160"/>
          </w:cols>
          <w:pgMar w:left="320" w:top="503"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116,324</w:t>
            </w:r>
          </w:p>
        </w:tc>
        <w:tc>
          <w:tcPr>
            <w:tcW w:w="120" w:type="dxa"/>
            <w:vAlign w:val="bottom"/>
            <w:shd w:val="clear" w:color="auto" w:fill="CFF0FC"/>
          </w:tcPr>
          <w:p>
            <w:pPr>
              <w:spacing w:after="0"/>
              <w:rPr>
                <w:sz w:val="18"/>
                <w:szCs w:val="18"/>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Healing Solutions net revenue</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38,072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9"/>
                <w:szCs w:val="19"/>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as reported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(1,821)</w:t>
            </w: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(15,717)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(23,286)</w:t>
            </w: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Healing Solutions operating income</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5,143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Squatty Potty Assets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5, 2021, the Company acquired the business of e-commerce and retail company Squatty Potty, LLC (“Squatty Potty”), a leading online seller of health and wellness products in an asset purchase transaction. Currently, Squatty Potty products are sold in thousands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26" w:name="page27"/>
    <w:bookmarkEnd w:id="26"/>
    <w:p>
      <w:pPr>
        <w:jc w:val="both"/>
        <w:spacing w:after="0" w:line="275" w:lineRule="auto"/>
        <w:rPr>
          <w:sz w:val="20"/>
          <w:szCs w:val="20"/>
          <w:color w:val="auto"/>
        </w:rPr>
      </w:pPr>
      <w:r>
        <w:rPr>
          <w:rFonts w:ascii="Arial" w:cs="Arial" w:eastAsia="Arial" w:hAnsi="Arial"/>
          <w:sz w:val="17"/>
          <w:szCs w:val="17"/>
          <w:color w:val="auto"/>
        </w:rPr>
        <w:t>retail locations including Bed, Bath &amp; Beyond, Walmart and Target. As consideration for Squatty Potty’s assets, the Company paid approximately $19.0 million in cash. The Company also paid approximately $1.1 million as consideration related to acquired inventory. In addition, and subject to the achievement of contribution margin metrics for the year ended December 31, 2021, the Company agreed to pay Squatty Potty a maximum earnout of approximately $4.0 million, payable in shares of common stock or cash at Squatty Potty’s discretion. The Company also agreed to pay Squatty Potty $8.0 million for transition services, payable in shares of common stock or cash at Squatty Potty’s discretion.</w:t>
      </w:r>
    </w:p>
    <w:p>
      <w:pPr>
        <w:spacing w:after="0" w:line="176"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8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Cash purchase price</w:t>
            </w:r>
          </w:p>
        </w:tc>
        <w:tc>
          <w:tcPr>
            <w:tcW w:w="10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tcPr>
          <w:p>
            <w:pPr>
              <w:spacing w:after="0"/>
              <w:rPr>
                <w:sz w:val="20"/>
                <w:szCs w:val="20"/>
                <w:color w:val="auto"/>
              </w:rPr>
            </w:pPr>
            <w:r>
              <w:rPr>
                <w:rFonts w:ascii="Arial" w:cs="Arial" w:eastAsia="Arial" w:hAnsi="Arial"/>
                <w:sz w:val="18"/>
                <w:szCs w:val="18"/>
                <w:color w:val="auto"/>
              </w:rPr>
              <w:t>Transition services payments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Total consideration</w:t>
            </w:r>
          </w:p>
        </w:tc>
        <w:tc>
          <w:tcPr>
            <w:tcW w:w="8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19"/>
                <w:szCs w:val="19"/>
                <w:color w:val="auto"/>
              </w:rPr>
            </w:pPr>
          </w:p>
        </w:tc>
        <w:tc>
          <w:tcPr>
            <w:tcW w:w="27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Working Capital</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80" w:type="dxa"/>
            <w:vAlign w:val="bottom"/>
            <w:shd w:val="clear" w:color="auto" w:fill="CFF0FC"/>
          </w:tcPr>
          <w:p>
            <w:pPr>
              <w:spacing w:after="0"/>
              <w:rPr>
                <w:sz w:val="20"/>
                <w:szCs w:val="20"/>
                <w:color w:val="auto"/>
              </w:rPr>
            </w:pPr>
            <w:r>
              <w:rPr>
                <w:rFonts w:ascii="Arial" w:cs="Arial" w:eastAsia="Arial" w:hAnsi="Arial"/>
                <w:sz w:val="18"/>
                <w:szCs w:val="18"/>
                <w:color w:val="auto"/>
              </w:rPr>
              <w:t>Goodwill (1)</w:t>
            </w:r>
          </w:p>
        </w:tc>
        <w:tc>
          <w:tcPr>
            <w:tcW w:w="8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Net assets acquired</w:t>
            </w:r>
          </w:p>
        </w:tc>
        <w:tc>
          <w:tcPr>
            <w:tcW w:w="8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80" w:hanging="372"/>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Goodwill is expected to be deductible for tax purposes. The goodwill is attributable to expected synergies resulting from integrating the Squatty Potty products into the Company’s existing sales channels.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Squatty Potty acquisition on the Company’s net revenue for the three and six months ended June 30, 2021 and 2020. The acquisition of the Squatty Potty Assets is reflected in the following pro forma information as if the acquisition had occurred on January 1, 2020.</w:t>
      </w:r>
    </w:p>
    <w:p>
      <w:pPr>
        <w:sectPr>
          <w:pgSz w:w="11900" w:h="16838" w:orient="portrait"/>
          <w:cols w:equalWidth="0" w:num="1">
            <w:col w:w="11240"/>
          </w:cols>
          <w:pgMar w:left="320" w:top="449" w:right="339" w:bottom="1440" w:gutter="0" w:footer="0" w:header="0"/>
        </w:sectPr>
      </w:pPr>
    </w:p>
    <w:p>
      <w:pPr>
        <w:spacing w:after="0" w:line="283" w:lineRule="exact"/>
        <w:rPr>
          <w:sz w:val="20"/>
          <w:szCs w:val="20"/>
          <w:color w:val="auto"/>
        </w:rPr>
      </w:pPr>
    </w:p>
    <w:p>
      <w:pPr>
        <w:ind w:left="61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13970</wp:posOffset>
            </wp:positionV>
            <wp:extent cx="1765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87" w:lineRule="exact"/>
        <w:rPr>
          <w:sz w:val="20"/>
          <w:szCs w:val="20"/>
          <w:color w:val="auto"/>
        </w:rPr>
      </w:pPr>
    </w:p>
    <w:p>
      <w:pPr>
        <w:ind w:left="6160"/>
        <w:spacing w:after="0"/>
        <w:tabs>
          <w:tab w:leader="none" w:pos="7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6350</wp:posOffset>
            </wp:positionV>
            <wp:extent cx="17659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80"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20955</wp:posOffset>
            </wp:positionV>
            <wp:extent cx="1517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6350</wp:posOffset>
            </wp:positionV>
            <wp:extent cx="1517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thousands)</w:t>
      </w:r>
    </w:p>
    <w:p>
      <w:pPr>
        <w:spacing w:after="0" w:line="26" w:lineRule="exact"/>
        <w:rPr>
          <w:sz w:val="20"/>
          <w:szCs w:val="20"/>
          <w:color w:val="auto"/>
        </w:rPr>
      </w:pPr>
    </w:p>
    <w:p>
      <w:pPr>
        <w:sectPr>
          <w:pgSz w:w="11900" w:h="16838" w:orient="portrait"/>
          <w:cols w:equalWidth="0" w:num="2">
            <w:col w:w="8360" w:space="720"/>
            <w:col w:w="216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116,324</w:t>
            </w:r>
          </w:p>
        </w:tc>
        <w:tc>
          <w:tcPr>
            <w:tcW w:w="120" w:type="dxa"/>
            <w:vAlign w:val="bottom"/>
            <w:shd w:val="clear" w:color="auto" w:fill="CFF0FC"/>
          </w:tcPr>
          <w:p>
            <w:pPr>
              <w:spacing w:after="0"/>
              <w:rPr>
                <w:sz w:val="18"/>
                <w:szCs w:val="18"/>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Squatty Potty net revenue</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62,473</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69,654</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90,826</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122,348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as reported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(1,821)</w:t>
            </w: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(15,717)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(23,286)</w:t>
            </w: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Squatty Potty operating income</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Photo Paper Direct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5, 2021, the Company closed the acquisition of all outstanding stock of e-commerce company Photo Paper Direct Ltd. (“Photo Paper Direct''), a leading online seller of printing supplies. As consideration for Photo Paper Direct’s stock, the Company paid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7" w:name="page28"/>
    <w:bookmarkEnd w:id="27"/>
    <w:p>
      <w:pPr>
        <w:jc w:val="both"/>
        <w:spacing w:after="0" w:line="279" w:lineRule="auto"/>
        <w:rPr>
          <w:sz w:val="20"/>
          <w:szCs w:val="20"/>
          <w:color w:val="auto"/>
        </w:rPr>
      </w:pPr>
      <w:r>
        <w:rPr>
          <w:rFonts w:ascii="Arial" w:cs="Arial" w:eastAsia="Arial" w:hAnsi="Arial"/>
          <w:sz w:val="17"/>
          <w:szCs w:val="17"/>
          <w:color w:val="auto"/>
        </w:rPr>
        <w:t>approximately $8.3 million in cash and issued approximately 704,500 shares of the Company’s common stock. The Company also paid approximately $5.4 million in cash as consideration related to Photo Paper Direct’s inventory and other working capital assets, including cash on hand of approximately $3.0 million. In addition, and subject to the achievement of certain Adjusted EBITDA metrics by December 31, 2021, the Company agreed to issue to Photo Paper Direct a maximum earnout of $6.0 million in cash and $2.0 million in the Company’s common stock.</w:t>
      </w:r>
    </w:p>
    <w:p>
      <w:pPr>
        <w:spacing w:after="0" w:line="171"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color w:val="auto"/>
        </w:rPr>
        <w:t>The following presents the preliminary allocation of purchase price to the assets acquired and liabilities assumed, based on the estimated fair values at acquisition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34"/>
        </w:trPr>
        <w:tc>
          <w:tcPr>
            <w:tcW w:w="8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allocated</w:t>
            </w:r>
          </w:p>
        </w:tc>
        <w:tc>
          <w:tcPr>
            <w:tcW w:w="0" w:type="dxa"/>
            <w:vAlign w:val="bottom"/>
          </w:tcPr>
          <w:p>
            <w:pPr>
              <w:spacing w:after="0"/>
              <w:rPr>
                <w:sz w:val="1"/>
                <w:szCs w:val="1"/>
                <w:color w:val="auto"/>
              </w:rPr>
            </w:pPr>
          </w:p>
        </w:tc>
      </w:tr>
      <w:tr>
        <w:trPr>
          <w:trHeight w:val="222"/>
        </w:trPr>
        <w:tc>
          <w:tcPr>
            <w:tcW w:w="8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Cash purchase price</w:t>
            </w:r>
          </w:p>
        </w:tc>
        <w:tc>
          <w:tcPr>
            <w:tcW w:w="10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8,293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704,548 shares of common stock issued</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Estimated earnout liability</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consideration</w:t>
            </w:r>
          </w:p>
        </w:tc>
        <w:tc>
          <w:tcPr>
            <w:tcW w:w="78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The amounts assigned to goodwill and major intangible asset classifications were as follows:</w:t>
            </w: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4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center"/>
              <w:ind w:right="1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80" w:type="dxa"/>
            <w:vAlign w:val="bottom"/>
            <w:gridSpan w:val="4"/>
          </w:tcPr>
          <w:p>
            <w:pPr>
              <w:jc w:val="center"/>
              <w:ind w:right="92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Inventory</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PP&amp;E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Real Property</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Trademarks (10 year useful life)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 (1)</w:t>
            </w: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assets acquired</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25,617</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
        <w:spacing w:after="0" w:line="311"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Estimate based on preliminary purchase price and most recent book values of tangible assets and prior to any deferred tax assets/liabilities. Subject to change based on the actual closing balance sheet and any purchase accounting adjustments. Goodwill is expected to be deductible for tax purposes. The goodwill is attributable to expected synergies resulting from integrating the Photo Paper Direct products into the Company’s existing sales channels.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Information</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unaudited pro forma information illustrates the impact of the Photo Paper Direct acquisition on the Company’s net revenue for the three and six months ended June 30, 2021 and 2020. The acquisition of the Photo Paper Direct is reflected in the following pro forma information as if the acquisition had occurred on January 1, 2020.</w:t>
      </w:r>
    </w:p>
    <w:p>
      <w:pPr>
        <w:sectPr>
          <w:pgSz w:w="11900" w:h="16838" w:orient="portrait"/>
          <w:cols w:equalWidth="0" w:num="1">
            <w:col w:w="11240"/>
          </w:cols>
          <w:pgMar w:left="320" w:top="557" w:right="339" w:bottom="1440" w:gutter="0" w:footer="0" w:header="0"/>
        </w:sectPr>
      </w:pPr>
    </w:p>
    <w:p>
      <w:pPr>
        <w:spacing w:after="0" w:line="283" w:lineRule="exact"/>
        <w:rPr>
          <w:sz w:val="20"/>
          <w:szCs w:val="20"/>
          <w:color w:val="auto"/>
        </w:rPr>
      </w:pPr>
    </w:p>
    <w:p>
      <w:pPr>
        <w:ind w:left="616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13970</wp:posOffset>
            </wp:positionV>
            <wp:extent cx="17659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87" w:lineRule="exact"/>
        <w:rPr>
          <w:sz w:val="20"/>
          <w:szCs w:val="20"/>
          <w:color w:val="auto"/>
        </w:rPr>
      </w:pPr>
    </w:p>
    <w:p>
      <w:pPr>
        <w:ind w:left="6160"/>
        <w:spacing w:after="0"/>
        <w:tabs>
          <w:tab w:leader="none" w:pos="7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6350</wp:posOffset>
            </wp:positionV>
            <wp:extent cx="1765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80" w:lineRule="exact"/>
        <w:rPr>
          <w:sz w:val="20"/>
          <w:szCs w:val="20"/>
          <w:color w:val="auto"/>
        </w:rPr>
      </w:pPr>
    </w:p>
    <w:p>
      <w:pPr>
        <w:ind w:left="668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20955</wp:posOffset>
            </wp:positionV>
            <wp:extent cx="1517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9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6350</wp:posOffset>
            </wp:positionV>
            <wp:extent cx="1517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(in thousands)</w:t>
      </w:r>
    </w:p>
    <w:p>
      <w:pPr>
        <w:spacing w:after="0" w:line="26" w:lineRule="exact"/>
        <w:rPr>
          <w:sz w:val="20"/>
          <w:szCs w:val="20"/>
          <w:color w:val="auto"/>
        </w:rPr>
      </w:pPr>
    </w:p>
    <w:p>
      <w:pPr>
        <w:sectPr>
          <w:pgSz w:w="11900" w:h="16838" w:orient="portrait"/>
          <w:cols w:equalWidth="0" w:num="2">
            <w:col w:w="8360" w:space="720"/>
            <w:col w:w="21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revenue as reported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4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116,324</w:t>
            </w:r>
          </w:p>
        </w:tc>
        <w:tc>
          <w:tcPr>
            <w:tcW w:w="120" w:type="dxa"/>
            <w:vAlign w:val="bottom"/>
            <w:shd w:val="clear" w:color="auto" w:fill="CFF0FC"/>
          </w:tcPr>
          <w:p>
            <w:pPr>
              <w:spacing w:after="0"/>
              <w:rPr>
                <w:sz w:val="18"/>
                <w:szCs w:val="18"/>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Photo Paper Direct net revenue</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6,807</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pro forma</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90,407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 as reported</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(1,821)</w:t>
            </w:r>
          </w:p>
        </w:tc>
        <w:tc>
          <w:tcPr>
            <w:tcW w:w="54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(15,717)</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(23,286)</w:t>
            </w: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Photo Paper Direct operating income</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12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 pro forma</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4,749</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liability considerations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The Company reviews and re-assesses the estimated fair value of contingent consideration on a quarterly basis, and the updated fair value could differ materially from the initial estimates. Adjustments to the estimated fair value related to changes in all other unobservable inputs are reported in operating income.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2020, the Company acquired the assets of leading e-commerce business brands Mueller, Pursteam, Pohl and Schmitt, and Spiralizer (the “Smash Assets”) for total consideration of (i) $25.0 million, (ii) 4,220,000 shares of common stock, the cost basis of which was $6.89 (closing stock price at closing of the transaction), of which 164,000 of such shares were issued to the sellers brokers and (iii) a seller note in the amount of $15.6 million, representing the value of certain inventory that the sellers had paid for but not yet sold as of the closing date.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part of the acquisition of the Smash Assets, the sellers of the Smash Assets are entitled to earn-out payments based on the achievement of certain contribution margin thresholds on certain products of the acquired business. Earn-out payments will be due to the sellers for year one, or calendar year 2021 in the first quarter of 2022, and year two, or calendar year 2022, will be due in the first quarter of 2023. During the year-ending December 31, 2021 (year one of the earn-out), the earn-out payment will be calculated based on the contribution margin generated on certain products for an amount equal to $1.67 for every $1.00 of such contribution margin that is greater than $15.5 million and less than or equal to $18.5 million. Such earn-out payment cannot exceed $5.0 million. In addition, during the year-ending December 31, 2022 (year two of the earnout), for each $0.5 million of contribution margin generated on certain products in excess of $15.5 million, subject to a cap of $27.5 million, the sellers shall be entitled to receive an amount in cash equal to the value of 0.1 million shares of the Company’s common stock multiplied by the average of the volume-weighted-average closing price per share of the Company’s common stock, for the 30 consecutive trading days ending on December 31, 2022.</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1, 2020, the acquisition date, the initial fair value amount of the earn-out payment was appropriately $9.8 million. As of December 31, 2020, the fair value amount of the earn-out payment with respect to the Smash Assets was approximately $22.5 million, representing a change of fair value impact of approximately $12.7 million. As of June 30, 2021, the fair value amount of the earn-out payment with respect to the Smash Assets was approximately $20.9 million, representing a change of fair value impact of approximately $16.6 million and $31.6 for the three and six months ended June 30, 2021.</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acquisition of the Healing Solutions Assets, Healing Solutions is entitled to earn-out payments based on the achievement of certain contribution margin thresholds on certain products of the acquired business. If the earn-out consideration event occurs: (i) prior to the date that is nine months following the Closing Date, the Company will issue 528,670 shares of its common stock to Healing Solutions; (ii) on or after the date that is nine months following the Closing Date but before the date that is 12 months following the Closing Date, the Company will issue 396,502 shares of common stock to Healing Solutions; or (iii) on or after the date that is 12 months following the Closing Date but before the date that is 15 months following the Closing Date (the date that is 15 months following the Closing Date, the “Earn-Out Termination Date”), the Company will issue 264,335 shares of common stock to Healing Solutions; or after 15 months, the Company will not have any obligation to issue any shares of its common stock to Healing Solutions.</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February 2, 2021, the acquisition date, the initial fair value amount of the earn-out payment with respect to the Healing Solutions Assets was appropriately $16.5 million. As of June 30, 2021, the fair value amount of the earn-out payment with respect to the Healing Solutions Assets was approximately $10.5 million, representing a change of fair value impact of approximately $6.7 million for the three and six months ended June 30, 2021.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acquisition of the Squatty Potty Assets, Squatty Potty is entitled to earn-out payments based on the achievement of certain contribution margin thresholds on certain products of the acquired business. If the earn-out consideration event occurs in 12 months ending December 31, 2021 and the maximum payment amount is $3.9 million and if the termination of the transition service agreement is prior to the date that is six months following the Closing Date, an additional $3.9 million.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5, 2021, the acquisition date, the initial fair value amount of the earn-out payment with respect to the Squatty Potty Assets was appropriately $3.5 million. As of June 30, 2021, the fair value amount of the earn-out payment with respect to the Squatty Potty Assets was approximately $3.5 million, representing no change of fair value impact for the three and six months ended June 30,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5, 2021, the acquisition date, the initial fair value amount of the earn-out payment with respect to the Photo Paper Direct was appropriately $0.9 million. As of June 30, 2021, the fair value amount of the earn-out payment with respect to the Photo Paper Direct Assets was approximately $0.9 million, representing no change of fair value impact for the three and six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carrying value of estimated contingent earn-out liabilities (in thousands) as of June 30, 2021: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9"/>
              </w:rPr>
              <w:t>Smash Assets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Healing</w:t>
            </w:r>
          </w:p>
        </w:tc>
        <w:tc>
          <w:tcPr>
            <w:tcW w:w="12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Squatty Potty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Photo Paper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Solutions</w:t>
            </w:r>
          </w:p>
        </w:tc>
        <w:tc>
          <w:tcPr>
            <w:tcW w:w="12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Direct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Balance—January 1, 2021</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20"/>
                <w:szCs w:val="20"/>
                <w:color w:val="auto"/>
              </w:rPr>
            </w:pPr>
            <w:r>
              <w:rPr>
                <w:rFonts w:ascii="Arial" w:cs="Arial" w:eastAsia="Arial" w:hAnsi="Arial"/>
                <w:sz w:val="18"/>
                <w:szCs w:val="18"/>
                <w:color w:val="auto"/>
              </w:rPr>
              <w:t>Acquisition date fair value of contingent earn-out liabilities and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inventory to be settled in shares</w:t>
            </w:r>
          </w:p>
        </w:tc>
        <w:tc>
          <w:tcPr>
            <w:tcW w:w="14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(6,116)</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Earn-out payments</w:t>
            </w: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Balance—June 30, 2021</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the Company’s intangible assets as of December 31, 2020 and June 30, 2021 (in thousands):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ind w:left="540"/>
              <w:spacing w:after="0"/>
              <w:rPr>
                <w:sz w:val="20"/>
                <w:szCs w:val="20"/>
                <w:color w:val="auto"/>
              </w:rPr>
            </w:pPr>
            <w:r>
              <w:rPr>
                <w:rFonts w:ascii="Arial" w:cs="Arial" w:eastAsia="Arial" w:hAnsi="Arial"/>
                <w:sz w:val="14"/>
                <w:szCs w:val="14"/>
                <w:b w:val="1"/>
                <w:bCs w:val="1"/>
                <w:color w:val="auto"/>
              </w:rPr>
              <w:t>Year-Ended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December 31, 2020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0"/>
              </w:rPr>
              <w:t>46,573</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7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June 30, 2021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47,318</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0"/>
              </w:rPr>
              <w:t>71,301</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79"/>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118,619</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118,619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the Company’s intangible assets as of December 31, 2020 and June 30, 2021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3"/>
          </w:tcPr>
          <w:p>
            <w:pPr>
              <w:jc w:val="center"/>
              <w:ind w:left="98"/>
              <w:spacing w:after="0"/>
              <w:rPr>
                <w:sz w:val="20"/>
                <w:szCs w:val="20"/>
                <w:color w:val="auto"/>
              </w:rPr>
            </w:pPr>
            <w:r>
              <w:rPr>
                <w:rFonts w:ascii="Arial" w:cs="Arial" w:eastAsia="Arial" w:hAnsi="Arial"/>
                <w:sz w:val="14"/>
                <w:szCs w:val="14"/>
                <w:b w:val="1"/>
                <w:bCs w:val="1"/>
                <w:color w:val="auto"/>
                <w:w w:val="95"/>
              </w:rPr>
              <w:t>Year-Ended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1"/>
              </w:rPr>
              <w:t>December 31, 2020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31,500</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60" w:type="dxa"/>
            <w:vAlign w:val="bottom"/>
          </w:tcPr>
          <w:p>
            <w:pPr>
              <w:ind w:left="260"/>
              <w:spacing w:after="0"/>
              <w:rPr>
                <w:sz w:val="20"/>
                <w:szCs w:val="20"/>
                <w:color w:val="auto"/>
              </w:rPr>
            </w:pPr>
            <w:r>
              <w:rPr>
                <w:rFonts w:ascii="Arial" w:cs="Arial" w:eastAsia="Arial" w:hAnsi="Arial"/>
                <w:sz w:val="18"/>
                <w:szCs w:val="18"/>
                <w:color w:val="auto"/>
              </w:rPr>
              <w:t>Total intangibles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31,611</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39"/>
              <w:spacing w:after="0" w:line="120"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340"/>
              <w:spacing w:after="0" w:line="120" w:lineRule="exact"/>
              <w:rPr>
                <w:sz w:val="20"/>
                <w:szCs w:val="20"/>
                <w:color w:val="auto"/>
              </w:rPr>
            </w:pPr>
            <w:r>
              <w:rPr>
                <w:rFonts w:ascii="Arial" w:cs="Arial" w:eastAsia="Arial" w:hAnsi="Arial"/>
                <w:sz w:val="13"/>
                <w:szCs w:val="13"/>
                <w:b w:val="1"/>
                <w:bCs w:val="1"/>
                <w:color w:val="auto"/>
                <w:w w:val="86"/>
              </w:rPr>
              <w:t>Six Months</w:t>
            </w:r>
          </w:p>
        </w:tc>
        <w:tc>
          <w:tcPr>
            <w:tcW w:w="680" w:type="dxa"/>
            <w:vAlign w:val="bottom"/>
          </w:tcPr>
          <w:p>
            <w:pPr>
              <w:ind w:left="120"/>
              <w:spacing w:after="0" w:line="120" w:lineRule="exact"/>
              <w:rPr>
                <w:sz w:val="20"/>
                <w:szCs w:val="20"/>
                <w:color w:val="auto"/>
              </w:rPr>
            </w:pPr>
            <w:r>
              <w:rPr>
                <w:rFonts w:ascii="Arial" w:cs="Arial" w:eastAsia="Arial" w:hAnsi="Arial"/>
                <w:sz w:val="13"/>
                <w:szCs w:val="13"/>
                <w:b w:val="1"/>
                <w:bCs w:val="1"/>
                <w:color w:val="auto"/>
              </w:rPr>
              <w:t>Ended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8"/>
              </w:rPr>
              <w:t>June 30, 2021</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2"/>
              </w:rPr>
              <w:t>June 30, 2021</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Goodwill</w:t>
            </w:r>
          </w:p>
        </w:tc>
        <w:tc>
          <w:tcPr>
            <w:tcW w:w="11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Additions</w:t>
            </w:r>
          </w:p>
        </w:tc>
        <w:tc>
          <w:tcPr>
            <w:tcW w:w="11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Impairments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Impairments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Trademarks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31,810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34,791</w:t>
            </w:r>
          </w:p>
        </w:tc>
        <w:tc>
          <w:tcPr>
            <w:tcW w:w="1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66,601</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(3,192)</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Non-competition agreement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Customer relations</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intangibles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(3,329)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Trail Letter Agreements and Omnibus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spacing w:after="0" w:line="254" w:lineRule="auto"/>
        <w:rPr>
          <w:sz w:val="20"/>
          <w:szCs w:val="20"/>
          <w:color w:val="auto"/>
        </w:rPr>
      </w:pPr>
      <w:r>
        <w:rPr>
          <w:rFonts w:ascii="Arial" w:cs="Arial" w:eastAsia="Arial" w:hAnsi="Arial"/>
          <w:sz w:val="18"/>
          <w:szCs w:val="18"/>
          <w:color w:val="auto"/>
        </w:rPr>
        <w:t>On August 9, 2021, pursuant to those certain Letter Agreements entered into between the Company and High Trail with respect to each of the April 2021 Notes (collectively, the “August Letter Agreements”), High Trail notified the Company that High Trail declared an event of default under the April 2021 Notes as a result of the Company’s Adjusted EBITDA (as defined in the April 2021 Notes) not being equal to at least $12 million for the 12 month period ended June 30, 2021 and further notified the Company that High Trail immediately accelerated a total of $18.7 million of the principal amount of the April 2021 Notes, requiring the Company to immediately pay $21.5 million (such amount equal to 115% of the principal amount that was accelerated, as required under the terms of the April 2021 Notes, plus $0.3 million of accrued but unpaid interest on the principal amount that was accelerated) (the “Current Event of Default Acceleration Amount”).</w:t>
      </w:r>
    </w:p>
    <w:p>
      <w:pPr>
        <w:spacing w:after="0" w:line="19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August Letter Agreements, the Company agreed, among other things, to pay the Current Event of Default Acceleration Amount in cash by August 9, 2021 and that any portion not paid in cash would be paid in shares of the Company’s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Pursuant to the August Letter Agreements, High Trail waived the events of default relating to the Company’s failure to satisfy the Adjusted EBITDA covenant under the April 2021 Notes, effective upon the payment in cash of $10.1 million of the Current Event of Default Acceleration Amount and the issuance of the shares of the Company’s common stock for the remaining $11.7 million of the Current Event of Default Acceleration Amount. The Company is paying High Trail an aggregate of $10.1 million in cash on August 9, 2021 and will, in accordance with the April 2021 Notes and the August Letter Agreements, pay the remaining $11.7 million of the Current Event of Default Acceleration Amount by issuing shares of common stock (with the number of shares calculated as described above) by August 11, 2021.</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1" w:name="page32"/>
    <w:bookmarkEnd w:id="31"/>
    <w:p>
      <w:pPr>
        <w:spacing w:after="0" w:line="282" w:lineRule="auto"/>
        <w:rPr>
          <w:sz w:val="20"/>
          <w:szCs w:val="20"/>
          <w:color w:val="auto"/>
        </w:rPr>
      </w:pPr>
      <w:r>
        <w:rPr>
          <w:rFonts w:ascii="Arial" w:cs="Arial" w:eastAsia="Arial" w:hAnsi="Arial"/>
          <w:sz w:val="16"/>
          <w:szCs w:val="16"/>
          <w:color w:val="auto"/>
        </w:rPr>
        <w:t>In connection with the August Letter Agreements, on August 9, 2021, the Company also entered into an Omnibus Amendment to Senior Secured Notes Due 2024 and Warrants to Purchase Common Stock with High Trail (the “Omnibus Amendment”), whereby: (i) the Company agreed to increase the minimum cash threshold covenant in the April 2021 Notes from $15.0 million to $30.0 million through October 31, 2021; (ii) the Company agreed to add a liquidity covenant to the April 2021 Notes whereby it must have liquidity, on each day through October 31, 2021, calculated as (A) inventory, net, plus (B) accounts receivable, net (each determined in accordance with GAAP) in an aggregate minimum amount equal to $65.0 million less (C) any amount of cash and cash equivalents in excess of $30 million; (iii) the definition of “Permitted Investment” in the April 2021 Notes was modified such that the consent of High Trail is now required for certain merger and acquisition activity; (iv) the Company agreed that the exercise prices of the following warrants to purchase shares of the Company’s common stock previously issued to High Trail will be modified to be equal to the lesser of: (X) the closing price of the Company’s common stock on August 9, 2021 or (Y) the VWAP of the Company’s common stock on August 9, 2021: (1) that certain warrant to purchase an aggregate of 750,000 shares of the Company’s common stock with an exercise price of $33.56 issued on February 2, 2021; (2) that certain warrant to purchase an aggregate of 469,931 shares of the Company’s common stock an exercise price of $25.10 issued on February 9, 2021; and (3) those certain warrants to purchase an aggregate of 2,259,166 shares of the Company’s common stock with an exercise price of $31.74 issued on April 8, 2021; (v) High Trail agreed that it will not exercise the foregoing warrants prior to the day that is 60 days after a registration statement registering for resale the 2,666,667 shares of common stock the Company issued on June 15, 2021 is declared effective; and (vi) if, at any time on or after January 7, 2022, High Trail is unable to exercise such warrants due to the agreement described in clause (v), the Company agreed to pay High Trail, as liquidated damages, a cash payment that will be equal to (a) the weighted average price of the Company’s common stock on the date High Trail seeks to exercise any such warrants, minus the then-current exercise price of such warrants, multiplied by (b) the number of shares subject to the warrants that it then desires to exercise.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2020 included in our Annual Report on Form 10-K for the year ended December 31, 2020 as filed with the Securities and Exchange Commission (the “SEC”) on March 16, 2021.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“Special Note Regarding Forward Looking Statements” and those discussed in the section titled “Risk Factors” under Part II, Item 1A in this Quarterly Report on Form 10-Q.</w:t>
      </w:r>
    </w:p>
    <w:p>
      <w:pPr>
        <w:spacing w:after="0" w:line="1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Unless the context otherwise requires, the terms “Aterian,” the “Company,” “we,” “us” and “our” in this Quarterly Report on Form 10-Q refer to Aterian, Inc. and our consolidated subsidiaries, including Aterian Group,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Aterian is a technology-enabled consumer products platform that builds, acquires and partners with e-commerce brands. Aterian was founded on the premise that if a company selling consumer packaged goods was founded today, it would apply AI and machine learning, the synthesis of massive quantities of data and the use of social proof to validate high caliber product offerings as opposed to over-reliance on brand value and other traditional marketing tactics. Today, we predominantly operate through online retail channels such as Amazon.com (“Amazon”) and Walmart, Inc.</w:t>
      </w:r>
    </w:p>
    <w:p>
      <w:pPr>
        <w:spacing w:after="0" w:line="157"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We have launched and sold hundreds of SKUs on e-commerce platforms. Through the success of a number of those products we have incubated our own brands. We also have purchased brands and products when we believe it is more advantageous. Today, we own and operate fourteen brands which sell products in multiple categories, including home and kitchen appliances, kitchenware, heating, cooling and air quality appliances (dehumidifiers, humidifiers and air conditioners), health and beauty products and essential oils. Our fourteen brands include, hOmeLabs; Vremi, Xtava; RIF6; Aussie Health; Holonix; Truweo; Mueller; Pursteam; Pohl and Schmitt; Spiralizer; Healing Solutions, Squatty Potty; and Photo Paper Direct.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 and Product Mix</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small kitchen appliances and accessories tend to have higher sales during the fourth quarter, which includes Thanksgiving and the December holiday season. As a result, our operational results and cash flows may fluctuate materially in any quarterly period depending on, among other things, adverse weather conditions, and changes in our product mix.</w:t>
      </w:r>
    </w:p>
    <w:p>
      <w:pPr>
        <w:spacing w:after="0" w:line="1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our products typically goes through the Launch phase and depending on its level of success is moved to one of the other phases as further described below:</w:t>
      </w:r>
    </w:p>
    <w:p>
      <w:pPr>
        <w:spacing w:after="0" w:line="62" w:lineRule="exact"/>
        <w:rPr>
          <w:sz w:val="20"/>
          <w:szCs w:val="20"/>
          <w:color w:val="auto"/>
        </w:rPr>
      </w:pPr>
    </w:p>
    <w:p>
      <w:pPr>
        <w:ind w:left="880" w:right="60" w:hanging="373"/>
        <w:spacing w:after="0" w:line="259"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 phase: During this phase, we leverage our technology to target opportunities identified using AIMEE. During this period of time and due to the combination of discounts and investment in marketing, our net margin for a product could be as low as approximately negative 35%. Net margin is calculated by taking net revenue less the cost of goods sold, less fulfillment, online advertising and selling expenses. These costs primarily reflect the estimated variable costs related to the sale of a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880" w:hanging="373"/>
        <w:spacing w:after="0" w:line="259"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Sustain phase: Our goal is for every product we launch to enter the sustain phase and become profitable, with a target average of positive 15% net margin, within approximately three months of launch on average. Net margin primarily reflects a combination of manual and automated adjustments in price and marketing spend. Over time, our products benefit from economies of scale stemming from purchasing power both with manufacturers and with fulfillment providers.</w:t>
      </w:r>
    </w:p>
    <w:p>
      <w:pPr>
        <w:spacing w:after="0" w:line="78" w:lineRule="exact"/>
        <w:rPr>
          <w:rFonts w:ascii="Arial" w:cs="Arial" w:eastAsia="Arial" w:hAnsi="Arial"/>
          <w:sz w:val="18"/>
          <w:szCs w:val="18"/>
          <w:color w:val="auto"/>
        </w:rPr>
      </w:pPr>
    </w:p>
    <w:p>
      <w:pPr>
        <w:ind w:left="880" w:right="120" w:hanging="373"/>
        <w:spacing w:after="0" w:line="255"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Milk phase or Liquidate phase: If a product does not enter the sustain phase or if the customer satisfaction of the product (i.e., ratings) is not satisfactory, then it will go to the liquidate phase and we will sell through the remaining inventory. In order to enter the milk phase, we believe that a product must be well received and become a strong leader in its category in both customer satisfaction and volume sold as compared to its competition. Products in the milk phase that have achieved profitability should benefit from pricing power and we expect their profitability to increase accordingly. To date, none of our products have achieved the milk phase and we can provide no assurance that any of our products will do so in the future.</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date, our operating results have included a mix of products in the launch and sustain phases, and we expect such results to include a mix of products in all phases at any given period. Product mix can affect our gross profit and the variable portion of our sales and distribution expenses. Ultimately, we believe that the future cash flow generated by our products in the sustain phase will outpace the amount that we will reinvest into launching new products, driving profitability at the company level while we continue to invest in growth and technology. Due to the Covid-19 pandemic impact on the global supply chain, the company is forced to increase its inventory on hand to avoid disruption in sales. The unpredictability of container availability, space on vessels and shipping lead times, as well as associated manufacturing lead time, forces us to secure more inventory upfront. Having more inventory on hand, not only impacts our working capital but also requires us to increase our storage capacity (warehouse network) which of itself has a capital impact.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shows the number of launches of new products included in our net revenue which have achieved, or are expected to achieve, more than $0.5 million in net revenue per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5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400" w:type="dxa"/>
            <w:vAlign w:val="bottom"/>
          </w:tcPr>
          <w:p>
            <w:pPr>
              <w:spacing w:after="0"/>
              <w:rPr>
                <w:sz w:val="13"/>
                <w:szCs w:val="13"/>
                <w:color w:val="auto"/>
              </w:rPr>
            </w:pPr>
          </w:p>
        </w:tc>
        <w:tc>
          <w:tcPr>
            <w:tcW w:w="1000" w:type="dxa"/>
            <w:vAlign w:val="bottom"/>
            <w:tcBorders>
              <w:top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2020</w:t>
            </w:r>
          </w:p>
        </w:tc>
        <w:tc>
          <w:tcPr>
            <w:tcW w:w="150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Borders>
              <w:top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Launches of new products</w:t>
            </w:r>
          </w:p>
        </w:tc>
        <w:tc>
          <w:tcPr>
            <w:tcW w:w="10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growth in direct revenue can be impacted by the timing and the season in which products are launched as well the impact of merger and acquisitions.</w:t>
      </w:r>
    </w:p>
    <w:p>
      <w:pPr>
        <w:spacing w:after="0" w:line="248"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Due to the COVID-19 pandemic’s impact on the global supply chain, we have increased our inventory on hand to avoid disruption in sales. The unpredictability of container availability, space on vessels and shipping lead times, as well as associated manufacturing lead time, requires us to secure more inventory than normal during each of a product’s phases (i.e., launch and sustain). Having more inventory on hand not only impacts our working capital but also requires us to increase our storage capacity (warehouse network), which of itself has a negative capital impact.</w:t>
      </w:r>
    </w:p>
    <w:p>
      <w:pPr>
        <w:spacing w:after="0" w:line="171" w:lineRule="exact"/>
        <w:rPr>
          <w:sz w:val="20"/>
          <w:szCs w:val="20"/>
          <w:color w:val="auto"/>
        </w:rPr>
      </w:pPr>
    </w:p>
    <w:p>
      <w:pPr>
        <w:jc w:val="both"/>
        <w:ind w:right="180"/>
        <w:spacing w:after="0" w:line="301" w:lineRule="auto"/>
        <w:rPr>
          <w:sz w:val="20"/>
          <w:szCs w:val="20"/>
          <w:color w:val="auto"/>
        </w:rPr>
      </w:pPr>
      <w:r>
        <w:rPr>
          <w:rFonts w:ascii="Arial" w:cs="Arial" w:eastAsia="Arial" w:hAnsi="Arial"/>
          <w:sz w:val="16"/>
          <w:szCs w:val="16"/>
          <w:color w:val="auto"/>
        </w:rPr>
        <w:t>Further due to the COVID-19 pandemic’s impact on the global supply chain, we will be temporarily pausing the launch of new products manufactured in Asia, which is currently the majority source of our product launches. The sharp increase in shipping cost has made our target competitive pricing difficult to achieve and the current unpredictability of container availability makes it more difficult for us to maintain the required inventory levels, which in turn makes the potential and profitable success of product launches even more difficult to achieve in this current environment.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b w:val="1"/>
          <w:bCs w:val="1"/>
          <w:i w:val="1"/>
          <w:iCs w:val="1"/>
          <w:color w:val="auto"/>
        </w:rPr>
        <w:t>Net Revenue</w:t>
      </w:r>
      <w:r>
        <w:rPr>
          <w:rFonts w:ascii="Arial" w:cs="Arial" w:eastAsia="Arial" w:hAnsi="Arial"/>
          <w:sz w:val="17"/>
          <w:szCs w:val="17"/>
          <w:b w:val="1"/>
          <w:bCs w:val="1"/>
          <w:color w:val="auto"/>
        </w:rPr>
        <w:t>—</w:t>
      </w:r>
      <w:r>
        <w:rPr>
          <w:rFonts w:ascii="Arial" w:cs="Arial" w:eastAsia="Arial" w:hAnsi="Arial"/>
          <w:sz w:val="17"/>
          <w:szCs w:val="17"/>
          <w:color w:val="auto"/>
        </w:rPr>
        <w:t>We derive our revenue from the sale of consumer products, primarily in the United States. We sell products directly to consumers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online retail channels and through wholesale channels. Direct-to-consumer sales (i.e. direct net revenue), which is currently the majority of our revenue, is done through various online retail channels. We sell on Amazon.com, Walmart.com, and our own websites, with substantially all of our sales made through Amazon.com. For all of our sales and distribution channels, revenue is recognized when control of the product is transferred to the customer (i.e., when our performance obligation is satisfied), which typically occurs at the shipment date.</w:t>
      </w:r>
    </w:p>
    <w:p>
      <w:pPr>
        <w:spacing w:after="0" w:line="1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Cost of Goods Sold—</w:t>
      </w:r>
      <w:r>
        <w:rPr>
          <w:rFonts w:ascii="Arial" w:cs="Arial" w:eastAsia="Arial" w:hAnsi="Arial"/>
          <w:sz w:val="18"/>
          <w:szCs w:val="18"/>
          <w:color w:val="auto"/>
        </w:rPr>
        <w:t>Cost of goods sold consists of the book value of inventory sold to customers during the reporting period. When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dictate that we use net realizable value as the basis for recording inventory, we base our estimates on expected future selling prices, less expected disposal costs. The Office of the U.S. Trade Representative (“USTR”) has imposed additional tariffs on products imported from China. We contract manufacturers, predominantly in China, through purchase orders, for our consumer products. As such, this exposes us to risks associated with doing business globally, including changes in tariffs, which impact a significant number of our products. These increases may affect the way and the amount of product we order. If tariff increases are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200"/>
        <w:spacing w:after="0" w:line="308" w:lineRule="auto"/>
        <w:rPr>
          <w:sz w:val="20"/>
          <w:szCs w:val="20"/>
          <w:color w:val="auto"/>
        </w:rPr>
      </w:pPr>
      <w:r>
        <w:rPr>
          <w:rFonts w:ascii="Arial" w:cs="Arial" w:eastAsia="Arial" w:hAnsi="Arial"/>
          <w:sz w:val="17"/>
          <w:szCs w:val="17"/>
          <w:color w:val="auto"/>
        </w:rPr>
        <w:t>enacted in the future, our pricing actions are intended to offset the full gross margin impact from such tariffs. However, there are no assurances that these pricing actions will not reduce customer orders. Further, we can provide no assurances that future tariff increases will not be enacted.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3" w:lineRule="exact"/>
        <w:rPr>
          <w:sz w:val="20"/>
          <w:szCs w:val="20"/>
          <w:color w:val="auto"/>
        </w:rPr>
      </w:pPr>
    </w:p>
    <w:p>
      <w:pPr>
        <w:ind w:right="200"/>
        <w:spacing w:after="0" w:line="312" w:lineRule="auto"/>
        <w:rPr>
          <w:sz w:val="20"/>
          <w:szCs w:val="20"/>
          <w:color w:val="auto"/>
        </w:rPr>
      </w:pPr>
      <w:r>
        <w:rPr>
          <w:rFonts w:ascii="Arial" w:cs="Arial" w:eastAsia="Arial" w:hAnsi="Arial"/>
          <w:sz w:val="17"/>
          <w:szCs w:val="17"/>
          <w:b w:val="1"/>
          <w:bCs w:val="1"/>
          <w:color w:val="auto"/>
        </w:rPr>
        <w:t>Research and Development Expenses—</w:t>
      </w:r>
      <w:r>
        <w:rPr>
          <w:rFonts w:ascii="Arial" w:cs="Arial" w:eastAsia="Arial" w:hAnsi="Arial"/>
          <w:sz w:val="17"/>
          <w:szCs w:val="17"/>
          <w:color w:val="auto"/>
        </w:rPr>
        <w:t>Research and development expenses include compensation and employee benefits for technology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travel-related costs and fees paid to outside consultants related to the development of our intellectual property.</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Sales and Distribution Expenses—</w:t>
      </w:r>
      <w:r>
        <w:rPr>
          <w:rFonts w:ascii="Arial" w:cs="Arial" w:eastAsia="Arial" w:hAnsi="Arial"/>
          <w:sz w:val="16"/>
          <w:szCs w:val="16"/>
          <w:color w:val="auto"/>
        </w:rPr>
        <w:t>Shipping and handling expenses are included in our consolidated statements of operations in sales and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This includes pick and pack costs and outbound transportation costs to ship goods to customers performed by e-commerce platforms or incurred directly by us, through our own direct fulfillment platform, which leverages AIMEE and our third-party logistics partners. Our sales and distribution expenses, specifically our logistics expenses and online advertising, will vary quarter to quarter as they are dependent on our sales volume, our product mix (i.e., products in the launch phase or sustain phase) and whether we fulfill products ourselves, i.e., fulfillment by merchant (“FBM”), or through e-commerce platform service providers, i.e., fulfillment by Amazon (“FBA”). After a product launches and reaches the sustain phase, we seek to maintain the product within its targeted level of profitability. This profitability can be impacted as each product has a unique fulfillment cost due to its size and weight. As such, products with less expensive fulfilment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for approximately 76% of the U.S., within one day and over 98% of the U.S. within two days, based on our sales history. We continually review the locations and capacity of our third-party warehouse to ensure we have the appropriate geographic reach, which helps to reduce the average last mile shipping zones to the end customer and as such our speed of delivery improves while our shipping costs to customers decreases, prior to the impacts in shipping providers rates.</w:t>
      </w:r>
    </w:p>
    <w:p>
      <w:pPr>
        <w:spacing w:after="0" w:line="164" w:lineRule="exact"/>
        <w:rPr>
          <w:sz w:val="20"/>
          <w:szCs w:val="20"/>
          <w:color w:val="auto"/>
        </w:rPr>
      </w:pPr>
    </w:p>
    <w:p>
      <w:pPr>
        <w:jc w:val="both"/>
        <w:ind w:right="200"/>
        <w:spacing w:after="0" w:line="266" w:lineRule="auto"/>
        <w:rPr>
          <w:sz w:val="20"/>
          <w:szCs w:val="20"/>
          <w:color w:val="auto"/>
        </w:rPr>
      </w:pPr>
      <w:r>
        <w:rPr>
          <w:rFonts w:ascii="Arial" w:cs="Arial" w:eastAsia="Arial" w:hAnsi="Arial"/>
          <w:sz w:val="18"/>
          <w:szCs w:val="18"/>
          <w:b w:val="1"/>
          <w:bCs w:val="1"/>
          <w:color w:val="auto"/>
        </w:rPr>
        <w:t>General and Administrative Expenses</w:t>
      </w:r>
      <w:r>
        <w:rPr>
          <w:rFonts w:ascii="Arial" w:cs="Arial" w:eastAsia="Arial" w:hAnsi="Arial"/>
          <w:sz w:val="18"/>
          <w:szCs w:val="18"/>
          <w:color w:val="auto"/>
        </w:rPr>
        <w:t>—General and administrative expenses include compensation and employee benefits for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finance administration, legal, and human resources, facility costs, insurance, travel, professional service fees and other general overhead costs, including the costs of being a public company.</w:t>
      </w:r>
    </w:p>
    <w:p>
      <w:pPr>
        <w:spacing w:after="0" w:line="176"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Interest Expense, Net</w:t>
      </w:r>
      <w:r>
        <w:rPr>
          <w:rFonts w:ascii="Arial" w:cs="Arial" w:eastAsia="Arial" w:hAnsi="Arial"/>
          <w:sz w:val="16"/>
          <w:szCs w:val="16"/>
          <w:color w:val="auto"/>
        </w:rPr>
        <w:t>— Interest expense, net includes the interest cost from our credit facility and term loan, and includes amortization of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costs and debt discounts from our credit facility (the “Credit Facility”) with MidCap Funding IV Trust (“MidCap”) and our term loans with High Trail Investments SA LLC (“High Trail SA”) and High Trail Investments ON LLC (“High Trail ON” and, together with High Trail SA, “High Trail”).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2021</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June 30, 2020 and 2021, together with the changes in those items in dollars and percentages: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8"/>
          </w:tcPr>
          <w:p>
            <w:pPr>
              <w:jc w:val="right"/>
              <w:ind w:right="27"/>
              <w:spacing w:after="0" w:line="155" w:lineRule="exact"/>
              <w:rPr>
                <w:sz w:val="20"/>
                <w:szCs w:val="20"/>
                <w:color w:val="auto"/>
              </w:rPr>
            </w:pPr>
            <w:r>
              <w:rPr>
                <w:rFonts w:ascii="Arial" w:cs="Arial" w:eastAsia="Arial" w:hAnsi="Arial"/>
                <w:sz w:val="14"/>
                <w:szCs w:val="14"/>
                <w:color w:val="auto"/>
              </w:rPr>
              <w:t>(in thousands, except percentages)</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68,188</w:t>
            </w:r>
          </w:p>
        </w:tc>
        <w:tc>
          <w:tcPr>
            <w:tcW w:w="16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18,618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w w:val="98"/>
              </w:rPr>
              <w:t>Change in fair value of contingent earn-out liabilities</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(23,349)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(23,349)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w:t>
            </w: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CFF0FC"/>
            </w:tcBorders>
          </w:tcPr>
          <w:p>
            <w:pPr>
              <w:spacing w:after="0"/>
              <w:rPr>
                <w:sz w:val="19"/>
                <w:szCs w:val="19"/>
                <w:color w:val="auto"/>
              </w:rPr>
            </w:pPr>
          </w:p>
        </w:tc>
        <w:tc>
          <w:tcPr>
            <w:tcW w:w="88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(1,154.0)</w:t>
            </w:r>
          </w:p>
        </w:tc>
        <w:tc>
          <w:tcPr>
            <w:tcW w:w="2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(2,937)</w:t>
            </w:r>
          </w:p>
        </w:tc>
        <w:tc>
          <w:tcPr>
            <w:tcW w:w="1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(36,306)</w:t>
            </w: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(33,369)</w:t>
            </w:r>
          </w:p>
        </w:tc>
        <w:tc>
          <w:tcPr>
            <w:tcW w:w="8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 stock-based compensation expense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5"/>
        </w:trPr>
        <w:tc>
          <w:tcPr>
            <w:tcW w:w="1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gridSpan w:val="4"/>
          </w:tcPr>
          <w:p>
            <w:pPr>
              <w:jc w:val="right"/>
              <w:ind w:right="547"/>
              <w:spacing w:after="0" w:line="155"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0"/>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30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(579)</w:t>
            </w:r>
          </w:p>
        </w:tc>
        <w:tc>
          <w:tcPr>
            <w:tcW w:w="100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4"/>
        </w:trPr>
        <w:tc>
          <w:tcPr>
            <w:tcW w:w="5080" w:type="dxa"/>
            <w:vAlign w:val="bottom"/>
            <w:gridSpan w:val="2"/>
          </w:tcPr>
          <w:p>
            <w:pPr>
              <w:ind w:left="1700"/>
              <w:spacing w:after="0"/>
              <w:rPr>
                <w:sz w:val="20"/>
                <w:szCs w:val="20"/>
                <w:color w:val="auto"/>
              </w:rPr>
            </w:pPr>
            <w:r>
              <w:rPr>
                <w:rFonts w:ascii="Arial" w:cs="Arial" w:eastAsia="Arial" w:hAnsi="Arial"/>
                <w:sz w:val="18"/>
                <w:szCs w:val="18"/>
                <w:color w:val="auto"/>
              </w:rPr>
              <w:t>Total stock-based compensation expense</w:t>
            </w:r>
          </w:p>
        </w:tc>
        <w:tc>
          <w:tcPr>
            <w:tcW w:w="1400" w:type="dxa"/>
            <w:vAlign w:val="bottom"/>
          </w:tcPr>
          <w:p>
            <w:pPr>
              <w:spacing w:after="0"/>
              <w:rPr>
                <w:sz w:val="19"/>
                <w:szCs w:val="19"/>
                <w:color w:val="auto"/>
              </w:rPr>
            </w:pP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74"/>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670"/>
              <w:spacing w:after="0"/>
              <w:rPr>
                <w:sz w:val="20"/>
                <w:szCs w:val="20"/>
                <w:color w:val="auto"/>
              </w:rPr>
            </w:pPr>
            <w:r>
              <w:rPr>
                <w:rFonts w:ascii="Arial" w:cs="Arial" w:eastAsia="Arial" w:hAnsi="Arial"/>
                <w:sz w:val="18"/>
                <w:szCs w:val="18"/>
                <w:color w:val="auto"/>
              </w:rPr>
              <w:t>34</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325"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8"/>
              </w:rPr>
              <w:t>100.0%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goods sold</w:t>
            </w:r>
          </w:p>
        </w:tc>
        <w:tc>
          <w:tcPr>
            <w:tcW w:w="8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4620" w:type="dxa"/>
            <w:vAlign w:val="bottom"/>
            <w:vMerge w:val="continue"/>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Sales and distribution expenses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57.6%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Operating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Change in fair value of derivative liability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Change in fair market value of warrant liability</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Loss before income taxes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ind w:left="1700"/>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jc w:val="right"/>
              <w:ind w:right="510"/>
              <w:spacing w:after="0"/>
              <w:rPr>
                <w:sz w:val="20"/>
                <w:szCs w:val="20"/>
                <w:color w:val="auto"/>
              </w:rPr>
            </w:pPr>
            <w:r>
              <w:rPr>
                <w:rFonts w:ascii="Arial" w:cs="Arial" w:eastAsia="Arial" w:hAnsi="Arial"/>
                <w:sz w:val="18"/>
                <w:szCs w:val="18"/>
                <w:color w:val="auto"/>
              </w:rPr>
              <w:t>35</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w:t>
      </w: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6"/>
          </w:tcPr>
          <w:p>
            <w:pPr>
              <w:jc w:val="right"/>
              <w:ind w:right="10"/>
              <w:spacing w:after="0" w:line="155" w:lineRule="exact"/>
              <w:rPr>
                <w:sz w:val="20"/>
                <w:szCs w:val="20"/>
                <w:color w:val="auto"/>
              </w:rPr>
            </w:pPr>
            <w:r>
              <w:rPr>
                <w:rFonts w:ascii="Arial" w:cs="Arial" w:eastAsia="Arial" w:hAnsi="Arial"/>
                <w:sz w:val="14"/>
                <w:szCs w:val="14"/>
                <w:color w:val="auto"/>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19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68,080</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Wholesale</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(5,727)</w:t>
            </w: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PaaS</w:t>
            </w: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(237)</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17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59,800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68,188</w:t>
            </w:r>
          </w:p>
        </w:tc>
        <w:tc>
          <w:tcPr>
            <w:tcW w:w="22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8,388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Net revenue increased $8.4 million, or 14.0% during the three months ended June 30, 2021, compared to $29.4 million for the three months ended June 30, 2020. The increase in net revenue was primarily attributable to increased direct sales volume of $14.4 million, or an 26.7% increase. Included in the three months ended June 30, 2021, direct net revenue is approximately $33.6 million of revenue for our previous merger and acquisitions (“M&amp;A”) including Squatty Potty and Photo Paper Direct, both of which were purchased in May 2021. There was no M&amp;A revenue in the three months ended June 30, 2020. Excluding direct net revenue from M&amp;A, our organic direct net revenue would have decreased by $19.2 million for the three months ended June 30,</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2021. This decrease is primarily driven by reduced sales volume, which we attribute to reduced demand due to the reopening of retail, increased average sale prices in the month of June 2021 to offset increased delivery costs and inventory shorts. Our decrease in organic net revenue includes a decrease of $4.1 million from products, such as chest freezers and hair buzzers, which sold well in the previous period during the initial lockdowns of the COVID-19 Pandemic and which did not sell at the same volumes this year, which we attribute to reduced demand due to the reopening of retail and increased average sales prices to offset increasing shipping costs.</w:t>
      </w:r>
    </w:p>
    <w:p>
      <w:pPr>
        <w:spacing w:after="0" w:line="19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also saw a decrease in wholesale revenue of $5.7 million versus the corresponding period of the prior year primarily from the sale of PPE in the three months ended June 30, 2020. Finally, we saw a decrease in PaaS revenue of $0.2 million in the three months ended June 30,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129"/>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20" w:type="dxa"/>
            <w:vAlign w:val="bottom"/>
            <w:gridSpan w:val="4"/>
          </w:tcPr>
          <w:p>
            <w:pPr>
              <w:jc w:val="right"/>
              <w:ind w:right="649"/>
              <w:spacing w:after="0" w:line="155" w:lineRule="exact"/>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Heating, cooling and air quality</w:t>
            </w:r>
          </w:p>
        </w:tc>
        <w:tc>
          <w:tcPr>
            <w:tcW w:w="35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29,541</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49"/>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26,842</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8,974</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 and beauty</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Home office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Housewares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9,942</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68,080</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PaaS</w:t>
            </w:r>
          </w:p>
        </w:tc>
        <w:tc>
          <w:tcPr>
            <w:tcW w:w="25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9"/>
                <w:szCs w:val="19"/>
                <w:color w:val="auto"/>
              </w:rPr>
            </w:pPr>
          </w:p>
        </w:tc>
      </w:tr>
      <w:tr>
        <w:trPr>
          <w:trHeight w:val="223"/>
        </w:trPr>
        <w:tc>
          <w:tcPr>
            <w:tcW w:w="5220" w:type="dxa"/>
            <w:vAlign w:val="bottom"/>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Pr>
          <w:p>
            <w:pPr>
              <w:spacing w:after="0"/>
              <w:rPr>
                <w:sz w:val="19"/>
                <w:szCs w:val="19"/>
                <w:color w:val="auto"/>
              </w:rPr>
            </w:pPr>
          </w:p>
        </w:tc>
        <w:tc>
          <w:tcPr>
            <w:tcW w:w="960" w:type="dxa"/>
            <w:vAlign w:val="bottom"/>
            <w:tcBorders>
              <w:bottom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59,800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68,188</w:t>
            </w:r>
          </w:p>
        </w:tc>
        <w:tc>
          <w:tcPr>
            <w:tcW w:w="10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Heating, cooling and air quality accounted for $26.8 million in net revenue for the three months ended June 30, 2021 versus $29.5 million for the three months ended June 30, 2020 as sell-outs on inventory and certain wholesale revenue agreements led to decreased revenue in the period.</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Kitchen appliances accounted for $11.1 million in net revenue for the three months ended June 30, 2020 and accounted for $8.9 million in net revenue for the corresponding period in 2021, a decrease of $2.1 million. Cookware, kitchen tools and gadgets accounted for approximately $2.0 million in net revenue for the three months ended June 30, 2020 and accounted for $5.6 million in net revenue for the corresponding period in 2021, an increase of $3.6 million from new products launched and growth in our existing products during the three months ended June 30, 2021, including acquisitions. Net revenue from housewares increased approximately $8.0 million quarter-over-quarter from growth in our existing products and new products obtained through acquisitions. We started selling essential oils and related accessories in 2021 which generated $9.9 million in net revenue for the three months ended June 30,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940" w:type="dxa"/>
            <w:vAlign w:val="bottom"/>
          </w:tcPr>
          <w:p>
            <w:pPr>
              <w:jc w:val="right"/>
              <w:ind w:right="39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8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5"/>
          </w:tcPr>
          <w:p>
            <w:pPr>
              <w:jc w:val="right"/>
              <w:ind w:right="100"/>
              <w:spacing w:after="0" w:line="155" w:lineRule="exact"/>
              <w:rPr>
                <w:sz w:val="20"/>
                <w:szCs w:val="20"/>
                <w:color w:val="auto"/>
              </w:rPr>
            </w:pPr>
            <w:r>
              <w:rPr>
                <w:rFonts w:ascii="Arial" w:cs="Arial" w:eastAsia="Arial" w:hAnsi="Arial"/>
                <w:sz w:val="14"/>
                <w:szCs w:val="14"/>
                <w:color w:val="auto"/>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32,200</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35,445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27,600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32,743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5,143</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bl>
    <w:p>
      <w:pPr>
        <w:spacing w:after="0" w:line="20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increase in cost of goods sold was primarily attributable to increased of $12.5 million from our M&amp;A additions offset by $9.3 million decrease in cost of goods sold from our organic business. Included in cost of goods for the three months ended June 30, 2021 is an expense of $2.5 million related to obsolescence reserve related to slow moving inventory, which primarily impacts our organic business.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Gross margin improved from 46.2% for the three months ended June 30, 2020 to 48.1% for the three months ended June 30, 2021. The improvement in gross margin was due to a change of product mix as our net revenue from our M&amp;A drives better gross margin 62.7% than our organic business 33.8%. The obsolescence expense impact in the three months ended June 30, 2021 accounts for approximately 7.2% margin impact on our organic business. The majority of our M&amp;A net revenue tends to be smaller products that have higher gross margins versus our organic business which tend to be oversized goods that have lower gross margins. We expect to see future impacts in our gross margin on both our M&amp;A and organic businesses as the COVID-19 pandemic and related global shipping crisis continues to drive shipping container costs higher and cause reductions in delivery reliability which increases delivery costs.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w w:val="99"/>
              </w:rPr>
              <w:t>Three Months Ended June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504"/>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900" w:type="dxa"/>
            <w:vAlign w:val="bottom"/>
            <w:tcBorders>
              <w:top w:val="single" w:sz="8" w:color="auto"/>
            </w:tcBorders>
            <w:gridSpan w:val="5"/>
          </w:tcPr>
          <w:p>
            <w:pPr>
              <w:jc w:val="center"/>
              <w:ind w:left="644"/>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18,618</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39,310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111.1%</w:t>
            </w:r>
          </w:p>
        </w:tc>
      </w:tr>
    </w:tbl>
    <w:p>
      <w:pPr>
        <w:spacing w:after="0" w:line="20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Sales and distribution expenses which included e-commerce platform commissions, online advertising and logistics expenses (i.e., variable sales and distribution expense), increased to $39.3 million for the three months ended June 30, 2021 from $18.6 million for the three months ended June 30, 2020. These increases are primarily attributable to the increase in the volume of products sold in the three months ended June 30, 2021, of $11.8 million, approximately $4.1 million of additional bad debt reserve from a dispute with a certain PPE supplier and approximately $0.9 million of professional fees from transition services charges from certain of our M&amp;A businesses. Our sales and distribution fixed costs (i.e. salary and office expenses) increased to $8.4 million for the three months June 30, 2021 from $1.6 million for the three months ended June 30, 2020 primarily due to an increase in headcount expenses versus the prior period primarily for branding, marketing and customer service. Sales and distribution expenses for the three months ended June 30, 2021 included an increase in stock-based compensation expense of $2.1 million as compared to approximately $1.6 million from income of $0.6 million as the prior quarter period included reversals of expense of certain restricted stock awards granted pursuant to the 2019 Equity Plan, which were cancelled upon termination of certain employees.</w:t>
      </w:r>
    </w:p>
    <w:p>
      <w:pPr>
        <w:spacing w:after="0" w:line="1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 percentage of net revenue, sales and distribution expenses increased to 57.6% for the three months ended June 30, 2021 from 31.1% for the three months ended June 30, 2020 primarily from an increase in last mile shipping costs, the bad debt reserve (6% as a percentage of net revenue), professional fees from transition services (1.6% as a percentage of net revenue) and the stock-based compensation expense (2% as a percentage of net revenue). E-commerce platform commissions, online advertising, selling and logistics expenses included within sales and distribution expenses, as a percentage of net revenue, were 43.0% for the three months ended June 30, 2021 as compared to 29.4% for the three months ended June 30, 2020, this increase is predominantly due to the increase in last mile shipping costs, specifically around oversized goods, due to the demand on those 3</w:t>
      </w:r>
      <w:r>
        <w:rPr>
          <w:rFonts w:ascii="Arial" w:cs="Arial" w:eastAsia="Arial" w:hAnsi="Arial"/>
          <w:sz w:val="14"/>
          <w:szCs w:val="14"/>
          <w:color w:val="auto"/>
        </w:rPr>
        <w:t>rd</w:t>
      </w:r>
      <w:r>
        <w:rPr>
          <w:rFonts w:ascii="Arial" w:cs="Arial" w:eastAsia="Arial" w:hAnsi="Arial"/>
          <w:sz w:val="17"/>
          <w:szCs w:val="17"/>
          <w:color w:val="auto"/>
        </w:rPr>
        <w:t xml:space="preserve"> party providers delivery networks. We expect to continue to see these cost increases in the near-term.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6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3"/>
              </w:rPr>
              <w:t>2,451</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jc w:val="both"/>
        <w:ind w:right="600"/>
        <w:spacing w:after="0" w:line="277" w:lineRule="auto"/>
        <w:rPr>
          <w:sz w:val="20"/>
          <w:szCs w:val="20"/>
          <w:color w:val="auto"/>
        </w:rPr>
      </w:pPr>
      <w:r>
        <w:rPr>
          <w:rFonts w:ascii="Arial" w:cs="Arial" w:eastAsia="Arial" w:hAnsi="Arial"/>
          <w:sz w:val="18"/>
          <w:szCs w:val="18"/>
          <w:color w:val="auto"/>
        </w:rPr>
        <w:t>The decrease in research and development expenses was primarily attributable to a decrease in fixed costs due to timing of headcount additions and replacements, particularly in our Poland office.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ind w:right="399"/>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45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9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w w:val="93"/>
              </w:rPr>
              <w:t>8,352</w:t>
            </w:r>
          </w:p>
        </w:tc>
        <w:tc>
          <w:tcPr>
            <w:tcW w:w="4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general and administrative expenses was primarily due to an increase of professional fees of approximately $2.3 million related to merger and acquisition costs including legal, audit and internal control related fees and an increase in intangibles amortization of approximately $1.4 million, offset by a decrease in stock-based compensation expense of approximately $2.4 million from reversals of expense of certain restricted stock awards granted pursuant to the 2019 Equity Plan, which were cancelled upon termination of certain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Borders>
              <w:top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Borders>
              <w:top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5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(23,349)</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(23,349)</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change in fair value of contingent earn-out liabilities was related to our acquisitions, which include re-assessment of the estimated fair value of contingent consideration as part of the purchase price, primarily driven by the increase of our share price since the date of each acquisition and contribution margin projections.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4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5"/>
              </w:rPr>
              <w:t>Three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0" w:type="dxa"/>
            <w:vAlign w:val="bottom"/>
            <w:tcBorders>
              <w:top w:val="single" w:sz="8" w:color="auto"/>
            </w:tcBorders>
            <w:gridSpan w:val="5"/>
          </w:tcPr>
          <w:p>
            <w:pPr>
              <w:jc w:val="center"/>
              <w:ind w:left="13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56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7"/>
              </w:rPr>
              <w:t>1,077</w:t>
            </w:r>
          </w:p>
        </w:tc>
        <w:tc>
          <w:tcPr>
            <w:tcW w:w="100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334.1%</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interest expense was primarily related to the increase in loan interest and related amortization of deferred financing fees and warrant discounts compared to the prior period’s credit facility and term loan. As of June 30, 2021, the term loan from High Trail has a face value of $110.0 million and as of June 30, 2020, we had a term loan and credit facility totaling $70.9 million in face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3"/>
              </w:rPr>
              <w:t>Three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29,772</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increase is attributable to the payment and termination of the High Trail December 2020, February 2021 Note loan and the termination of the Credit Facility, which resulted in $25.7 million in loss on extinguishment of debt consisting of unamortized deferred finance costs. Included in the loss on extinguishment of debt is a charge of $4.1 million consisting of fair market value of restricted shares issued on April 8, 2021, which were expensed.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5"/>
              </w:rPr>
              <w:t>Three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is attributable to the change in the fair value of warrant liability from warrants in connection with the December 2020 Note and the February 2021 Note from the increase of our share price since the issuances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5"/>
              </w:rPr>
              <w:t>Three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9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is attributable to the term loan from High Trail as we fair-valued certain embedded derivatives within the term loan, primarily around default interest rates.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2021</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results of operations for the six months ended June 30, 2020 and 2021, together with the changes in those items in dollars and percentages: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8"/>
              </w:rPr>
              <w:t>Six Months Ended June 30,</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46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5"/>
          </w:tcPr>
          <w:p>
            <w:pPr>
              <w:ind w:left="240"/>
              <w:spacing w:after="0" w:line="155" w:lineRule="exact"/>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7"/>
          </w:tcPr>
          <w:p>
            <w:pPr>
              <w:jc w:val="right"/>
              <w:ind w:right="36"/>
              <w:spacing w:after="0" w:line="155" w:lineRule="exact"/>
              <w:rPr>
                <w:sz w:val="20"/>
                <w:szCs w:val="20"/>
                <w:color w:val="auto"/>
              </w:rPr>
            </w:pPr>
            <w:r>
              <w:rPr>
                <w:rFonts w:ascii="Arial" w:cs="Arial" w:eastAsia="Arial" w:hAnsi="Arial"/>
                <w:sz w:val="14"/>
                <w:szCs w:val="14"/>
                <w:color w:val="auto"/>
              </w:rPr>
              <w:t>(in thousands, except percentages)</w:t>
            </w:r>
          </w:p>
        </w:tc>
        <w:tc>
          <w:tcPr>
            <w:tcW w:w="5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020" w:type="dxa"/>
            <w:vAlign w:val="bottom"/>
            <w:gridSpan w:val="2"/>
            <w:shd w:val="clear" w:color="auto" w:fill="CFF0FC"/>
          </w:tcPr>
          <w:p>
            <w:pPr>
              <w:jc w:val="right"/>
              <w:ind w:right="3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85,428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116,324</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30,896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47,530</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57,518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9,988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37,898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58,806</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20,908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Sales and distribution expenses (1)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32,528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64,379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31,851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 (1)</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(280)</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 (1)</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16,355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20,965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4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(7,704)</w:t>
            </w: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(7,704)</w:t>
            </w: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(15,717)</w:t>
            </w:r>
          </w:p>
        </w:tc>
        <w:tc>
          <w:tcPr>
            <w:tcW w:w="260" w:type="dxa"/>
            <w:vAlign w:val="bottom"/>
          </w:tcPr>
          <w:p>
            <w:pPr>
              <w:spacing w:after="0"/>
              <w:rPr>
                <w:sz w:val="19"/>
                <w:szCs w:val="19"/>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8"/>
                <w:szCs w:val="18"/>
                <w:color w:val="auto"/>
              </w:rPr>
              <w:t>(23,286)</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(7,569)</w:t>
            </w: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9,092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1,894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29,772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34,589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34,589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(income), net</w:t>
            </w:r>
          </w:p>
        </w:tc>
        <w:tc>
          <w:tcPr>
            <w:tcW w:w="5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5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(17,922)</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(118,818)</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(100,896)</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5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40" w:type="dxa"/>
            <w:vAlign w:val="bottom"/>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(17,967)</w:t>
            </w:r>
          </w:p>
        </w:tc>
        <w:tc>
          <w:tcPr>
            <w:tcW w:w="2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(118,859)</w:t>
            </w:r>
          </w:p>
        </w:tc>
        <w:tc>
          <w:tcPr>
            <w:tcW w:w="260" w:type="dxa"/>
            <w:vAlign w:val="bottom"/>
            <w:tcBorders>
              <w:right w:val="single" w:sz="8" w:color="CFF0FC"/>
            </w:tcBorders>
            <w:vMerge w:val="continue"/>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(100,892)</w:t>
            </w:r>
          </w:p>
        </w:tc>
        <w:tc>
          <w:tcPr>
            <w:tcW w:w="2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60" w:type="dxa"/>
            <w:vAlign w:val="bottom"/>
            <w:gridSpan w:val="3"/>
          </w:tcPr>
          <w:p>
            <w:pPr>
              <w:ind w:left="380"/>
              <w:spacing w:after="0"/>
              <w:rPr>
                <w:sz w:val="20"/>
                <w:szCs w:val="20"/>
                <w:color w:val="auto"/>
              </w:rPr>
            </w:pPr>
            <w:r>
              <w:rPr>
                <w:rFonts w:ascii="Arial" w:cs="Arial" w:eastAsia="Arial" w:hAnsi="Arial"/>
                <w:sz w:val="18"/>
                <w:szCs w:val="18"/>
                <w:color w:val="auto"/>
                <w:w w:val="90"/>
              </w:rPr>
              <w:t>(1)  Amounts include stock-based compensation expense as follows:</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jc w:val="center"/>
              <w:ind w:right="180"/>
              <w:spacing w:after="0" w:line="155" w:lineRule="exact"/>
              <w:rPr>
                <w:sz w:val="20"/>
                <w:szCs w:val="20"/>
                <w:color w:val="auto"/>
              </w:rPr>
            </w:pPr>
            <w:r>
              <w:rPr>
                <w:rFonts w:ascii="Arial" w:cs="Arial" w:eastAsia="Arial" w:hAnsi="Arial"/>
                <w:sz w:val="14"/>
                <w:szCs w:val="14"/>
                <w:color w:val="auto"/>
                <w:w w:val="92"/>
              </w:rPr>
              <w:t>(in 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w:t>
            </w:r>
          </w:p>
        </w:tc>
        <w:tc>
          <w:tcPr>
            <w:tcW w:w="58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9,145</w:t>
            </w:r>
          </w:p>
        </w:tc>
        <w:tc>
          <w:tcPr>
            <w:tcW w:w="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12,610</w:t>
            </w:r>
          </w:p>
        </w:tc>
        <w:tc>
          <w:tcPr>
            <w:tcW w:w="34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ind w:right="393"/>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following table sets forth the components of our results of operations as a percentage of net revenue:</w:t>
      </w:r>
    </w:p>
    <w:p>
      <w:pPr>
        <w:spacing w:after="0" w:line="200" w:lineRule="exact"/>
        <w:rPr>
          <w:sz w:val="20"/>
          <w:szCs w:val="20"/>
          <w:color w:val="auto"/>
        </w:rPr>
      </w:pPr>
    </w:p>
    <w:p>
      <w:pPr>
        <w:spacing w:after="0" w:line="233"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20" w:type="dxa"/>
            <w:vAlign w:val="bottom"/>
            <w:tcBorders>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CFF0FC"/>
            </w:tcBorders>
          </w:tcPr>
          <w:p>
            <w:pPr>
              <w:spacing w:after="0"/>
              <w:rPr>
                <w:sz w:val="13"/>
                <w:szCs w:val="13"/>
                <w:color w:val="auto"/>
              </w:rPr>
            </w:pPr>
          </w:p>
        </w:tc>
        <w:tc>
          <w:tcPr>
            <w:tcW w:w="1920" w:type="dxa"/>
            <w:vAlign w:val="bottom"/>
            <w:tcBorders>
              <w:top w:val="single" w:sz="8" w:color="auto"/>
              <w:bottom w:val="single" w:sz="8" w:color="auto"/>
            </w:tcBorders>
          </w:tcPr>
          <w:p>
            <w:pPr>
              <w:jc w:val="right"/>
              <w:ind w:right="75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Cost of goods sold</w:t>
            </w:r>
          </w:p>
        </w:tc>
        <w:tc>
          <w:tcPr>
            <w:tcW w:w="1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55.6%</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44.4%</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Arial" w:cs="Arial" w:eastAsia="Arial" w:hAnsi="Arial"/>
                <w:sz w:val="18"/>
                <w:szCs w:val="18"/>
                <w:color w:val="auto"/>
              </w:rPr>
              <w:t>Sales and distribution expenses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38.1%</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5.5%</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19.1%</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2.6%</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Change in fair value of derivative liability</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8020" w:type="dxa"/>
            <w:vAlign w:val="bottom"/>
            <w:gridSpan w:val="2"/>
          </w:tcPr>
          <w:p>
            <w:pPr>
              <w:spacing w:after="0"/>
              <w:rPr>
                <w:sz w:val="20"/>
                <w:szCs w:val="20"/>
                <w:color w:val="auto"/>
              </w:rPr>
            </w:pPr>
            <w:r>
              <w:rPr>
                <w:rFonts w:ascii="Arial" w:cs="Arial" w:eastAsia="Arial" w:hAnsi="Arial"/>
                <w:sz w:val="18"/>
                <w:szCs w:val="18"/>
                <w:color w:val="auto"/>
              </w:rPr>
              <w:t>Change in fair market value of warrant liability</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Other expense, net</w:t>
            </w:r>
          </w:p>
        </w:tc>
        <w:tc>
          <w:tcPr>
            <w:tcW w:w="1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(20.9)%</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21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(20.9)%</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6720" w:type="dxa"/>
            <w:vAlign w:val="bottom"/>
            <w:tcBorders>
              <w:top w:val="single" w:sz="8" w:color="CFF0FC"/>
              <w:bottom w:val="single" w:sz="8" w:color="CFF0FC"/>
            </w:tcBorders>
            <w:vMerge w:val="restart"/>
          </w:tcPr>
          <w:p>
            <w:pPr>
              <w:ind w:left="5540"/>
              <w:spacing w:after="0"/>
              <w:rPr>
                <w:sz w:val="20"/>
                <w:szCs w:val="20"/>
                <w:color w:val="auto"/>
              </w:rPr>
            </w:pPr>
            <w:r>
              <w:rPr>
                <w:rFonts w:ascii="Arial" w:cs="Arial" w:eastAsia="Arial" w:hAnsi="Arial"/>
                <w:sz w:val="18"/>
                <w:szCs w:val="18"/>
                <w:color w:val="auto"/>
              </w:rPr>
              <w:t>40</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Product Categories</w:t>
      </w:r>
      <w:r>
        <w:rPr>
          <w:rFonts w:ascii="Arial" w:cs="Arial" w:eastAsia="Arial" w:hAnsi="Arial"/>
          <w:sz w:val="18"/>
          <w:szCs w:val="18"/>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net revenue disaggregated by product categories: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940" w:type="dxa"/>
            <w:vAlign w:val="bottom"/>
            <w:tcBorders>
              <w:bottom w:val="single" w:sz="8" w:color="auto"/>
            </w:tcBorders>
            <w:gridSpan w:val="5"/>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6"/>
          </w:tcPr>
          <w:p>
            <w:pPr>
              <w:jc w:val="right"/>
              <w:ind w:right="110"/>
              <w:spacing w:after="0" w:line="155" w:lineRule="exact"/>
              <w:rPr>
                <w:sz w:val="20"/>
                <w:szCs w:val="20"/>
                <w:color w:val="auto"/>
              </w:rPr>
            </w:pPr>
            <w:r>
              <w:rPr>
                <w:rFonts w:ascii="Arial" w:cs="Arial" w:eastAsia="Arial" w:hAnsi="Arial"/>
                <w:sz w:val="14"/>
                <w:szCs w:val="14"/>
                <w:color w:val="auto"/>
              </w:rPr>
              <w:t>(in thousands, except percentages)</w:t>
            </w:r>
          </w:p>
        </w:tc>
        <w:tc>
          <w:tcPr>
            <w:tcW w:w="10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Direct</w:t>
            </w:r>
          </w:p>
        </w:tc>
        <w:tc>
          <w:tcPr>
            <w:tcW w:w="282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78,936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114,232</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35,296</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8"/>
                <w:szCs w:val="18"/>
                <w:color w:val="auto"/>
              </w:rPr>
              <w:t>Wholesale</w:t>
            </w:r>
          </w:p>
        </w:tc>
        <w:tc>
          <w:tcPr>
            <w:tcW w:w="2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(3,984)</w:t>
            </w:r>
          </w:p>
        </w:tc>
        <w:tc>
          <w:tcPr>
            <w:tcW w:w="34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PaaS</w:t>
            </w:r>
          </w:p>
        </w:tc>
        <w:tc>
          <w:tcPr>
            <w:tcW w:w="20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(416)</w:t>
            </w: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rPr>
              <w:t>Net revenue</w:t>
            </w:r>
          </w:p>
        </w:tc>
        <w:tc>
          <w:tcPr>
            <w:tcW w:w="20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820" w:type="dxa"/>
            <w:vAlign w:val="bottom"/>
          </w:tcPr>
          <w:p>
            <w:pPr>
              <w:jc w:val="right"/>
              <w:ind w:right="668"/>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85,428</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116,324</w:t>
            </w:r>
          </w:p>
        </w:tc>
        <w:tc>
          <w:tcPr>
            <w:tcW w:w="26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30,896</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Net revenue increased $30.9 million, or 36.2% during the six months ended June 30, 2021 to $116.3 million compared to $85.4 million for the six months ended June 30, 2020. The increase in net revenue was primarily attributable to increased direct sales volume of $35.3 million, or an 44.7%</w:t>
      </w:r>
    </w:p>
    <w:p>
      <w:pPr>
        <w:spacing w:after="0" w:line="251" w:lineRule="auto"/>
        <w:rPr>
          <w:sz w:val="20"/>
          <w:szCs w:val="20"/>
          <w:color w:val="auto"/>
        </w:rPr>
      </w:pPr>
      <w:r>
        <w:rPr>
          <w:rFonts w:ascii="Arial" w:cs="Arial" w:eastAsia="Arial" w:hAnsi="Arial"/>
          <w:sz w:val="18"/>
          <w:szCs w:val="18"/>
          <w:color w:val="auto"/>
        </w:rPr>
        <w:t>increase. Included in the six months ended June 30, 2021, direct net revenue is approximately $63.0 million of revenue for our M&amp;A including Squatty Potty and Photo Paper Direct, both of which were purchased in May 2021. There was no M&amp;A revenue in the six months ended June 30, 2020. Excluding direct net revenue from M&amp;A, our organic direct net revenue would have decreased by $27.0 million for the six months ended June 30, 2021. This decrease is driven by reduced sales volume, which we attribute to reduced demand due to the reopening of retail, increased average sale prices in the month of June 2021 to offset increased delivery costs and inventory shorts. Our decrease in organic net revenue includes a decrease of $4.9 million from products, such as chest freezers and hair buzzers, which sold well in the previous period during the initial lockdowns of the COVID-19 pandemic and which did not sell at the same volumes this year, which we attribute to reduced demand due to the reopening of retail and increased average sales prices to offset increasing shipping costs.</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We also saw a decrease in wholesale revenue of approximately $4.0 million versus the corresponding period of the prior year primarily from a decrease in the sale of PPE in the six months ended June 30, 2021. Finally, we saw a decrease in PaaS revenue of approximately $0.4 million in the six months ended June 30, 2021.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80" w:type="dxa"/>
            <w:vAlign w:val="bottom"/>
            <w:gridSpan w:val="3"/>
          </w:tcPr>
          <w:p>
            <w:pPr>
              <w:jc w:val="right"/>
              <w:ind w:right="587"/>
              <w:spacing w:after="0" w:line="155"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Heating, cooling and air quality</w:t>
            </w:r>
          </w:p>
        </w:tc>
        <w:tc>
          <w:tcPr>
            <w:tcW w:w="35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39,418</w:t>
            </w:r>
          </w:p>
        </w:tc>
        <w:tc>
          <w:tcPr>
            <w:tcW w:w="122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32,980</w:t>
            </w:r>
          </w:p>
        </w:tc>
        <w:tc>
          <w:tcPr>
            <w:tcW w:w="100" w:type="dxa"/>
            <w:vAlign w:val="bottom"/>
          </w:tcPr>
          <w:p>
            <w:pPr>
              <w:spacing w:after="0"/>
              <w:rPr>
                <w:sz w:val="20"/>
                <w:szCs w:val="20"/>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Kitchen appliances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18,185</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Health and beauty</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9,600</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5,463</w:t>
            </w:r>
          </w:p>
        </w:tc>
        <w:tc>
          <w:tcPr>
            <w:tcW w:w="10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Personal protective equipment</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Cookware, kitchen tools and gadgets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2,978</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11,646</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Home office</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Housewares</w:t>
            </w:r>
          </w:p>
        </w:tc>
        <w:tc>
          <w:tcPr>
            <w:tcW w:w="2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2,523</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16,291</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Essential oils and related accessories</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17,295</w:t>
            </w:r>
          </w:p>
        </w:tc>
        <w:tc>
          <w:tcPr>
            <w:tcW w:w="100" w:type="dxa"/>
            <w:vAlign w:val="bottom"/>
            <w:shd w:val="clear" w:color="auto" w:fill="CFF0FC"/>
          </w:tcPr>
          <w:p>
            <w:pPr>
              <w:spacing w:after="0"/>
              <w:rPr>
                <w:sz w:val="19"/>
                <w:szCs w:val="19"/>
                <w:color w:val="auto"/>
              </w:rPr>
            </w:pPr>
          </w:p>
        </w:tc>
      </w:tr>
      <w:tr>
        <w:trPr>
          <w:trHeight w:val="229"/>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Total net product revenue</w:t>
            </w:r>
          </w:p>
        </w:tc>
        <w:tc>
          <w:tcPr>
            <w:tcW w:w="2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84,722</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116,034</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PaaS</w:t>
            </w:r>
          </w:p>
        </w:tc>
        <w:tc>
          <w:tcPr>
            <w:tcW w:w="2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2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revenue</w:t>
            </w:r>
          </w:p>
        </w:tc>
        <w:tc>
          <w:tcPr>
            <w:tcW w:w="25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85,428</w:t>
            </w:r>
          </w:p>
        </w:tc>
        <w:tc>
          <w:tcPr>
            <w:tcW w:w="2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116,324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Heating, cooling and air quality accounted for $32.9 million in net revenue for the six months ended June 30, 2021 versus $39.4 million for the six months ended June 30, 2020 as sell-outs on inventory and certain wholesale revenue agreements led to decreased revenue in the period.</w:t>
      </w:r>
    </w:p>
    <w:p>
      <w:pPr>
        <w:spacing w:after="0" w:line="14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Kitchen appliances accounted for $21.1 million in net revenue for the six months ended June 30, 2021 and accounted for $18.1 million in net revenue for the corresponding period in 2020, an increase of $2.9 million from new products launched and growth in our existing products during the six months ended June 30, 2021. Cookware, kitchen tools and gadgets accounted for approximately $3.0 million in net revenue for the six months ended June 30, 2020 and accounted for $11.7 million in net revenue for the corresponding period in 2021, an increase of $8.7 million from new products launched and growth in our existing products during the six months ended June 30, 2021, including acquisitions. Net revenue from housewares increased approximately $13.8 million from growth in our existing products and new products obtained through acquisitions. We started selling essential oils and related accessories in 2021, which generated $17.3 million in net revenue for the six months ended June 30,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right"/>
              <w:ind w:right="200"/>
              <w:spacing w:after="0" w:line="155" w:lineRule="exact"/>
              <w:rPr>
                <w:sz w:val="20"/>
                <w:szCs w:val="20"/>
                <w:color w:val="auto"/>
              </w:rPr>
            </w:pPr>
            <w:r>
              <w:rPr>
                <w:rFonts w:ascii="Arial" w:cs="Arial" w:eastAsia="Arial" w:hAnsi="Arial"/>
                <w:sz w:val="14"/>
                <w:szCs w:val="14"/>
                <w:color w:val="auto"/>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25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87"/>
              </w:rPr>
              <w:t>47,530</w:t>
            </w:r>
          </w:p>
        </w:tc>
        <w:tc>
          <w:tcPr>
            <w:tcW w:w="96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57,518</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9,988</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258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6"/>
              <w:spacing w:after="0"/>
              <w:rPr>
                <w:sz w:val="20"/>
                <w:szCs w:val="20"/>
                <w:color w:val="auto"/>
              </w:rPr>
            </w:pPr>
            <w:r>
              <w:rPr>
                <w:rFonts w:ascii="Arial" w:cs="Arial" w:eastAsia="Arial" w:hAnsi="Arial"/>
                <w:sz w:val="18"/>
                <w:szCs w:val="18"/>
                <w:color w:val="auto"/>
                <w:w w:val="87"/>
              </w:rPr>
              <w:t>37,898</w:t>
            </w:r>
          </w:p>
        </w:tc>
        <w:tc>
          <w:tcPr>
            <w:tcW w:w="96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58,806</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20,908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r>
    </w:tbl>
    <w:p>
      <w:pPr>
        <w:spacing w:after="0" w:line="20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increase in cost of goods sold was primarily attributable to an increase of $23.9 million from our M&amp;A additions offset by $10.4 million decrease in cost of goods sold from our organic business and $3.6 million from PPE. Included in cost of goods for the six months ended June 30, 2021, is an expense of $2.5 million related to obsolescence reserve related to slow moving inventory which primarily impacts our organic business.</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Gross margin improved from 44.4% for the six months ended June 30, 2020 to 50.6% for the six months ended June 30, 2021. The improvement in gross margin was due to a change of product mix as our net revenue from our M&amp;A drives better gross margin 62.0% than our organic business 36.9%. The obsolescence expense impact in the six months ended June 30, 2021, accounts for approximately 4.7% of the margin impact on our organic business. The majority of our M&amp;A net revenue tends to be smaller products that have higher gross margins versus our organic business, which tend to be oversized goods that have lower gross margins. We expect to see future impacts in our gross margin on both our M&amp;A and organic businesses as the international shipping container crisis continues to drive shipping container cost higher and reductions in delivery reliability which also increases related shipping container delivery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jc w:val="center"/>
              <w:ind w:left="17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expenses</w:t>
            </w:r>
          </w:p>
        </w:tc>
        <w:tc>
          <w:tcPr>
            <w:tcW w:w="21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87"/>
              </w:rPr>
              <w:t>32,528</w:t>
            </w:r>
          </w:p>
        </w:tc>
        <w:tc>
          <w:tcPr>
            <w:tcW w:w="96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64,379</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31,851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97.9%</w:t>
            </w:r>
          </w:p>
        </w:tc>
      </w:tr>
    </w:tbl>
    <w:p>
      <w:pPr>
        <w:spacing w:after="0" w:line="20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Sales and distribution expenses which included e-commerce platform commissions, online advertising and logistics expenses (i.e., variable sales and distribution expense), increased to $64.4 million for the six months ended June 30, 2021 from $32.5 million for the six months ended June 30, 2020. These increases are primarily attributable to the increase in the volume of products sold in the six months ended June 30, 2021, of $22.4 million, approximately $4.1 million of bad debt reserve from our dispute with certain a PPE supplier and approximately $1.4 million of professional fees from transition services charges from certain of our M&amp;A businesses. Our sales and distribution fixed costs (i.e. salary and office expenses) increased to $3.9 million for the six months June 30, 2021 from $2.9 million for the six months ended June 30, 2020 primarily due to an increase in headcount expenses versus the prior period primarily for branding, marketing and customer service. Sales and distribution expenses for the six months ended June 30, 2021 included an increase in stock-based compensation expense as the prior quarter period included reversals of expense of certain restricted stock awards granted pursuant to the Aterian, Inc. 2019 Equity Plan (the “2019 Equity Plan”) which were cancelled upon termination of certain employees.</w:t>
      </w:r>
    </w:p>
    <w:p>
      <w:pPr>
        <w:spacing w:after="0" w:line="16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 percentage of net revenue, sales and distribution expenses increased to 55.3% for the six months ended June 30, 2021 from 38.1% for the six months ended June 30, 2020 primarily from an increase in last mile shipping costs, bad debt reserve (3.5% as a percentage of net revenue), professional fees from transition services (1.0% as a percentage of net revenue) and stock-based compensation expense (2.1% as a percentage of net revenue). E-commerce platform commissions, online advertising, selling and logistics expenses included within sales and distribution expenses, as a percentage of net revenue, were 43.9% for the six months ended June 30, 2021 as compared to 33.5% for the six months ended June 30, 2020, this increase is predominantly due to the increase in last mile shipping costs, specifically around oversized goods, due to the demand on those 3</w:t>
      </w:r>
      <w:r>
        <w:rPr>
          <w:rFonts w:ascii="Arial" w:cs="Arial" w:eastAsia="Arial" w:hAnsi="Arial"/>
          <w:sz w:val="14"/>
          <w:szCs w:val="14"/>
          <w:color w:val="auto"/>
        </w:rPr>
        <w:t>rd</w:t>
      </w:r>
      <w:r>
        <w:rPr>
          <w:rFonts w:ascii="Arial" w:cs="Arial" w:eastAsia="Arial" w:hAnsi="Arial"/>
          <w:sz w:val="17"/>
          <w:szCs w:val="17"/>
          <w:color w:val="auto"/>
        </w:rPr>
        <w:t xml:space="preserve"> party providers delivery networks. We expect to see these cost increases continue in the near-term.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0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7"/>
              </w:rPr>
              <w:t>4,732</w:t>
            </w:r>
          </w:p>
        </w:tc>
        <w:tc>
          <w:tcPr>
            <w:tcW w:w="10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4,452</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w:t>
            </w: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decrease in research and development expenses was primarily attributable to a decrease in fixed costs due to timing of headcount additions and replacements, particularly in our Poland office.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5"/>
          </w:tcPr>
          <w:p>
            <w:pPr>
              <w:jc w:val="center"/>
              <w:ind w:left="15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87"/>
              </w:rPr>
              <w:t>16,355</w:t>
            </w:r>
          </w:p>
        </w:tc>
        <w:tc>
          <w:tcPr>
            <w:tcW w:w="94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20,965</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28.2%</w:t>
            </w: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increase in general and administrative expenses was primarily due to an increase of professional fees of approximately $3.5 million related to merger and acquisition costs including legal, audit and internal control related fees and an increase in intangibles amortization of approximately $2.5 million, offset by a decrease in stock-based compensation expense of approximately $1.9 million from reversals of expense of certain restricted stock awards granted pursuant to the 2019 Equity Plan, which were cancelled upon termination of certain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contingent earn-out liabilities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6"/>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15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(7,704)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(7,704)</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increase in change in fair value of contingent earn-out liabilities was related to our acquisitions, which include re-assessment of the estimated fair value of contingent consideration as part of the purchase price, primarily driven by the increase of our share price since the date of each acquisition and contribution margin projections.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jc w:val="right"/>
              <w:ind w:right="1159"/>
              <w:spacing w:after="0"/>
              <w:rPr>
                <w:sz w:val="20"/>
                <w:szCs w:val="20"/>
                <w:color w:val="auto"/>
              </w:rPr>
            </w:pPr>
            <w:r>
              <w:rPr>
                <w:rFonts w:ascii="Arial" w:cs="Arial" w:eastAsia="Arial" w:hAnsi="Arial"/>
                <w:sz w:val="14"/>
                <w:szCs w:val="14"/>
                <w:b w:val="1"/>
                <w:bCs w:val="1"/>
                <w:color w:val="auto"/>
              </w:rPr>
              <w:t>_</w:t>
            </w:r>
          </w:p>
        </w:tc>
        <w:tc>
          <w:tcPr>
            <w:tcW w:w="1240" w:type="dxa"/>
            <w:vAlign w:val="bottom"/>
          </w:tcPr>
          <w:p>
            <w:pPr>
              <w:spacing w:after="0"/>
              <w:rPr>
                <w:sz w:val="14"/>
                <w:szCs w:val="14"/>
                <w:color w:val="auto"/>
              </w:rPr>
            </w:pPr>
          </w:p>
        </w:tc>
        <w:tc>
          <w:tcPr>
            <w:tcW w:w="248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5"/>
          </w:tcPr>
          <w:p>
            <w:pPr>
              <w:jc w:val="center"/>
              <w:ind w:left="1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660" w:type="dxa"/>
            <w:vAlign w:val="bottom"/>
            <w:shd w:val="clear" w:color="auto" w:fill="CFF0FC"/>
          </w:tcPr>
          <w:p>
            <w:pPr>
              <w:jc w:val="right"/>
              <w:ind w:right="2099"/>
              <w:spacing w:after="0"/>
              <w:rPr>
                <w:sz w:val="20"/>
                <w:szCs w:val="20"/>
                <w:color w:val="auto"/>
              </w:rPr>
            </w:pPr>
            <w:r>
              <w:rPr>
                <w:rFonts w:ascii="Arial" w:cs="Arial" w:eastAsia="Arial" w:hAnsi="Arial"/>
                <w:sz w:val="18"/>
                <w:szCs w:val="18"/>
                <w:color w:val="auto"/>
                <w:w w:val="86"/>
              </w:rPr>
              <w:t>Interest expense, net</w:t>
            </w:r>
          </w:p>
        </w:tc>
        <w:tc>
          <w:tcPr>
            <w:tcW w:w="212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w w:val="97"/>
              </w:rPr>
              <w:t>2,186</w:t>
            </w:r>
          </w:p>
        </w:tc>
        <w:tc>
          <w:tcPr>
            <w:tcW w:w="100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9,092</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315.9%</w:t>
            </w: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increase in interest expense was primarily related to the increase in loan interest and related amortization of deferred financing fees and warrant discounts compared to the prior periods credit facility and term loan. As of June 30, 2021, the term loan from High Trail has a face value of $110.0 million and as of June 30, 2020, we had a term loan and credit facility totaling $70.9 million in face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2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25,716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25,716</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18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increase is attributable to the payment and termination of the High Trail December 2020 Note, February 2021 Note and the termination of the Credit Facility, which resulted in $25.7 million in loss on extinguishment of debt consisting of unamortized deferred finance costs. Included in the loss on extinguishment of debt is a charge of $4.1 million consisting of fair market value of restricted shares issued on April 8, 2021, which were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market value of warrant liability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ind w:left="300"/>
              <w:spacing w:after="0" w:line="155" w:lineRule="exact"/>
              <w:rPr>
                <w:sz w:val="20"/>
                <w:szCs w:val="20"/>
                <w:color w:val="auto"/>
              </w:rPr>
            </w:pPr>
            <w:r>
              <w:rPr>
                <w:rFonts w:ascii="Arial" w:cs="Arial" w:eastAsia="Arial" w:hAnsi="Arial"/>
                <w:sz w:val="14"/>
                <w:szCs w:val="14"/>
                <w:color w:val="auto"/>
                <w:w w:val="98"/>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market value of warrant liability</w:t>
            </w:r>
          </w:p>
        </w:tc>
        <w:tc>
          <w:tcPr>
            <w:tcW w:w="17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34,589</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34,589</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Loss on initial issuance of warrant</w:t>
            </w:r>
          </w:p>
        </w:tc>
        <w:tc>
          <w:tcPr>
            <w:tcW w:w="172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63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20,147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20,147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431"/>
        </w:trPr>
        <w:tc>
          <w:tcPr>
            <w:tcW w:w="4140" w:type="dxa"/>
            <w:vAlign w:val="bottom"/>
          </w:tcPr>
          <w:p>
            <w:pPr>
              <w:spacing w:after="0"/>
              <w:rPr>
                <w:sz w:val="24"/>
                <w:szCs w:val="24"/>
                <w:color w:val="auto"/>
              </w:rPr>
            </w:pPr>
          </w:p>
        </w:tc>
        <w:tc>
          <w:tcPr>
            <w:tcW w:w="1720" w:type="dxa"/>
            <w:vAlign w:val="bottom"/>
            <w:gridSpan w:val="2"/>
          </w:tcPr>
          <w:p>
            <w:pPr>
              <w:jc w:val="right"/>
              <w:ind w:right="68"/>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spacing w:after="0" w:line="263" w:lineRule="auto"/>
        <w:rPr>
          <w:sz w:val="20"/>
          <w:szCs w:val="20"/>
          <w:color w:val="auto"/>
        </w:rPr>
      </w:pPr>
      <w:r>
        <w:rPr>
          <w:rFonts w:ascii="Arial" w:cs="Arial" w:eastAsia="Arial" w:hAnsi="Arial"/>
          <w:sz w:val="18"/>
          <w:szCs w:val="18"/>
          <w:color w:val="auto"/>
        </w:rPr>
        <w:t>The increase is attributable to the change in the fair value of warrant liability from warrants in connection with the December 2020 Note and the February 2021 Note from the increase of our share price since the issuances of the warrants. The loss on initial issuance of warrant for the six months ended June 30, 2021 was primarily driven by the increase of our share price since the issuance of the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liability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ind w:left="160"/>
              <w:spacing w:after="0" w:line="155" w:lineRule="exact"/>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480" w:type="dxa"/>
            <w:vAlign w:val="bottom"/>
            <w:tcBorders>
              <w:top w:val="single" w:sz="8" w:color="auto"/>
            </w:tcBorders>
            <w:gridSpan w:val="5"/>
          </w:tcPr>
          <w:p>
            <w:pPr>
              <w:jc w:val="center"/>
              <w:ind w:left="19"/>
              <w:spacing w:after="0" w:line="155" w:lineRule="exact"/>
              <w:rPr>
                <w:sz w:val="20"/>
                <w:szCs w:val="20"/>
                <w:color w:val="auto"/>
              </w:rPr>
            </w:pPr>
            <w:r>
              <w:rPr>
                <w:rFonts w:ascii="Arial" w:cs="Arial" w:eastAsia="Arial" w:hAnsi="Arial"/>
                <w:sz w:val="14"/>
                <w:szCs w:val="14"/>
                <w:color w:val="auto"/>
                <w:w w:val="90"/>
              </w:rPr>
              <w:t>(in thousands, except percentages)</w:t>
            </w:r>
          </w:p>
        </w:tc>
        <w:tc>
          <w:tcPr>
            <w:tcW w:w="11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9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is attributable to the term loan from High Trail as we fair-valued certain embedded derivatives within the term loan, primarily around default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2020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cash flows for the three months ended June 30, 2020 and 2021, respectively:</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4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30"/>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96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(8,923)</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(32,836)</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(44,947)</w:t>
            </w: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(4,218)</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111,924</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Effect of exchange rate on cash</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r>
      <w:tr>
        <w:trPr>
          <w:trHeight w:val="223"/>
        </w:trPr>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restricted cash for period</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Net cash used in operating activities was $8.9 million for the six months ended June 30, 2020 and was driven primarily by our net cash losses from operations of $4.6 million and use of cash from working capital of $4.3 million from changes in accounts receivable, purchases of inventory and insurance and payments of accounts payable.</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Net cash used in operating activities was $32.8 million for the three months ended June 30, 2021, resulting from our net cash losses from operations of $13.9 million, offset by cash from working capital of $18.9 million from changes in accounts receivable, purchases of inventory and insurance and payments of accounts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six months ended June 30, 2021, net cash used in investing activities of $44.9 million was primarily from the acquisition of the assets of Healing Solutions, LLC for $15.3 million, the assets of Squatty Potty for $19.0 million and Photo Paper Direct of $10.6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by financing activities was $4.2 million for the six months ended June 30, 2020 and was driven primarily by repayments under the Credit Facility of $3.8 million and repayment of the notes payable related to Aussie Health of $0.2 million.</w:t>
      </w:r>
    </w:p>
    <w:p>
      <w:pPr>
        <w:spacing w:after="0" w:line="17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For the six months ended June 30, 2021, cash provided by financing activities of $111.9 million was primarily from proceeds from borrowings from the High Trail April 2021 Notes of $110.0 million, proceeds from cancellation of a warrant of $17.0 million, proceeds from equity offering of $36.7 million offset by repayments of the High Trail December 2020 Note and February 2021 Note of $59.5 million, repayments of the Credit Facility of $28.2 million and $7.5 million seller note repayments.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Sources of Liquidity and Going Concern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been affected by the impact of the COVID-19 pandemic and related global shipping crisis. Together, these have led to substantial increases in the costs of shipping containers, which we rely on to import our goods. This has reduced the reliability and timely delivery of such shipping containers and has substantially increased our international inbound costs as well as last-mile shipping costs on our oversized goods. These cost increases have been particularly substantial for oversized goods, which are a material part of our business. The increased cost of the shipping containers has negatively impacted us in the three months ended June 30, 2021, and we currently believe it will continue to negatively impact us for at least the next six to nine months. The reduced reliability and delivery of such shipping containers is forcing us to spend more on premium shipping to ensure space on board of the vessels, if at all, and the lack of reliability and timely delivery has further down supply chain impacts as it takes longer for containers to be offloaded and returned. Further, this global shipping crisis is forcing us to increase our inventory on-hand, which negatively impacts our working capital.</w:t>
      </w:r>
    </w:p>
    <w:p>
      <w:pPr>
        <w:spacing w:after="0" w:line="16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Third party last-mile shipping partners, such as UPS and Fedex, continue to increase the cost of delivering goods to the end consumers as their delivery networks continue to be impacted by the COVID-19 pandemic. In addition, we may also be adversely impacted by rising costs of the commodity raw materials used to produce our products.</w:t>
      </w:r>
    </w:p>
    <w:p>
      <w:pPr>
        <w:spacing w:after="0" w:line="18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COVID-19 global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in consumer buying habits, which may have reduced demand for our products.</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such, these impacts led us to breach our Adjusted EBITDA covenant for the three months ended June 30, 2021 with our lender, High Trail Investments SA LLC (“High Trail SA”) and High Trail Investments ON LLC (“High Trail ON” and, together with High Trail SA, “High Trail”). As of the date of this Quarterly Report on Form 10-Q, we have secured a waiver from High Trail, which will be effective upon us making certain cash payments to High Trail on August 9, 2021 and issuing shares of our common stock to High Trail by no later than August 11, 2021. For additional information, please refer to Part II, Item 5 of this Quarterly Report on Form 10-Q.</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Further, due to these crises, we have reduced our forecast for the next twelve months. We have been taking, and plan to continue to take, various actions to help improve our financial forecasts and allow us to navigate through these crises. Our actions include, but are not limited to, obtaining new third party vendors for shipping containers, renegotiating rates with third party last-mile providers, postponing or cancelling some or all of our product launches and reducing of fixed costs. As there can be no assurance that these actions along with our operating forecast for the twelve months following the issuance of the accompanying consolidated financial statements, will be attained such that we will be able to maintain compliance with our Adjusted EBITDA covenant and liquidity covenants due to the timing of working capital as part of the waiver with our lenders, these negative financial conditions raise substantial doubt about our ability to continue as a going concern.</w:t>
      </w:r>
    </w:p>
    <w:p>
      <w:pPr>
        <w:spacing w:after="0" w:line="19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are in active conversations with our lender, High Trail. Management plans to continue to closely monitor our operating forecast and may pursue additional sources of financing and/or capital to fund our operations or to continue our merger and acquisition strategy. If we are unable to improve our operating results, secure waivers from our lenders, and/or obtain additional sources of financing and capital on acceptable terms (if at all) for our merger and acquisition strategy, we may have to make significant changes to our operating plan, such as delay expenditures, reduce investments in new products, delay the development of our software, reduce our sale and distribution infrastructure, or otherwise significantly reduce the scope of our business. The accompanying consolidated financial statements do not include any adjustments that might result from the outcome of this uncertainty.</w:t>
      </w:r>
    </w:p>
    <w:p>
      <w:pPr>
        <w:spacing w:after="0" w:line="26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COVID-19 Pandemic—</w:t>
      </w:r>
      <w:r>
        <w:rPr>
          <w:rFonts w:ascii="Arial" w:cs="Arial" w:eastAsia="Arial" w:hAnsi="Arial"/>
          <w:sz w:val="17"/>
          <w:szCs w:val="17"/>
          <w:color w:val="auto"/>
        </w:rPr>
        <w:t>The full impact of the COVID-19 pandemic, including the impact associated with preventative and precautionary measures that</w:t>
      </w:r>
      <w:r>
        <w:rPr>
          <w:rFonts w:ascii="Arial" w:cs="Arial" w:eastAsia="Arial" w:hAnsi="Arial"/>
          <w:sz w:val="17"/>
          <w:szCs w:val="17"/>
          <w:b w:val="1"/>
          <w:bCs w:val="1"/>
          <w:color w:val="auto"/>
        </w:rPr>
        <w:t xml:space="preserve"> </w:t>
      </w:r>
      <w:r>
        <w:rPr>
          <w:rFonts w:ascii="Arial" w:cs="Arial" w:eastAsia="Arial" w:hAnsi="Arial"/>
          <w:sz w:val="17"/>
          <w:szCs w:val="17"/>
          <w:color w:val="auto"/>
        </w:rPr>
        <w:t>we, other businesses and governments are taking, continue to evolve as of the date of this Quarterly Report on Form 10-Q. During the first half of 2021, we experienced negative impacts to our margins related to increased international freight demands, lack of shipping containers and general international freight congestion due to the continued increased demand of goods being sold on ecommerce marketplaces. We have experienced, and expect to continue to experience, an increase in last-mile shipping costs as shipping providers’ delivery networks continue to be stressed due to increased demand from the increase of goods sold on ecommerce marketplaces.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in consumer buying habits that may have reduced demand for our products. We continue to consider the impact of COVID-19 based on the assumptions and estimates used when preparing these consolidated financial statements, including inventory valuation, and the impairment of long-lived assets. These assumptions and estimates may change as the current situation evolves or new events occur,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ind w:right="100"/>
        <w:spacing w:after="0" w:line="277" w:lineRule="auto"/>
        <w:rPr>
          <w:sz w:val="20"/>
          <w:szCs w:val="20"/>
          <w:color w:val="auto"/>
        </w:rPr>
      </w:pPr>
      <w:r>
        <w:rPr>
          <w:rFonts w:ascii="Arial" w:cs="Arial" w:eastAsia="Arial" w:hAnsi="Arial"/>
          <w:sz w:val="18"/>
          <w:szCs w:val="18"/>
          <w:color w:val="auto"/>
        </w:rPr>
        <w:t>and additional information is obtained. If the economic conditions caused by COVID-19 worsen beyond what is currently estimated by management, such future changes may have an adverse impact on our results of operations, financial position, and liquidity.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believe that our financial statements and the other financial data included in this Quarterly Report on Form 10-Q have been prepared in a manner that complies, in all material respects, with generally accepted accounting principles in the United States (“GAAP”). However, for the reasons discussed below, we have presented certain non-GAAP measures herein.</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have presented the following non-GAAP measures to assist investors in understanding our core net operating results on an on-going basis: (i) Contribution margin; (ii) Contribution margin as a percentage of net revenue; (iii) Adjusted EBITDA; and (iv) Adjusted EBITDA as a percentage of net revenue. These non-GAAP financial measures may also assist investors in making comparisons of our core operating results with those of other companies.</w:t>
      </w:r>
    </w:p>
    <w:p>
      <w:pPr>
        <w:spacing w:after="0" w:line="1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used herein, Contribution margin represents operating loss plus general and administrative expenses, research and development expenses, fixed sales, distribution expenses and amortization of inventory step-up from acquisitions (included in cost of goods sold). As used herein, Contribution margin represents operating loss plus general and administrative expenses, research and development expenses, fixed sales, distribution expenses and amortization of inventory step-up from acquisitions (included in cost of goods sold). As used herein, Contribution margin as a percentage of net revenue represents Contribution margin divided by net revenue. As used herein, EBITDA represents net loss plus depreciation and amortization, interest expense, net and income tax expense. As used herein, Adjusted EBITDA represents EBITDA plus stock-based compensation expense, changes in fair-market value of earn-outs, amortization of inventory step-up from acquisitions (included in cost of goods sold), changes in fair-market value of warrant liability, loss on initial issuance of warrant, professional fees and transition fees related to acquisitions, reserve on dispute with a PPE supplier, loss from extinguishment of debt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spacing w:after="0" w:line="18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present Contribution margin, Contribution margin as a percentage of net revenue, EBITDA, Adjusted EBITDA and Adjusted EBITDA as a percentage of net revenue because we believe each of these measures provides an additional metric to evaluate our operations and, when considered with both our GAAP results and the reconciliation to net loss, provides useful supplemental information for investors. We use Contribution margin, Contribution margin as a percentage of net revenue, EBITDA, Adjusted EBITDA and Adjusted EBITDA as a percentage of net revenue, together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19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believe EBITDA, Adjusted EBITDA and Adjusted EBITDA as a percentage of net revenue are useful to investors in assessing the operating performance of our business without the effect of non-cash items, while Contribution margin and Contribution margin as a percentage of net revenue are useful to investors in assessing the operating performance of our products as they represent our operating results without the effects of fixed costs and non-cash items. 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nor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recognize that EBITDA, Adjusted EBITDA and Adjusted EBITDA as a percentage of net revenue, have limitations as analytical financial measures.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example, neither EBITDA nor Adjusted EBITDA reflects:</w:t>
      </w:r>
    </w:p>
    <w:p>
      <w:pPr>
        <w:spacing w:after="0" w:line="211"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capital expenditures or future requirements for capital expenditures or mergers and acquisitions;</w:t>
      </w:r>
    </w:p>
    <w:p>
      <w:pPr>
        <w:spacing w:after="0" w:line="252" w:lineRule="exact"/>
        <w:rPr>
          <w:rFonts w:ascii="Arial" w:cs="Arial" w:eastAsia="Arial" w:hAnsi="Arial"/>
          <w:sz w:val="18"/>
          <w:szCs w:val="18"/>
          <w:color w:val="auto"/>
        </w:rPr>
      </w:pPr>
    </w:p>
    <w:p>
      <w:pPr>
        <w:ind w:left="5540" w:right="360" w:hanging="4790"/>
        <w:spacing w:after="0" w:line="559" w:lineRule="auto"/>
        <w:tabs>
          <w:tab w:leader="none" w:pos="112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expense or the cash requirements necessary to service interest expense or principal payments, associated with indebtedness;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7" w:name="page48"/>
    <w:bookmarkEnd w:id="47"/>
    <w:p>
      <w:pPr>
        <w:ind w:left="1120" w:right="500" w:hanging="370"/>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which are non-cash charges, although the assets being depreciated and amortized will likely have to be replaced in the future, or any cash requirements for the replacement of assets;</w:t>
      </w:r>
    </w:p>
    <w:p>
      <w:pPr>
        <w:spacing w:after="0" w:line="170" w:lineRule="exact"/>
        <w:rPr>
          <w:rFonts w:ascii="Arial" w:cs="Arial" w:eastAsia="Arial" w:hAnsi="Arial"/>
          <w:sz w:val="18"/>
          <w:szCs w:val="18"/>
          <w:color w:val="auto"/>
        </w:rPr>
      </w:pPr>
    </w:p>
    <w:p>
      <w:pPr>
        <w:ind w:left="1120" w:hanging="370"/>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cash requirements for our working capital needs; or</w:t>
      </w:r>
    </w:p>
    <w:p>
      <w:pPr>
        <w:spacing w:after="0" w:line="252"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 and transition costs from acquisitions.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Additionally, Adjusted EBITDA excludes non-cash expense for stock-based compensation, which is and is expected to remain a key element of our overall long-term incentive compensation package.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also recognize that Contribution margin and Contribution margin as a percentage of net revenue have limitations as analytical financial measures. For example, Contribution margin does not reflect:</w:t>
      </w:r>
    </w:p>
    <w:p>
      <w:pPr>
        <w:spacing w:after="0" w:line="170" w:lineRule="exact"/>
        <w:rPr>
          <w:sz w:val="20"/>
          <w:szCs w:val="20"/>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and administrative expense necessary to operate our business;</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and development expenses necessary for the development, operation and support of our software platform;</w:t>
      </w:r>
    </w:p>
    <w:p>
      <w:pPr>
        <w:spacing w:after="0" w:line="252" w:lineRule="exact"/>
        <w:rPr>
          <w:rFonts w:ascii="Arial" w:cs="Arial" w:eastAsia="Arial" w:hAnsi="Arial"/>
          <w:sz w:val="18"/>
          <w:szCs w:val="18"/>
          <w:color w:val="auto"/>
        </w:rPr>
      </w:pPr>
    </w:p>
    <w:p>
      <w:pPr>
        <w:ind w:left="1120" w:hanging="370"/>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fixed costs portion of our sales and distribution expenses including stock-based compensation expense; or</w:t>
      </w:r>
    </w:p>
    <w:p>
      <w:pPr>
        <w:spacing w:after="0" w:line="252" w:lineRule="exact"/>
        <w:rPr>
          <w:rFonts w:ascii="Arial" w:cs="Arial" w:eastAsia="Arial" w:hAnsi="Arial"/>
          <w:sz w:val="18"/>
          <w:szCs w:val="18"/>
          <w:color w:val="auto"/>
        </w:rPr>
      </w:pPr>
    </w:p>
    <w:p>
      <w:pPr>
        <w:ind w:left="1120" w:right="80" w:hanging="370"/>
        <w:spacing w:after="0" w:line="277" w:lineRule="auto"/>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fair value of contingent earn-out liabilities, warrant liabilities, and amortization of inventory step-up from acquisitions (included in cost of goods sold).</w:t>
      </w:r>
    </w:p>
    <w:p>
      <w:pPr>
        <w:sectPr>
          <w:pgSz w:w="11900" w:h="16838" w:orient="portrait"/>
          <w:cols w:equalWidth="0" w:num="1">
            <w:col w:w="11240"/>
          </w:cols>
          <w:pgMar w:left="320" w:top="557" w:right="339" w:bottom="1440" w:gutter="0" w:footer="0" w:header="0"/>
        </w:sectPr>
      </w:pPr>
    </w:p>
    <w:p>
      <w:pPr>
        <w:spacing w:after="0" w:line="270"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6350</wp:posOffset>
            </wp:positionV>
            <wp:extent cx="19716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5" w:lineRule="exact"/>
        <w:rPr>
          <w:sz w:val="20"/>
          <w:szCs w:val="20"/>
          <w:color w:val="auto"/>
        </w:rPr>
      </w:pPr>
    </w:p>
    <w:p>
      <w:pPr>
        <w:ind w:left="5420"/>
        <w:spacing w:after="0"/>
        <w:tabs>
          <w:tab w:leader="none" w:pos="712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14605</wp:posOffset>
            </wp:positionV>
            <wp:extent cx="19716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8" w:lineRule="exact"/>
        <w:rPr>
          <w:sz w:val="20"/>
          <w:szCs w:val="20"/>
          <w:color w:val="auto"/>
        </w:rPr>
      </w:pPr>
    </w:p>
    <w:p>
      <w:pPr>
        <w:ind w:left="5440"/>
        <w:spacing w:after="0"/>
        <w:rPr>
          <w:sz w:val="20"/>
          <w:szCs w:val="20"/>
          <w:color w:val="auto"/>
        </w:rPr>
      </w:pPr>
      <w:r>
        <w:rPr>
          <w:rFonts w:ascii="Arial" w:cs="Arial" w:eastAsia="Arial" w:hAnsi="Arial"/>
          <w:sz w:val="12"/>
          <w:szCs w:val="12"/>
          <w:color w:val="auto"/>
        </w:rPr>
        <w:t>(in thousands, except percentages)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6350</wp:posOffset>
            </wp:positionV>
            <wp:extent cx="16630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5" w:lineRule="exact"/>
        <w:rPr>
          <w:sz w:val="20"/>
          <w:szCs w:val="20"/>
          <w:color w:val="auto"/>
        </w:rPr>
      </w:pPr>
    </w:p>
    <w:p>
      <w:pPr>
        <w:ind w:left="100"/>
        <w:spacing w:after="0"/>
        <w:tabs>
          <w:tab w:leader="none" w:pos="16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0</wp:posOffset>
            </wp:positionV>
            <wp:extent cx="16630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 thousands, except percentages)</w:t>
      </w:r>
    </w:p>
    <w:p>
      <w:pPr>
        <w:spacing w:after="0" w:line="43" w:lineRule="exact"/>
        <w:rPr>
          <w:sz w:val="20"/>
          <w:szCs w:val="20"/>
          <w:color w:val="auto"/>
        </w:rPr>
      </w:pPr>
    </w:p>
    <w:p>
      <w:pPr>
        <w:sectPr>
          <w:pgSz w:w="11900" w:h="16838" w:orient="portrait"/>
          <w:cols w:equalWidth="0" w:num="2">
            <w:col w:w="7980" w:space="720"/>
            <w:col w:w="254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Contribution margin</w:t>
            </w:r>
          </w:p>
        </w:tc>
        <w:tc>
          <w:tcPr>
            <w:tcW w:w="11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10,036</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5,661</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9,281</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11,795</w:t>
            </w:r>
          </w:p>
        </w:tc>
      </w:tr>
      <w:tr>
        <w:trPr>
          <w:trHeight w:val="215"/>
        </w:trPr>
        <w:tc>
          <w:tcPr>
            <w:tcW w:w="4240" w:type="dxa"/>
            <w:vAlign w:val="bottom"/>
          </w:tcPr>
          <w:p>
            <w:pPr>
              <w:spacing w:after="0"/>
              <w:rPr>
                <w:sz w:val="20"/>
                <w:szCs w:val="20"/>
                <w:color w:val="auto"/>
              </w:rPr>
            </w:pPr>
            <w:r>
              <w:rPr>
                <w:rFonts w:ascii="Arial" w:cs="Arial" w:eastAsia="Arial" w:hAnsi="Arial"/>
                <w:sz w:val="18"/>
                <w:szCs w:val="18"/>
                <w:color w:val="auto"/>
              </w:rPr>
              <w:t>Contribution margin as a percentage of net</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revenue</w:t>
            </w:r>
          </w:p>
        </w:tc>
        <w:tc>
          <w:tcPr>
            <w:tcW w:w="1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4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11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(1,777)</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(29,909)</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(15,657)</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(106,841)</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Adjusted EBITDA</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3,388</w:t>
            </w:r>
          </w:p>
        </w:tc>
        <w:tc>
          <w:tcPr>
            <w:tcW w:w="5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(3,739)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(3,028)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(5,003)</w:t>
            </w:r>
          </w:p>
        </w:tc>
      </w:tr>
      <w:tr>
        <w:trPr>
          <w:trHeight w:val="22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as a percentage of net revenue</w:t>
            </w:r>
          </w:p>
        </w:tc>
        <w:tc>
          <w:tcPr>
            <w:tcW w:w="1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5.7%</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 Margin</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Contribution margin represents operating loss plus general and administrative expenses, research and development expenses, fixed sales and distribution expenses, changes in fair-market value of earn-outs and amortization of inventory step-up from acquisitions (included in cost of goods sold). Contribution margin as a percentage of net revenue represents Contribution margin divided by net revenue. The following table provides a reconciliation of Contribution margin to operating loss, which is the most directly comparable financial measure presented in accordance with GAAP.</w:t>
      </w:r>
    </w:p>
    <w:p>
      <w:pPr>
        <w:sectPr>
          <w:pgSz w:w="11900" w:h="16838" w:orient="portrait"/>
          <w:cols w:equalWidth="0" w:num="1">
            <w:col w:w="11240"/>
          </w:cols>
          <w:pgMar w:left="320" w:top="557" w:right="339" w:bottom="1440" w:gutter="0" w:footer="0" w:header="0"/>
          <w:type w:val="continuous"/>
        </w:sectPr>
      </w:pP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13970</wp:posOffset>
            </wp:positionV>
            <wp:extent cx="17316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7" w:lineRule="exact"/>
        <w:rPr>
          <w:sz w:val="20"/>
          <w:szCs w:val="20"/>
          <w:color w:val="auto"/>
        </w:rPr>
      </w:pPr>
    </w:p>
    <w:p>
      <w:pPr>
        <w:ind w:left="5620"/>
        <w:spacing w:after="0"/>
        <w:tabs>
          <w:tab w:leader="none" w:pos="7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0</wp:posOffset>
            </wp:positionV>
            <wp:extent cx="17316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2"/>
          <w:szCs w:val="12"/>
          <w:color w:val="auto"/>
        </w:rPr>
        <w:t>(in thousands, except percentages)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6350</wp:posOffset>
            </wp:positionV>
            <wp:extent cx="17659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0</wp:posOffset>
            </wp:positionV>
            <wp:extent cx="17659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 thousands, except percentages)</w:t>
      </w:r>
    </w:p>
    <w:p>
      <w:pPr>
        <w:spacing w:after="0" w:line="43" w:lineRule="exact"/>
        <w:rPr>
          <w:sz w:val="20"/>
          <w:szCs w:val="20"/>
          <w:color w:val="auto"/>
        </w:rPr>
      </w:pPr>
    </w:p>
    <w:p>
      <w:pPr>
        <w:sectPr>
          <w:pgSz w:w="11900" w:h="16838" w:orient="portrait"/>
          <w:cols w:equalWidth="0" w:num="2">
            <w:col w:w="7960" w:space="720"/>
            <w:col w:w="256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48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(1,821)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2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(15,717)</w:t>
            </w: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(23,286)</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Add:</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8,352</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16,355</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20,965</w:t>
            </w:r>
          </w:p>
        </w:tc>
        <w:tc>
          <w:tcPr>
            <w:tcW w:w="180" w:type="dxa"/>
            <w:vAlign w:val="bottom"/>
            <w:shd w:val="clear" w:color="auto" w:fill="CFF0FC"/>
          </w:tcPr>
          <w:p>
            <w:pPr>
              <w:spacing w:after="0"/>
              <w:rPr>
                <w:sz w:val="19"/>
                <w:szCs w:val="19"/>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4,452</w:t>
            </w:r>
          </w:p>
        </w:tc>
        <w:tc>
          <w:tcPr>
            <w:tcW w:w="180" w:type="dxa"/>
            <w:vAlign w:val="bottom"/>
          </w:tcPr>
          <w:p>
            <w:pPr>
              <w:spacing w:after="0"/>
              <w:rPr>
                <w:sz w:val="19"/>
                <w:szCs w:val="19"/>
                <w:color w:val="auto"/>
              </w:rPr>
            </w:pP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Sales and distribution fixed expenses, including</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3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13,327</w:t>
            </w:r>
          </w:p>
        </w:tc>
        <w:tc>
          <w:tcPr>
            <w:tcW w:w="180" w:type="dxa"/>
            <w:vAlign w:val="bottom"/>
            <w:shd w:val="clear" w:color="auto" w:fill="CFF0FC"/>
          </w:tcPr>
          <w:p>
            <w:pPr>
              <w:spacing w:after="0"/>
              <w:rPr>
                <w:sz w:val="20"/>
                <w:szCs w:val="20"/>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(23,349)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(7,704)</w:t>
            </w:r>
          </w:p>
        </w:tc>
      </w:tr>
      <w:tr>
        <w:trPr>
          <w:trHeight w:val="215"/>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w w:val="94"/>
              </w:rPr>
              <w:t>Amortization of inventory step-up from acquisitions (included in cost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of goods sold)</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w:t>
            </w:r>
          </w:p>
        </w:tc>
        <w:tc>
          <w:tcPr>
            <w:tcW w:w="180" w:type="dxa"/>
            <w:vAlign w:val="bottom"/>
            <w:shd w:val="clear" w:color="auto" w:fill="CFF0FC"/>
          </w:tcPr>
          <w:p>
            <w:pPr>
              <w:spacing w:after="0"/>
              <w:rPr>
                <w:sz w:val="20"/>
                <w:szCs w:val="20"/>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Contribution margin</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10,036</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11,795</w:t>
            </w:r>
          </w:p>
        </w:tc>
        <w:tc>
          <w:tcPr>
            <w:tcW w:w="1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Contribution margin as a percentage of net</w:t>
            </w:r>
          </w:p>
        </w:tc>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0" w:type="dxa"/>
            <w:vAlign w:val="bottom"/>
          </w:tcPr>
          <w:p>
            <w:pPr>
              <w:jc w:val="right"/>
              <w:ind w:right="470"/>
              <w:spacing w:after="0"/>
              <w:rPr>
                <w:sz w:val="20"/>
                <w:szCs w:val="20"/>
                <w:color w:val="auto"/>
              </w:rPr>
            </w:pPr>
            <w:r>
              <w:rPr>
                <w:rFonts w:ascii="Arial" w:cs="Arial" w:eastAsia="Arial" w:hAnsi="Arial"/>
                <w:sz w:val="18"/>
                <w:szCs w:val="18"/>
                <w:color w:val="auto"/>
              </w:rPr>
              <w:t>16.8%</w:t>
            </w:r>
          </w:p>
        </w:tc>
        <w:tc>
          <w:tcPr>
            <w:tcW w:w="1500" w:type="dxa"/>
            <w:vAlign w:val="bottom"/>
          </w:tcPr>
          <w:p>
            <w:pPr>
              <w:jc w:val="right"/>
              <w:ind w:right="450"/>
              <w:spacing w:after="0"/>
              <w:rPr>
                <w:sz w:val="20"/>
                <w:szCs w:val="20"/>
                <w:color w:val="auto"/>
              </w:rPr>
            </w:pPr>
            <w:r>
              <w:rPr>
                <w:rFonts w:ascii="Arial" w:cs="Arial" w:eastAsia="Arial" w:hAnsi="Arial"/>
                <w:sz w:val="18"/>
                <w:szCs w:val="18"/>
                <w:color w:val="auto"/>
              </w:rPr>
              <w:t>8.3%</w:t>
            </w:r>
          </w:p>
        </w:tc>
        <w:tc>
          <w:tcPr>
            <w:tcW w:w="1580" w:type="dxa"/>
            <w:vAlign w:val="bottom"/>
          </w:tcPr>
          <w:p>
            <w:pPr>
              <w:jc w:val="right"/>
              <w:ind w:right="450"/>
              <w:spacing w:after="0"/>
              <w:rPr>
                <w:sz w:val="20"/>
                <w:szCs w:val="20"/>
                <w:color w:val="auto"/>
              </w:rPr>
            </w:pPr>
            <w:r>
              <w:rPr>
                <w:rFonts w:ascii="Arial" w:cs="Arial" w:eastAsia="Arial" w:hAnsi="Arial"/>
                <w:sz w:val="18"/>
                <w:szCs w:val="18"/>
                <w:color w:val="auto"/>
              </w:rPr>
              <w:t>10.9%</w:t>
            </w: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32"/>
        </w:trPr>
        <w:tc>
          <w:tcPr>
            <w:tcW w:w="4300" w:type="dxa"/>
            <w:vAlign w:val="bottom"/>
          </w:tcPr>
          <w:p>
            <w:pPr>
              <w:spacing w:after="0"/>
              <w:rPr>
                <w:sz w:val="24"/>
                <w:szCs w:val="24"/>
                <w:color w:val="auto"/>
              </w:rPr>
            </w:pPr>
          </w:p>
        </w:tc>
        <w:tc>
          <w:tcPr>
            <w:tcW w:w="2800" w:type="dxa"/>
            <w:vAlign w:val="bottom"/>
          </w:tcPr>
          <w:p>
            <w:pPr>
              <w:jc w:val="right"/>
              <w:ind w:right="1290"/>
              <w:spacing w:after="0"/>
              <w:rPr>
                <w:sz w:val="20"/>
                <w:szCs w:val="20"/>
                <w:color w:val="auto"/>
              </w:rPr>
            </w:pPr>
            <w:r>
              <w:rPr>
                <w:rFonts w:ascii="Arial" w:cs="Arial" w:eastAsia="Arial" w:hAnsi="Arial"/>
                <w:sz w:val="18"/>
                <w:szCs w:val="18"/>
                <w:color w:val="auto"/>
              </w:rPr>
              <w:t>47</w:t>
            </w:r>
          </w:p>
        </w:tc>
        <w:tc>
          <w:tcPr>
            <w:tcW w:w="1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EBITDA represents net loss plus depreciation and amortization, interest expense, net and income tax expense. Adjusted EBITDA represents EBITDA plus stock-based compensation expense, changes in fair-market value of earn-outs, amortization of inventory step-up from acquisitions (included in cost of goods sold), change in fair-market value of warrant liability, loss on initial issuance of warrant, professional fees and transition fees related to acquisitions, reserve on dispute with a PPE supplier, loss from extinguishment of debt and other expenses, net. As used herein, Adjusted EBITDA as a percentage of net revenue represents Adjusted EBITDA divided by net revenue. The following table provides a reconciliation of EBITDA and Adjusted EBITDA to net loss, which is the most directly comparable financial measure presented in accordance with GAAP:</w:t>
      </w:r>
    </w:p>
    <w:p>
      <w:pPr>
        <w:sectPr>
          <w:pgSz w:w="11900" w:h="16838" w:orient="portrait"/>
          <w:cols w:equalWidth="0" w:num="1">
            <w:col w:w="11240"/>
          </w:cols>
          <w:pgMar w:left="320" w:top="881" w:right="339" w:bottom="1440" w:gutter="0" w:footer="0" w:header="0"/>
        </w:sectPr>
      </w:pPr>
    </w:p>
    <w:p>
      <w:pPr>
        <w:spacing w:after="0" w:line="278" w:lineRule="exact"/>
        <w:rPr>
          <w:sz w:val="20"/>
          <w:szCs w:val="20"/>
          <w:color w:val="auto"/>
        </w:rPr>
      </w:pPr>
    </w:p>
    <w:p>
      <w:pPr>
        <w:ind w:left="54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13970</wp:posOffset>
            </wp:positionV>
            <wp:extent cx="1714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 w:lineRule="exact"/>
        <w:rPr>
          <w:sz w:val="20"/>
          <w:szCs w:val="20"/>
          <w:color w:val="auto"/>
        </w:rPr>
      </w:pPr>
    </w:p>
    <w:p>
      <w:pPr>
        <w:ind w:left="5500"/>
        <w:spacing w:after="0"/>
        <w:tabs>
          <w:tab w:leader="none" w:pos="7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0</wp:posOffset>
            </wp:positionV>
            <wp:extent cx="1714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5400"/>
        <w:spacing w:after="0"/>
        <w:rPr>
          <w:sz w:val="20"/>
          <w:szCs w:val="20"/>
          <w:color w:val="auto"/>
        </w:rPr>
      </w:pPr>
      <w:r>
        <w:rPr>
          <w:rFonts w:ascii="Arial" w:cs="Arial" w:eastAsia="Arial" w:hAnsi="Arial"/>
          <w:sz w:val="12"/>
          <w:szCs w:val="12"/>
          <w:color w:val="auto"/>
        </w:rPr>
        <w:t>(in thousands, except percentages)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6350</wp:posOffset>
            </wp:positionV>
            <wp:extent cx="17919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line="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0</wp:posOffset>
            </wp:positionV>
            <wp:extent cx="17919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91970" cy="82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 thousands, except percentages)</w:t>
      </w:r>
    </w:p>
    <w:p>
      <w:pPr>
        <w:spacing w:after="0" w:line="43" w:lineRule="exact"/>
        <w:rPr>
          <w:sz w:val="20"/>
          <w:szCs w:val="20"/>
          <w:color w:val="auto"/>
        </w:rPr>
      </w:pPr>
    </w:p>
    <w:p>
      <w:pPr>
        <w:sectPr>
          <w:pgSz w:w="11900" w:h="16838" w:orient="portrait"/>
          <w:cols w:equalWidth="0" w:num="2">
            <w:col w:w="7880" w:space="720"/>
            <w:col w:w="2640"/>
          </w:cols>
          <w:pgMar w:left="320" w:top="88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(2,937)</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(36,306)</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(17,967)</w:t>
            </w:r>
          </w:p>
        </w:tc>
        <w:tc>
          <w:tcPr>
            <w:tcW w:w="4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(118,859)</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Add:</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w:t>
            </w:r>
          </w:p>
        </w:tc>
        <w:tc>
          <w:tcPr>
            <w:tcW w:w="4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(29,909)</w:t>
            </w:r>
          </w:p>
        </w:tc>
        <w:tc>
          <w:tcPr>
            <w:tcW w:w="4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(15,657)</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(106,841)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Change in fair value of contingent earn-out liabilities</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(23,349)</w:t>
            </w:r>
          </w:p>
        </w:tc>
        <w:tc>
          <w:tcPr>
            <w:tcW w:w="3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(7,704)</w:t>
            </w:r>
          </w:p>
        </w:tc>
        <w:tc>
          <w:tcPr>
            <w:tcW w:w="0" w:type="dxa"/>
            <w:vAlign w:val="bottom"/>
          </w:tcPr>
          <w:p>
            <w:pPr>
              <w:spacing w:after="0"/>
              <w:rPr>
                <w:sz w:val="1"/>
                <w:szCs w:val="1"/>
                <w:color w:val="auto"/>
              </w:rPr>
            </w:pPr>
          </w:p>
        </w:tc>
      </w:tr>
      <w:tr>
        <w:trPr>
          <w:trHeight w:val="215"/>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inventory step-up from acquisitions (included in</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4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29,772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29,772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Loss on initial issuance of warrant</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Professional fees related to acquisitions</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Transition costs from acquisitions</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Professional fees related to Photo Paper Direct acquisitions</w:t>
            </w:r>
          </w:p>
        </w:tc>
        <w:tc>
          <w:tcPr>
            <w:tcW w:w="4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Reserve on dispute with PPE supplier</w:t>
            </w: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4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(3,739)</w:t>
            </w:r>
          </w:p>
        </w:tc>
        <w:tc>
          <w:tcPr>
            <w:tcW w:w="4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(3,028)</w:t>
            </w:r>
          </w:p>
        </w:tc>
        <w:tc>
          <w:tcPr>
            <w:tcW w:w="3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Adjusted EBITDA as a percentage of net</w:t>
            </w: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revenue</w:t>
            </w:r>
          </w:p>
        </w:tc>
        <w:tc>
          <w:tcPr>
            <w:tcW w:w="4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Variable Interest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Our unaudited condensed consolidated financial statements have been prepared in accordance with U.S. generally accepted accounting principles (“GAAP”). The preparation of these unaudited condensed consolidated financial statements requires us to make estimates and judgments that affect the reported amounts of assets, liabilities, revenues and expenses and the related disclosures. We base our estimates on historical experience and on other assumptions that we believe to be reasonable under the circumstances. These estimates and assumptions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There have been no material changes to our critical accounting policies as compared to the critical accounting policies and significant judgments and estimates as disclosed in our Annual Report on Form 10-K filed with the SEC on March 16, 2021. For additional information, please refer to Note 2 of our condensed consolidated financial statements in this Quarterly Report on Form 10-Q.</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or may be in the form of, money market funds or marketable securities and are or may be invested in U.S. Treasury and U.S. government agency obligations. Due to the short-term maturities and low risk profiles of our investment, an immediate 100 basis point change in interest rates would not have a material effect on the fair market value of our investments. We do not currently use or plan to use financial derivatives in our investment portfolio or engage in hedging transactions to manage our exposure to interest rate risk.</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we previously had outstanding debt under the Credit Facility that bore interest. As of June 30, 2021we did not have any outstanding debt under the Credit Facility. The High Trail Notes are at a fixed rate and as such we were not exposed to interest rate effects for those loans.</w:t>
      </w:r>
    </w:p>
    <w:p>
      <w:pPr>
        <w:spacing w:after="0" w:line="14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currently exposed to market risk related to changes in foreign currency exchange rates. We do not currently engage in hedging transactions to manage our exposure to foreign currency exchange rate risk as we do not currently believe our exposure is material. Sales outside of the United States represented less than 5% of our net revenue for each of the six months ended June 30, 2021 and 2020. Currently, our revenue-producing transactions are primarily denominated in U.S. dollars; however, as we continue to expand internationally, our results of operations and cash flows may increasingly become subject to fluctuations due to changes in foreign currency exchange rates. In periods when the U.S. dollar declines in value as compared to foreign currencies in which we incur expenses, our foreign-currency based expenses will increase when translated into U.S. dollars. In addition, future fluctuations in the value of the U.S. dollar may affect the price at which we sell our products outside the United States. To date, our foreign currency risk has been minimal, and we have not historically hedged our foreign currency risk; however, we may consider doing so in the future.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Inflation would generally affect us by increasing our cost of labor and overhead costs. We do not believe that inflation had a material effect on our business, financial condition or results of operations for the three and six months ended June 30, 2021 and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2021, our Chief Executive Officer and Chief Financial Officer concluded that our disclosure controls and procedures were effective as of June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June 30, 2021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May 13, 2021, a securities class action complaint was filed in the U.S. District Court for the Southern District of New York by Andrew Tate naming us, Yaniv Sarig, and Fabrice Hamaide as defendants. On June 10, 2021, a substantially similar securities class action complaint was filed in the U.S. District Court for the Southern District of New York by Jeff Coon against the same defendants. Both complaints assert violations of Sections 10(b) and 20(a) of the Exchange Act and Rule 10b-5 promulgated thereunder, claiming that the defendants made false and materially misleading statements and failed to disclose material adverse facts regarding our business, operations and prospects, specifically regarding (1) our acquisitions of certain e-commerce business brands from 9830 Macarthur LLC, ZN Direct LLC, and Reliance Equities Group, LLC (as announced on December 1, 2020) and from Healing Solutions, LLC (as announced on February 2, 2021); (2) our organic growth; (3) our AIMEE software; and (4) our marketing practices. Several stockholders and their respective counsel have sought consolidation of the two actions and appointment as lead plaintiff and class counsel, respectively. The Court has yet to act on those motions. We intend to vigorously defend against these actions. However, the outcome of this legal proceeding is uncertain at this point. Based on information available to us at present, we cannot reasonably estimate a range of loss for this action. Accordingly, we have not accrued any liability associated with this action.</w:t>
      </w:r>
    </w:p>
    <w:p>
      <w:pPr>
        <w:spacing w:after="0" w:line="1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Other than as disclosed herein, we are not party to any material legal proceedings at this time. From time to time, we may become involved in various legal proceedings that arise in the ordinary course of business. We have in the past and may in the future become involved in private actions, collective actions, investigations and various other legal proceedings by clients, employees, suppliers, competitors, government agencies or others. We evaluate any claims and lawsuits with respect to their potential merits, our potential defenses and counter claims, and the expected effect on us of defending the claims and a potential adverse result. However, the results of any litigation, investigations or other legal proceedings are inherently unpredictable and expensive. Any claims against us, whether meritorious or not, could be time consuming, result in costly litigation, damage our reputation, require significant amounts of management time and divert significant resources. If any legal proceedings were to be determined adversely to us, or we were to enter into a settlement arrangement, we could be exposed to monetary damages or limits on our ability to operate our business, which could have an adverse effect on our business, financial condition and operating results.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You should carefully consider the factors discussed in Part I, Item 1A. “Risk Factors” in our Annual Report on Form 10-K for the year ended December 31, 2020, filed with the SEC on March 16, 2021, which could materially affect our business, financial condition, cash flows or future results. The risks described in our Annual Report on Form 10-K for the year ended December 31, 2020 are not the only risks facing our company. Additional risks and uncertainties not currently known to us or that we currently deem to be immaterial also may materially adversely affect our business, financial condition or future results. </w:t>
      </w:r>
      <w:r>
        <w:rPr>
          <w:rFonts w:ascii="Arial" w:cs="Arial" w:eastAsia="Arial" w:hAnsi="Arial"/>
          <w:sz w:val="18"/>
          <w:szCs w:val="18"/>
          <w:color w:val="212529"/>
        </w:rPr>
        <w:t>Except as presented below, there have been no material changes from the risk factors associated with our business previously disclosed in our</w:t>
      </w:r>
      <w:r>
        <w:rPr>
          <w:rFonts w:ascii="Arial" w:cs="Arial" w:eastAsia="Arial" w:hAnsi="Arial"/>
          <w:sz w:val="18"/>
          <w:szCs w:val="18"/>
          <w:color w:val="auto"/>
        </w:rPr>
        <w:t xml:space="preserve"> </w:t>
      </w:r>
      <w:r>
        <w:rPr>
          <w:rFonts w:ascii="Arial" w:cs="Arial" w:eastAsia="Arial" w:hAnsi="Arial"/>
          <w:sz w:val="18"/>
          <w:szCs w:val="18"/>
          <w:color w:val="212529"/>
        </w:rPr>
        <w:t>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Our Business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Due to the impact of the COVID-19 pandemic and related global shipping crisis, our management has expressed substantial doubt about our ability to continue as a going concern.</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We have been affected by the impact of the COVID-19 pandemic and related global shipping crisis. Together, these have led to substantial increases in the costs of shipping containers, which we rely on to import our goods. This has reduced the reliability and timely delivery of such shipping containers and has substantially increased our international inbound costs as well as last mile shipping costs on our oversized goods. These cost increases have been particularly substantial to oversized goods, which are a material part of our business. The increased cost of the shipping containers has negatively impacted us in the three months ended June 30, 2021, and we currently believe it will continue to negatively impact us for at least the next six to nine months. The reduced reliability and delivery of such shipping containers is forcing us to spend more on premium shipping to ensure space on board of the vessels, if at all, and the lack of reliability and timely delivery has further down supply chain impacts as it takes longer for containers to be offloaded and returned. Further, this global shipping crisis is forcing us to increase our inventory on-hand, which negatively impacts our working capital. Third party last mile shipping partners, such as UPS and Fedex, continue to increase the cost of delivering goods to the end consumers as their delivery networks continue to be impacted by the COVID-19 pandemic. In addition, we may also be adversely impacted by rising costs of the commodity raw materials used to produce our products.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to consumer buying habits which may have reduced demand for our products. As such, these impacts led us to breach our Adjusted EBITDA covenant for the three months ended June 30, 2021 with our lender, </w:t>
      </w:r>
      <w:r>
        <w:rPr>
          <w:rFonts w:ascii="Arial" w:cs="Arial" w:eastAsia="Arial" w:hAnsi="Arial"/>
          <w:sz w:val="16"/>
          <w:szCs w:val="16"/>
          <w:color w:val="212529"/>
        </w:rPr>
        <w:t>High Trail Investments SA LLC (“High Trail SA”)</w:t>
      </w:r>
      <w:r>
        <w:rPr>
          <w:rFonts w:ascii="Arial" w:cs="Arial" w:eastAsia="Arial" w:hAnsi="Arial"/>
          <w:sz w:val="16"/>
          <w:szCs w:val="16"/>
          <w:color w:val="auto"/>
        </w:rPr>
        <w:t xml:space="preserve"> </w:t>
      </w:r>
      <w:r>
        <w:rPr>
          <w:rFonts w:ascii="Arial" w:cs="Arial" w:eastAsia="Arial" w:hAnsi="Arial"/>
          <w:sz w:val="16"/>
          <w:szCs w:val="16"/>
          <w:color w:val="212529"/>
        </w:rPr>
        <w:t>and High Trail Investments ON LLC (“High Trail ON” and, together with High Trail SA,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1" w:name="page52"/>
    <w:bookmarkEnd w:id="51"/>
    <w:p>
      <w:pPr>
        <w:spacing w:after="0" w:line="289" w:lineRule="auto"/>
        <w:rPr>
          <w:sz w:val="20"/>
          <w:szCs w:val="20"/>
          <w:color w:val="auto"/>
        </w:rPr>
      </w:pPr>
      <w:r>
        <w:rPr>
          <w:rFonts w:ascii="Arial" w:cs="Arial" w:eastAsia="Arial" w:hAnsi="Arial"/>
          <w:sz w:val="16"/>
          <w:szCs w:val="16"/>
          <w:color w:val="212529"/>
        </w:rPr>
        <w:t>“High Trail”)</w:t>
      </w:r>
      <w:r>
        <w:rPr>
          <w:rFonts w:ascii="Arial" w:cs="Arial" w:eastAsia="Arial" w:hAnsi="Arial"/>
          <w:sz w:val="16"/>
          <w:szCs w:val="16"/>
          <w:color w:val="000000"/>
        </w:rPr>
        <w:t>. As of the date of this Quarterly Report on Form 10-Q, we have secured a waiver from our lender, which will be effective upon us making</w:t>
      </w:r>
      <w:r>
        <w:rPr>
          <w:rFonts w:ascii="Arial" w:cs="Arial" w:eastAsia="Arial" w:hAnsi="Arial"/>
          <w:sz w:val="16"/>
          <w:szCs w:val="16"/>
          <w:color w:val="212529"/>
        </w:rPr>
        <w:t xml:space="preserve"> </w:t>
      </w:r>
      <w:r>
        <w:rPr>
          <w:rFonts w:ascii="Arial" w:cs="Arial" w:eastAsia="Arial" w:hAnsi="Arial"/>
          <w:sz w:val="16"/>
          <w:szCs w:val="16"/>
          <w:color w:val="000000"/>
        </w:rPr>
        <w:t xml:space="preserve">certain cash payments to High Trail on August 9, 2021 and issuing shares of our common stock to High Trail by no later than August 11, 2021. </w:t>
      </w:r>
      <w:r>
        <w:rPr>
          <w:rFonts w:ascii="Arial" w:cs="Arial" w:eastAsia="Arial" w:hAnsi="Arial"/>
          <w:sz w:val="16"/>
          <w:szCs w:val="16"/>
          <w:color w:val="212529"/>
        </w:rPr>
        <w:t>See the</w:t>
      </w:r>
      <w:r>
        <w:rPr>
          <w:rFonts w:ascii="Arial" w:cs="Arial" w:eastAsia="Arial" w:hAnsi="Arial"/>
          <w:sz w:val="16"/>
          <w:szCs w:val="16"/>
          <w:color w:val="000000"/>
        </w:rPr>
        <w:t xml:space="preserve"> </w:t>
      </w:r>
      <w:r>
        <w:rPr>
          <w:rFonts w:ascii="Arial" w:cs="Arial" w:eastAsia="Arial" w:hAnsi="Arial"/>
          <w:sz w:val="16"/>
          <w:szCs w:val="16"/>
          <w:color w:val="212529"/>
        </w:rPr>
        <w:t xml:space="preserve">disclosures in Part II, Item 5 of this Quarterly Report on Form 10-Q for additional information. </w:t>
      </w:r>
      <w:r>
        <w:rPr>
          <w:rFonts w:ascii="Arial" w:cs="Arial" w:eastAsia="Arial" w:hAnsi="Arial"/>
          <w:sz w:val="16"/>
          <w:szCs w:val="16"/>
          <w:color w:val="000000"/>
        </w:rPr>
        <w:t>Further, due to these crises, we have reduced our forecast</w:t>
      </w:r>
      <w:r>
        <w:rPr>
          <w:rFonts w:ascii="Arial" w:cs="Arial" w:eastAsia="Arial" w:hAnsi="Arial"/>
          <w:sz w:val="16"/>
          <w:szCs w:val="16"/>
          <w:color w:val="212529"/>
        </w:rPr>
        <w:t xml:space="preserve"> </w:t>
      </w:r>
      <w:r>
        <w:rPr>
          <w:rFonts w:ascii="Arial" w:cs="Arial" w:eastAsia="Arial" w:hAnsi="Arial"/>
          <w:sz w:val="16"/>
          <w:szCs w:val="16"/>
          <w:color w:val="000000"/>
        </w:rPr>
        <w:t>for the next twelve months. We are working on various action items to help improve our financial forecasts and allow us to navigate through these crises. These actions include, but are not limited to, new third party vendors for shipping containers, renegotiation of rates with third party last mile providers, the postponement or cancellation of some or all of our product launches and the reduction of fixed costs. As there can be no assurance that these action items along with our operating forecast for the twelve months following the issuance of the accompanying consolidated financial statements will be attained such that we will be able to maintain compliance with our Adjusted EBITDA covenant and liquidity covenants due to the timing of working capital as part of the waiver with its lender, these negative financial conditions raise substantial doubt about our ability to continue as a going concern.</w:t>
      </w:r>
    </w:p>
    <w:p>
      <w:pPr>
        <w:spacing w:after="0" w:line="16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are in active conversations with our lender. Management plans to continue to closely monitor our operating forecast and may pursue additional sources of financing and/or capital to fund our operations or to continue our merger and acquisition strategy. If we are unable to improve our operating results, secure waivers from our lender, and/or obtain additional sources of financing and capital on acceptable terms (if at all) for our merger and acquisition strategy, we may have to make significant changes to our operating plan, such as delay expenditures, reduce investments in new products, delay the development of our software, reduce our sale and distribution infrastructure, or otherwise significantly reduce the scope of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short operating history in an evolving industry.</w:t>
      </w:r>
    </w:p>
    <w:p>
      <w:pPr>
        <w:spacing w:after="0" w:line="11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have a short operating history in a rapidly evolving and highly competitive industry that may not develop in a manner favorable to our business. Our relatively short operating history makes it difficult to assess our future performance. You should consider our business and prospects in light of the risks and difficulties we may encounter.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25" w:lineRule="exact"/>
        <w:rPr>
          <w:sz w:val="20"/>
          <w:szCs w:val="20"/>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our inventory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develop, retain and expand our consumer product offerings and geographic reach;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acquire, operate and efficiently integrate third-party Amazon sellers;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 and the quality of our consumer products;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new features to enhance AIMEE’s functionality;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retain our existing manufacturing vendors and attract new manufacturing vendors.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have launched numerous products over the last several quarters and have experienced a lower than expected success rate of products reaching the sustain phase. In addition, in certain instances, even when a product has reached the sustain phase, our forecasts, at times, have resulted in inventory overages. During 2020, we launched our Holonix Health brand, which was developed to address the personal protective equipment and wellness product category in light of the COVID-19 pandemic. Our marketing strategy relies to a significant extent on our ability to sell such products on the Amazon marketplace and we can provide no assurances that we will be allowed to sell any such products on the Amazon marketplace or that we will be successful in selling our products in other sales channels.</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addition, our Platform as a Service (“PaaS”) business is still nascent and we may be unable to successfully maintain or grow our PaaS business. We can provide no assurance that we will be successful in growing or retaining this business which would result in the loss of PaaS and associated revenues. If we fail to address the risks and difficulties that we face, including those associated with the challenges listed above as well as those described in the “PaaS” section and elsewhere in this “Risk Factors” section, our business, financial condition and our operating results will be adversely affected.</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Starting in second half of 2020, we have initiated an accretive acquisition strategy to acquire Amazon sellers. Competition for such acquisition targets is intense and we may be unable to acquire targets at attractive valuations or at all. While we believe the opportunity to make such acquisitions is significant, we can provide no assurance that our acquisitions will ultimately be accretive in the longer term and we may experience operational challenges with respect to such acquisitions. We have recently acquired several Amazon third-party sellers and we may be unable to sustain the level of financial performance relating to these acquisitions due to a variety of factors including changes in the competitive landscape of the product category and adverse actions of competing sellers. For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right="120"/>
        <w:spacing w:after="0" w:line="275" w:lineRule="auto"/>
        <w:rPr>
          <w:sz w:val="20"/>
          <w:szCs w:val="20"/>
          <w:color w:val="auto"/>
        </w:rPr>
      </w:pPr>
      <w:r>
        <w:rPr>
          <w:rFonts w:ascii="Arial" w:cs="Arial" w:eastAsia="Arial" w:hAnsi="Arial"/>
          <w:sz w:val="17"/>
          <w:szCs w:val="17"/>
          <w:color w:val="auto"/>
        </w:rPr>
        <w:t>example, our Truweo acquisition has experienced numerous “black hat” attacks from competitors which has caused the financial performance of that business to decline. Further, certain of these acquired third party sellers prior to our acquisition may have engaged in selling tactics that violated terms of service on the various marketplaces in which they operate. While we discontinue such practices, there can be no assurance that marketplaces will not take adverse action against these businesses, which could lead to reduced future financial performance. Due to the COVID-19 pandemic’s impact on the global supply chain, we intend to reduce the number of acquisitions we complete until the supply chain stabilizes.</w:t>
      </w:r>
    </w:p>
    <w:p>
      <w:pPr>
        <w:spacing w:after="0" w:line="17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Due to the COVID-19 pandemic’s impact on the global supply chain, we have increased our inventory on hand to avoid disruption in sales. The unpredictability of container availability, space on vessels and shipping lead times, as well as associated manufacturing lead time, requires us to secure more inventory than normal during each of a product’s phases (i.e., launch and sustain). Having more inventory on hand not only impacts our working capital but also requires us to increase our storage capacity (warehouse network), which of itself has a negative capital impact.</w:t>
      </w:r>
    </w:p>
    <w:p>
      <w:pPr>
        <w:spacing w:after="0" w:line="17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Further, due to the COVID-19 pandemic’s impact on the global supply chain, we will be temporarily pausing the launch of new products manufactured in Asia, which is currently the majority source of our product launches. The sharp increase in shipping cost has made our target competitive pricing difficult to achieve and current unpredictability of container availability makes it more difficult for us to maintain the required inventory levels, which in turn makes the potential and profitable success of product launches even more difficult to achieve in this current environment.</w:t>
      </w:r>
    </w:p>
    <w:p>
      <w:pPr>
        <w:spacing w:after="0" w:line="2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significant operational exposure relating to the COVID-19 pandemic and the impact from this risk could have a material adverse impact on our business, financial condition, operating results and prospects.</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full impact of the COVID-19 pandemic, including the impact associated with preventative and precautionary measures that we, other businesses and governments are taking, continue to evolve as of the date of this Quarterly Report on Form 10-Q. During the first half of 2021, we experienced negative impacts to our margins related to increased international freight demands, lack of shipping containers and general international freight congestion due to the continued increased demand of goods being sold on ecommerce marketplaces. We have experienced, and expect to continue to experience, an increase in last-mile shipping costs as shipping providers’ delivery networks continue to be stressed due to increased demand from the increase of goods sold on ecommerce marketplaces. For example, in certain instances, we have been unable to launch new products, replenish inventory for existing products, ship into or receive inventory in our third-party warehouses or ship or sell products to customers, on a timely basis. During the fourth quarter of 2020 and first half of 2021, we have experienced production and shipment delays for certain of our products that could result in stock outs on the Amazon marketplace resulting in a decrease of net revenue. We also may be unable to forecast demand for our products during the pendency of this pandemic and we may experience a substantial decrease in the demand for our products, most of which are considered not essential. In addition, the majority of our personnel are currently working remotely which creates challenges in the way we operate our business, including with respect to the manner in which we ensure the quality of our products and meet our reporting obligations. Our ability to execute our operations could be impacted if any of our key personnel contracts COVID-19. While the potential economic impact brought by, and the duration of, COVID-19 may be difficult to assess or predict, the continued widespread pandemic could result in significant disruption of global financial markets, reducing our ability to access capital, which could in the future negatively affect our liquidity. At times we have preserved our liquidity and capital resources through various actions which included delaying and negotiating the delay of payments to certain vendors, the effect of such actions could have an adverse impact on our business, including our relationships with these vendors. For example, payment delays to certain of our manufacturing vendors in China during April 2020 had resulted in a temporary loss of availability of export credit insurance from the China Export &amp; Credit Insurance Corporation (“Sinosure”), a Chinese state-owned enterprise, that provides export credit insurance to our manufacturing vendors. Since late 2020, Sinosure has reinstated this insurance to levels that we believe are sufficient to fund our operations. In the future, we may not be able to maintain this insurance on a timely basis or at all, which would have a material impact on our working capital and our ability to fund our operations.</w:t>
      </w:r>
    </w:p>
    <w:p>
      <w:pPr>
        <w:spacing w:after="0" w:line="3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taking actions in an attempt to combat the increased prices, inventory shorts and other market pressures we are facing. There are no assurances that any of these steps will be effective or that we will be able to continue to take such actions over the coming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Due to the uncertainty as to the severity and duration of the pandemic, the impact on our future revenues, profitability, liquidity, financial</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condition, business and results of operations is uncertain at this time. Our ability to forecast shipping costs, ability to procure inventory, and the COVID-19 pandemic continues to make near term consumer behavior patterns difficult to predict, therefore, we have withdrawn our 2021 net revenue and adjusted EBITDA guidance and cannot be certain if or when we will resume providing financial guidance. Additionally, with this uncertainty in our operating performance, we expect to be unable to remain in compliance with the terms of our existing loan agreements during 2021 and our inability to secure any future waivers from our lender could have an adverse impact on our business, prospects and financial condition and we may seek additional financing options. Further, if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140"/>
        <w:spacing w:after="0" w:line="269" w:lineRule="auto"/>
        <w:rPr>
          <w:sz w:val="20"/>
          <w:szCs w:val="20"/>
          <w:color w:val="auto"/>
        </w:rPr>
      </w:pPr>
      <w:r>
        <w:rPr>
          <w:rFonts w:ascii="Arial" w:cs="Arial" w:eastAsia="Arial" w:hAnsi="Arial"/>
          <w:sz w:val="17"/>
          <w:szCs w:val="17"/>
          <w:color w:val="auto"/>
        </w:rPr>
        <w:t>lender accelerates our term loan, the lender has the right to receive payment in respect of principal and interest on the loan in shares of our common stock, which could lead to substantial dilution of your investment. Our lender may also increase the cost of capital of maintaining our loan, which could further impact our financial condition. The lender may also require us to reprice its existing warrants and such repricing could result in further dilution to our stockholders if the warrants are exercised. Any financing, if successful may be expensive and/or dilutive. The COVID-19 pandemic continues to bring uncertainty to consumer demand as price increases related to raw materials, the importing of goods, including tariffs, and the cost of delivering goods to consumers has led to inflation across the United States. Coupled with the recent reopening of the majority of the country, we have noticed changes in consumer buying habits that may have reduced demand for our products. We continue to consider the impact of COVID-19 based on the assumptions and estimates used when preparing these consolidated financial statements, including inventory valuation, and the impairment of long-lived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impact on our results of operations, financial position, and liquidity.</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acquisition strategy may be limited by our ability to raise the funding we need to continue to support our growth strategy.</w:t>
      </w:r>
    </w:p>
    <w:p>
      <w:pPr>
        <w:spacing w:after="0" w:line="1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not be able to continue to acquire the financing needed in order to pursue our current acquisition strategy. The success of our business depends, in part, on our ability to invest significant resources in research, development of our proprietary technology platform, and product development, including through acquisitions. As we continue to make investments to grow our business, we may require additional funds from investors secured through issuances of equity or convertible debt securities. The debt we incur, at times, in order to retain these funds may negatively impact our financial conditions or operating results and may require the use of warrants and contain other terms such as the payment of stock instead of cash in the event of a default, which could be dilutive to stockholders. Consequently, investors or lenders may determine that our debt to equity ratio is unfavorable to their lending strategy and decide to forego financing, which could adversely affect our future operating results and ability to sustain profitability. In addition, sellers of acquisition targets may expect a larger component of deal consideration to be paid in cash instead of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inventory effectively, our operating results and financial condition could be adversely affected.</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To ensure timely delivery of products, we generally issue purchase orders to contract manufacturers. As a result, we are vulnerable to demand and pricing shifts and to suboptimal selection and timing of product purchases. In the past, we have not always predicted the appropriate demand for our products by consumers with accuracy, which has resulted in inventory shortages, excess inventory write offs and lower gross margins. We rely on our procurement team to order products and we rely on our data analytics to decide on the levels and timing of inventory we purchase, including when to reorder items that are selling well and when to write off items that are not selling well. We rely on our contract manufacturers who are often responsible for conducting a number of traditional operations with respect to their respective products, including maintaining raw materials and inventory for shipment to us. In these instances, we may be unable to ensure that these suppliers will continue to perform these services to our satisfaction in a manner that provides our customer with an appropriate brand experience or on commercially reasonable terms. If so, our business, reputation and brands could suffer. If our sales and procurement teams do not accurately predict demand or if our algorithms do not help us reorder the right products or write off the right products timely, we may not effectively manage our inventory, which could result in inventory excess or shortages, and our operating results and financial condition could be adversely affected.</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Given the long lasting effects of the COVID-19 pandemic, we expect to continue experiencing inventory shortages in the near term and our operating results and financial condition could be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including our costs and supply chain, is subject to risks associated with sourcing, manufacturing, shipping, importing and warehousing.</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source all of the products we offer from third-party vendors and, as a result, we may be subject to price fluctuations or supply disruptions. Our operating results would be negatively impacted by increases in the prices of our products, and we have no guarantees that prices will not rise. For example, in the first half of 2021, global prices for commodities such as plastic, aluminum, copper and steel have increased significantly. In addition, as we expand into new categories and product types, we expect that we may not have strong purchasing power in these new areas, which could lead to higher costs than we have historically seen in our current categories. In a number of instances, we have not be able to pass increased costs on to customers, which has adversely affected our operating results. Moreover, in the event of a significant disruption in the supply of raw materials used in the manufacture of our products, the vendors that we work with might not be able to locate alternative suppliers of materials of comparable quality at an acceptable price. For example, natural disasters, unforeseen public health crises, such as epidemics and pandemics, have in the past increased raw material costs, impacting pricing with certain of our vendors, and caused shipping delays for certain of our products. As a result, our ability to receive inbound inventory efficiently and ship merchandise to clients has been negatively affected by such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ind w:right="20"/>
        <w:spacing w:after="0" w:line="269" w:lineRule="auto"/>
        <w:rPr>
          <w:sz w:val="20"/>
          <w:szCs w:val="20"/>
          <w:color w:val="auto"/>
        </w:rPr>
      </w:pPr>
      <w:r>
        <w:rPr>
          <w:rFonts w:ascii="Arial" w:cs="Arial" w:eastAsia="Arial" w:hAnsi="Arial"/>
          <w:sz w:val="17"/>
          <w:szCs w:val="17"/>
          <w:color w:val="auto"/>
        </w:rPr>
        <w:t>natural disasters, pandemics, labor disputes, acts of war or terrorism, and similar factors, whether occurring in the United States or internationally. For example, we receive and warehouse a portion of our inventory in California. If any such disaster were to impact this facility, our operations would be disrupted. In addition, these types of events could negatively impact consumer spending in the impacted regions. We rely on the business continuity plans of third parties to operate during natural disasters or pandemics, like the COVID-19 pandemic, and we have limited ability to influence their plans. The sourcing, manufacturing, importing or warehousing of our products could be significantly disrupted if a third-party does not have a business continuity plan or such business continuity plan does not adequately support our products or operations. Further capacity fluctuations driven by various factors such as seasonality, tariffs, fuel-related regulations affecting the shipping industry, hedging or other factors can cause importing delays, which can lead to volatility in ocean freight rates and availability, causing us to incur additional expense and adversely affecting our operating results. In addition, our third-party warehouse providers may not have sufficient capacity to store our goods or may seek to increase our pricing rates. Any delays, interruption, damage to or increased costs in the manufacture of the product we offer could result in higher prices to acquire the product or non-delivery of product altogether and could adversely affect our operating results.</w:t>
      </w:r>
    </w:p>
    <w:p>
      <w:pPr>
        <w:spacing w:after="0" w:line="18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cannot guarantee that product we receive from vendors will be of sufficient quality or free from damage or defects, or that such merchandise will not be damaged during shipping or storage. While we take measures to ensure product quality and avoid damage, including evaluating vendor facilities, operations and product samples, conducting inventory inspections and inspecting returned product, we cannot control merchandise while it is out of our possession or prevent all damage while in our distribution centers. We may incur additional expenses and our reputation could be harmed if clients and potential clients believe that our merchandise is not of high quality or may be damaged.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accurately forecast revenues, profitability and appropriately plan our expenses.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12529"/>
        </w:rPr>
        <w:t>We base our current and future expense levels primarily on our operating forecasts and estimates of sales. Sales and operating results are difficult to forecast because they generally depend on a number of factors including our ability to launch new products on a timely basis and to accurately predict the success of those launches, which are uncertain. Additionally, our business is affected by general economic, business and other conditions around the world, in particular in the U.S. and China. We may be unable to adjust our spending in a timely manner to compensate for any unexpected shortfall in sales and operating results. If actual results differ from our estimates, our operating results and financial condition could be adversely impacted. In addition, during the second quarter of 2020, we began selling personal protective equipment (“PPE”) to state and local governments in the U.S. The market for PPE is volatile and unpredictable, and we have limited experience sourcing and selling PPE. While we may continue to sell PPE, we can provide no assurances that we will be successful in selling products to such state and local governments or to private businesses, that the products we deliver will be of sufficient quality, the correct specifications or the goods secured at all and our cash deposits refunded, or that we will receive timely payment from the customer. For example, we recently entered into a settlement agreement with a vendor who did not timely supply product to us or refund our deposit after failing to timely supply us with the product. Pursuant to such settlement agreement, the vendor agreed to make payments to us of $4.3 million in the aggregate in cash and product over the next six to nine months. Such vendor has defaulted on the settlement agreement and we have taken a loss on this transaction. While we intend to pursue legal action to recoup these funds, we can provide no assurance that we will be able to do so in a timely manner or at all. In addition, any failure in successfully delivering product to state and local governments may harm our business relationships with these state and local governments, our product manufacturers and ultimately our reputation.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We may not be able to sustain our revenue growth rate.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212529"/>
        </w:rPr>
        <w:t>Our recent revenue growth should not be considered indicative of our future performance. Specifically, our net revenue increased by 14% for the three months ended June 30, 2021 compared to 2020 and by 36% for the six months ended June 30, 2021 compared to 2020. As we grow our business, our revenue growth rates may slow in future periods due to a number of reasons, which may include our inability to successfully launch new products that reach our sustain phase and to keep those products in the sustain phase or to grow our PaaS business, as well as the maturation of our business. Our revenue growth rates may also slow in future periods to the extent we are unable to identify and complete acquisitions, or are unable to maintain or grow revenues from such businesses after closing. We can provide no assurance that we will continue to be able to maintain or sustain the same levels of historic revenue growth.</w:t>
      </w:r>
    </w:p>
    <w:p>
      <w:pPr>
        <w:spacing w:after="0" w:line="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212529"/>
        </w:rPr>
        <w:t>We believe that during 2019 investors placed significant focus on the ability of certain private and newly public companies to demonstrate sustained profitability instead of continuing higher levels of revenue growth at the expense of profitability. We may decide to delay certain investments in order to more quickly achieve profitability, and while such decisions may accelerate profitability on a sustained basis, we can provide no assurance that we will continue to be able to maintain or sustain the same levels of historic revenue growth. In addition, we may reduce the number of new product launches in order to focus on product opportunities that have larger addressable markets but require increased levels of marketing investment and we can provide no assurances that such a shift will be successful.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jc w:val="both"/>
        <w:ind w:right="480"/>
        <w:spacing w:after="0" w:line="263" w:lineRule="auto"/>
        <w:rPr>
          <w:sz w:val="20"/>
          <w:szCs w:val="20"/>
          <w:color w:val="auto"/>
        </w:rPr>
      </w:pPr>
      <w:r>
        <w:rPr>
          <w:rFonts w:ascii="Arial" w:cs="Arial" w:eastAsia="Arial" w:hAnsi="Arial"/>
          <w:sz w:val="18"/>
          <w:szCs w:val="18"/>
          <w:color w:val="212529"/>
        </w:rPr>
        <w:t>In addition, in 2020, we experienced an increase in net revenue in part due to the shift by consumers to online shopping as a result of the COVID-19 pandemic. While we expect this shift to continue, we can provide no assurance that this shift will continue in the near or longer term or continue with respect to the products we offer.</w:t>
      </w:r>
    </w:p>
    <w:p>
      <w:pPr>
        <w:spacing w:after="0" w:line="2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212529"/>
        </w:rPr>
        <w:t>We may require additional capital to support business growth, and this capital might not be available or may be available only by diluting existing stockholders.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As we continue to make investments, while balancing the need to achieve profitability, to support our business growth we may require additional funds to maintain, grow and respond to business challenges. Accordingly, we need to engage in equity or debt financings to secure additional funds. If we raise additional funds through further issuances of equity or convertible debt securities, we expect our existing stockholders to suffer significant dilution, and any new equity securities we issue could have rights, preferences and privileges superior to those of holders of our common stock. In addition, we may not be able to raise sufficient equity or equity-like capital without first seeking stockholder approval, which could limit our ability to complete such transaction, or to complete such transaction on a timely basis. Any debt financing secured by us in the future would require the consent of our existing lenders, and also could involve restrictive covenants relating to our capital-raising activities and other financial and operational matters, which may make it more difficult for us to obtain additional capital and to pursue business opportunities. In addition, we may not be able to obtain additional financing on terms favorable to us, if at all. If we are unable to obtain adequate financing or financing on terms satisfactory to us, when we require it, our ability to continue to maintain, grow and respond to business challenges and opportunities would be significantly limited, and our business and prospects could fail or be adversely affected. If we require additional borrowings in order to achieve continued growth, but are unable to satisfy conditions required by High Trail, we can provide no assurance that we will be able to access borrowings on terms that will be acceptable to us, or that we would be able to refinance the High Trail term loans, on terms acceptable to us, or at all. In addition, if we were to breach our existing term loans with High Trail, High Trail could exercise remedies against us which could result in our having to prepay our existing loans earlier than required and could result in significant dilution to stockholders. See the risk factor “Due to the impact of the COVID-19 pandemic and related global shipping crisis, our management has expressed substantial doubt about our ability to continue as a going concern.” above and the disclosures in Part II, Item 5 of this Quarterly Report on Form 10-Q for additional information.</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12529"/>
        </w:rPr>
        <w:t>We currently do not have an effective shelf registration statement on Form S-3 filed with the SEC. As further discussed in the risk factor “As a result of our failure to timely file certain financial statements relating to the Smash Assets, we are currently ineligible to file new short form registration statements on Form S-3, which may impair our ability to raise capital on terms favorable to us, in a timely manner or at all.” in our Annual Report on Form 10-K, we are not currently permitted to use our existing registration statements on Form S-3. Absent a waiver of the Form S-3 eligibility requirements and assuming we continue to timely file our required reports under the Securities Exchange Act of 1934, as amended (the “Exchange Act”), the earliest we would regain the ability to use Form S-3 is May 2022. At that time, we may use the shelf registration statement on Form S-3 to offer from time to time any combination of debt securities, common and preferred stock and warrants. In the interim, we intend to complete public offerings through the use of a Form S-1 registration statement and through privately placed financings and as a result we could experience a higher cost of capital and shareholders may experience increased dilution.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The terms of our outstanding term loans contain restrictive covenants that may limit our operating flexibility.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212529"/>
        </w:rPr>
        <w:t>On April 8, 2021, we entered into a securities purchase and exchange agreement with High Trail SA and High Trail ON, pursuant to which, among other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12529"/>
        </w:rPr>
        <w:t xml:space="preserve">things, we issued and sold to High Trail, in a private placement transaction </w:t>
      </w:r>
      <w:r>
        <w:rPr>
          <w:rFonts w:ascii="Arial" w:cs="Arial" w:eastAsia="Arial" w:hAnsi="Arial"/>
          <w:sz w:val="17"/>
          <w:szCs w:val="17"/>
          <w:color w:val="000000"/>
        </w:rPr>
        <w:t>(i) senior secured promissory notes in an aggregate principal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$110,000,000 (the “April 2021 Notes”) that accrue interest at a rate of 8% per annum and mature on April 8, 2024, and (ii) warrants to purchase up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of 2,259,166 shares of our common stock in exchange for: (a) a cash payment by High Trail to us of $57.7 million, (b) that certain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promissory note in an aggregate original principal amount of $43.0 million issued by us to High Trail SA in December 2020, and (c) that certain senior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secured promissory note in an aggregate original principal amount of $16.5 million issued by us to High Trail ON in February 2021. </w:t>
      </w:r>
      <w:r>
        <w:rPr>
          <w:rFonts w:ascii="Arial" w:cs="Arial" w:eastAsia="Arial" w:hAnsi="Arial"/>
          <w:sz w:val="16"/>
          <w:szCs w:val="16"/>
          <w:color w:val="212529"/>
        </w:rPr>
        <w:t>The</w:t>
      </w:r>
      <w:r>
        <w:rPr>
          <w:rFonts w:ascii="Arial" w:cs="Arial" w:eastAsia="Arial" w:hAnsi="Arial"/>
          <w:sz w:val="16"/>
          <w:szCs w:val="16"/>
          <w:color w:val="auto"/>
        </w:rPr>
        <w:t xml:space="preserve"> April 2021 </w:t>
      </w:r>
      <w:r>
        <w:rPr>
          <w:rFonts w:ascii="Arial" w:cs="Arial" w:eastAsia="Arial" w:hAnsi="Arial"/>
          <w:sz w:val="16"/>
          <w:szCs w:val="16"/>
          <w:color w:val="212529"/>
        </w:rPr>
        <w:t>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contain affirmative and restrictive covenants that limit our operating ability including to, among other things, transfer or dispose of assets, merge with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companies or consummate certain changes of control, pay dividends, incur additional indebtedness and liens and enter into new businesses. We therefore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may not be able to engage in any of the foregoing transactions unless we obtain the consent of our lenders. In addition, the </w:t>
      </w:r>
      <w:r>
        <w:rPr>
          <w:rFonts w:ascii="Arial" w:cs="Arial" w:eastAsia="Arial" w:hAnsi="Arial"/>
          <w:sz w:val="16"/>
          <w:szCs w:val="16"/>
          <w:color w:val="000000"/>
        </w:rPr>
        <w:t>April 2021</w:t>
      </w:r>
      <w:r>
        <w:rPr>
          <w:rFonts w:ascii="Arial" w:cs="Arial" w:eastAsia="Arial" w:hAnsi="Arial"/>
          <w:sz w:val="16"/>
          <w:szCs w:val="16"/>
          <w:color w:val="212529"/>
        </w:rPr>
        <w:t xml:space="preserve"> Notes are secured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12529"/>
        </w:rPr>
        <w:t xml:space="preserve">all of our assets, and the </w:t>
      </w:r>
      <w:r>
        <w:rPr>
          <w:rFonts w:ascii="Arial" w:cs="Arial" w:eastAsia="Arial" w:hAnsi="Arial"/>
          <w:sz w:val="17"/>
          <w:szCs w:val="17"/>
          <w:color w:val="000000"/>
        </w:rPr>
        <w:t>April 2021</w:t>
      </w:r>
      <w:r>
        <w:rPr>
          <w:rFonts w:ascii="Arial" w:cs="Arial" w:eastAsia="Arial" w:hAnsi="Arial"/>
          <w:sz w:val="17"/>
          <w:szCs w:val="17"/>
          <w:color w:val="212529"/>
        </w:rPr>
        <w:t xml:space="preserve"> Notes require us to satisfy certain covenants, including achieving certain adjusted EBITDA amounts. There is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12529"/>
        </w:rPr>
        <w:t>guarantee that we will be able to meet our covenants or pay the principal and interest on any such debt. Furthermore, there is no guarantee that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working capital, borrowings or equity financing will be available to repay or refinance any such debt. Any inability to make scheduled payments, meet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financial or other covenants in the </w:t>
      </w:r>
      <w:r>
        <w:rPr>
          <w:rFonts w:ascii="Arial" w:cs="Arial" w:eastAsia="Arial" w:hAnsi="Arial"/>
          <w:sz w:val="16"/>
          <w:szCs w:val="16"/>
          <w:color w:val="000000"/>
        </w:rPr>
        <w:t>April 2021</w:t>
      </w:r>
      <w:r>
        <w:rPr>
          <w:rFonts w:ascii="Arial" w:cs="Arial" w:eastAsia="Arial" w:hAnsi="Arial"/>
          <w:sz w:val="16"/>
          <w:szCs w:val="16"/>
          <w:color w:val="212529"/>
        </w:rPr>
        <w:t xml:space="preserve"> Notes or to refinance them would adversely affect our business. Further, at any time, if we violate the terms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of the </w:t>
      </w:r>
      <w:r>
        <w:rPr>
          <w:rFonts w:ascii="Arial" w:cs="Arial" w:eastAsia="Arial" w:hAnsi="Arial"/>
          <w:sz w:val="16"/>
          <w:szCs w:val="16"/>
          <w:color w:val="000000"/>
        </w:rPr>
        <w:t>April 2021</w:t>
      </w:r>
      <w:r>
        <w:rPr>
          <w:rFonts w:ascii="Arial" w:cs="Arial" w:eastAsia="Arial" w:hAnsi="Arial"/>
          <w:sz w:val="16"/>
          <w:szCs w:val="16"/>
          <w:color w:val="212529"/>
        </w:rPr>
        <w:t xml:space="preserve"> Notes or otherwise fail to meet our covenants, we may not be able to obtain a waiver from the lenders under satisfactory terms, if at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which would limit our operating flexibility and/or liquidity and which would have an adverse effect on our business and prospects, and could also result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12529"/>
        </w:rPr>
        <w:t xml:space="preserve">dilution to our stockholders in the event we are required to pay back the </w:t>
      </w:r>
      <w:r>
        <w:rPr>
          <w:rFonts w:ascii="Arial" w:cs="Arial" w:eastAsia="Arial" w:hAnsi="Arial"/>
          <w:sz w:val="16"/>
          <w:szCs w:val="16"/>
          <w:color w:val="000000"/>
        </w:rPr>
        <w:t>April 2021</w:t>
      </w:r>
      <w:r>
        <w:rPr>
          <w:rFonts w:ascii="Arial" w:cs="Arial" w:eastAsia="Arial" w:hAnsi="Arial"/>
          <w:sz w:val="16"/>
          <w:szCs w:val="16"/>
          <w:color w:val="212529"/>
        </w:rPr>
        <w:t xml:space="preserve"> Notes using our common stock. For example, as of June 30, 2021,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12529"/>
        </w:rPr>
        <w:t>failed to achieve our Adjusted EBITDA covenants with our lender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120"/>
        <w:spacing w:after="0" w:line="284" w:lineRule="auto"/>
        <w:rPr>
          <w:sz w:val="20"/>
          <w:szCs w:val="20"/>
          <w:color w:val="auto"/>
        </w:rPr>
      </w:pPr>
      <w:r>
        <w:rPr>
          <w:rFonts w:ascii="Arial" w:cs="Arial" w:eastAsia="Arial" w:hAnsi="Arial"/>
          <w:sz w:val="16"/>
          <w:szCs w:val="16"/>
          <w:color w:val="212529"/>
        </w:rPr>
        <w:t>subsequently obtained a waiver. With the waiver, High Trail waived the events of default relating to our failure to satisfy the Adjusted EBITDA covenant under the April 2021 Notes, effective upon the payment in cash of $10.1 million of the Current Event of Default Acceleration Amount and the issuance of the shares of our common stock for the remaining $11.7 million of the Current Event of Default Acceleration Amount. We are paying High Trail an aggregate of $10.1 million in cash on August 9, 2021 and will, in accordance with the April 2021 Notes and the letter agreements we entered into with High Trail in connection with the waiver, pay the remaining $11.7 million of the Current Event of Default Acceleration Amount by issuing shares of common stock (with the number of shares calculated as described above) by August 11, 2021. Further, pursuant to such letter agreements with High Trail</w:t>
      </w:r>
    </w:p>
    <w:p>
      <w:pPr>
        <w:spacing w:after="0" w:line="4" w:lineRule="exact"/>
        <w:rPr>
          <w:sz w:val="20"/>
          <w:szCs w:val="20"/>
          <w:color w:val="auto"/>
        </w:rPr>
      </w:pPr>
    </w:p>
    <w:p>
      <w:pPr>
        <w:ind w:right="80" w:firstLine="8"/>
        <w:spacing w:after="0" w:line="281" w:lineRule="auto"/>
        <w:tabs>
          <w:tab w:leader="none" w:pos="215" w:val="left"/>
        </w:tabs>
        <w:numPr>
          <w:ilvl w:val="0"/>
          <w:numId w:val="27"/>
        </w:numPr>
        <w:rPr>
          <w:rFonts w:ascii="Arial" w:cs="Arial" w:eastAsia="Arial" w:hAnsi="Arial"/>
          <w:sz w:val="16"/>
          <w:szCs w:val="16"/>
          <w:color w:val="212529"/>
        </w:rPr>
      </w:pPr>
      <w:r>
        <w:rPr>
          <w:rFonts w:ascii="Arial" w:cs="Arial" w:eastAsia="Arial" w:hAnsi="Arial"/>
          <w:sz w:val="16"/>
          <w:szCs w:val="16"/>
          <w:color w:val="212529"/>
        </w:rPr>
        <w:t>we agreed to increase the minimum cash threshold covenant in the April 2021 Notes from $15.0 million to $30.0 million through October 31, 2021; (ii) we agreed to add a liquidity covenant to the April 2021 Notes whereby we must have liquidity, on each day through October 31, 2021, calculated as (A) inventory, net, plus (B) accounts receivable, net (each determined in accordance with GAAP) in an aggregate minimum amount equal to $65.0 million less</w:t>
      </w:r>
    </w:p>
    <w:p>
      <w:pPr>
        <w:spacing w:after="0" w:line="1" w:lineRule="exact"/>
        <w:rPr>
          <w:rFonts w:ascii="Arial" w:cs="Arial" w:eastAsia="Arial" w:hAnsi="Arial"/>
          <w:sz w:val="16"/>
          <w:szCs w:val="16"/>
          <w:color w:val="212529"/>
        </w:rPr>
      </w:pPr>
    </w:p>
    <w:p>
      <w:pPr>
        <w:spacing w:after="0" w:line="267" w:lineRule="auto"/>
        <w:rPr>
          <w:rFonts w:ascii="Arial" w:cs="Arial" w:eastAsia="Arial" w:hAnsi="Arial"/>
          <w:sz w:val="16"/>
          <w:szCs w:val="16"/>
          <w:color w:val="212529"/>
        </w:rPr>
      </w:pPr>
      <w:r>
        <w:rPr>
          <w:rFonts w:ascii="Arial" w:cs="Arial" w:eastAsia="Arial" w:hAnsi="Arial"/>
          <w:sz w:val="17"/>
          <w:szCs w:val="17"/>
          <w:color w:val="212529"/>
        </w:rPr>
        <w:t xml:space="preserve">(C) any amount of cash and cash equivalents in excess of $300. million; (iii) the definition of “Permitted Investment” in the April 2021 Notes was modified such that the consent of High Trail is now required for certain merger and acquisition activity; (iv) we agreed that the exercise prices of the following warrants to purchase shares of our common stock previously issued to High Trail will be modified to be equal to the lesser of: (X) the closing price of our common stock on August 9, 2021 or (Y) the VWAP of our common stock on August 9, 2021: (1) that certain warrant to purchase an aggregate of 750,000 shares of our common stock with an exercise price of $33.56 issued on February 2, 2021; (2) that certain warrant to purchase an aggregate of 469,931 shares of our common stock an exercise price of $25.10 issued on February 9, 2021; and (3) those certain warrants to purchase an aggregate of 2,259,166 shares of our common stock with an exercise price of $31.74 issued on April 8, 2021; (v) High Trail agreed that it will not exercise the foregoing warrants prior to the day that is 60 days after a registration statement registering for resale the 2,666,667 shares of common stock we issued on June 15, 2021 is declared effective; and (vi) </w:t>
      </w:r>
      <w:r>
        <w:rPr>
          <w:rFonts w:ascii="Arial" w:cs="Arial" w:eastAsia="Arial" w:hAnsi="Arial"/>
          <w:sz w:val="17"/>
          <w:szCs w:val="17"/>
          <w:color w:val="000000"/>
        </w:rPr>
        <w:t>if, at any time on or after January 7, 2022, High Trail is unable to exercise such warrants due to the agreement described in</w:t>
      </w:r>
      <w:r>
        <w:rPr>
          <w:rFonts w:ascii="Arial" w:cs="Arial" w:eastAsia="Arial" w:hAnsi="Arial"/>
          <w:sz w:val="17"/>
          <w:szCs w:val="17"/>
          <w:color w:val="212529"/>
        </w:rPr>
        <w:t xml:space="preserve"> </w:t>
      </w:r>
      <w:r>
        <w:rPr>
          <w:rFonts w:ascii="Arial" w:cs="Arial" w:eastAsia="Arial" w:hAnsi="Arial"/>
          <w:sz w:val="17"/>
          <w:szCs w:val="17"/>
          <w:color w:val="000000"/>
        </w:rPr>
        <w:t>clause (v), we agreed to pay High Trail, as liquidated damages, a cash payment that will be equal to (a) the weighted average price of our common stock on the date High Trail seeks to exercise any such warrants, minus the then-current exercise price of such warrants, multiplied by (b) the number of shares subject to the warrants that it then desires to exercise</w:t>
      </w:r>
      <w:r>
        <w:rPr>
          <w:rFonts w:ascii="Arial" w:cs="Arial" w:eastAsia="Arial" w:hAnsi="Arial"/>
          <w:sz w:val="17"/>
          <w:szCs w:val="17"/>
          <w:color w:val="212529"/>
        </w:rPr>
        <w:t>. See the disclosures in Part II, Item 5 of this Quarterly Report on Form 10-Q for additional</w:t>
      </w:r>
      <w:r>
        <w:rPr>
          <w:rFonts w:ascii="Arial" w:cs="Arial" w:eastAsia="Arial" w:hAnsi="Arial"/>
          <w:sz w:val="17"/>
          <w:szCs w:val="17"/>
          <w:color w:val="000000"/>
        </w:rPr>
        <w:t xml:space="preserve"> </w:t>
      </w:r>
      <w:r>
        <w:rPr>
          <w:rFonts w:ascii="Arial" w:cs="Arial" w:eastAsia="Arial" w:hAnsi="Arial"/>
          <w:sz w:val="17"/>
          <w:szCs w:val="17"/>
          <w:color w:val="212529"/>
        </w:rPr>
        <w:t>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Litigation and Government Regulation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212529"/>
        </w:rPr>
        <w:t>A failure to comply with current laws, rules and regulations or changes to such laws, rules and regulations and other legal uncertainties may adversely affect our business, financial performance, results of operations or business growth.</w:t>
      </w:r>
    </w:p>
    <w:p>
      <w:pPr>
        <w:spacing w:after="0" w:line="6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12529"/>
        </w:rPr>
        <w:t>Our business and financial performance could be adversely affected by unfavorable changes in or interpretations of existing laws, rules and regulations or the promulgation of new laws, rules and regulations applicable to us and our businesses, including those relating to the internet and e-commerce, internet advertising and price display, consumer protection, anti-corruption, antitrust and competition, economic and trade sanctions, energy usage and emissions, tax, banking, data security, network and information systems security, data protection and privacy. As a result, regulatory authorities could prevent or temporarily suspend us from carrying on some or all of our activities or otherwise penalize us if our practices were found not to comply with applicable regulatory or licensing requirements or any binding interpretation of such requirements. Unfavorable changes or interpretations could decrease demand for our products or services, limit marketing methods and capabilities, affect our margins, increase costs or subject us to additional liabilities.</w:t>
      </w:r>
    </w:p>
    <w:p>
      <w:pPr>
        <w:spacing w:after="0" w:line="5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12529"/>
        </w:rPr>
        <w:t>For example, there are, and will likely continue to be, an increasing number of laws and regulations pertaining to the internet and e-commerce that may relate to liability for information retrieved from or transmitted over the internet, display of certain taxes and fees, online editorial and consumer-generated content, user privacy, data security, network and information systems security, behavioral targeting and online advertising, taxation, liability for third-party activities and the quality of services. Furthermore, the growth and development of e-commerce may prompt calls for more stringent consumer protection laws and more aggressive enforcement efforts, which may impose additional burdens on online businesses generally.</w:t>
      </w:r>
    </w:p>
    <w:p>
      <w:pPr>
        <w:spacing w:after="0" w:line="68"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212529"/>
        </w:rPr>
        <w:t>In May 2019, we received notice from the California Energy Commission (the “CEC”) that certain of our products had not been listed in the CEC’s Modernized Appliance Efficiency Database System (the “MAEDbS”) and therefore we were not in compliance with a CEC regulation. In order for an appliance to be listed in the MAEDbS, it must be tested at a lab approved by the CEC and the test data must be submitted to the CEC’s Appliance Efficiency Program. We settled this matter with the CEC on May 26, 2020 and agreed to pay a fine of $150,000, of which $75,000 was paid on June 1, 2020 and the remaining payment was made on July 1, 2020. If we are not in compliance with CEC regulations in the future, we may not be permitted to sell certain products in the State of California or may be required to pay a penalty fee to the CEC.</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212529"/>
        </w:rPr>
        <w:t>In September 2019, we received a Test Notice from the U.S. Department of Energy (“DOE”) indicating that a certain dehumidifier model may not comply with applicable energy-conservation standards. The DOE requested that we provide it with several model units for DOE testing. If it is determined that we have violated certain energy-conservation standards, we could be fined pursuant to DOE guidelines, and this civil penalty may be material to our consolidated financial statements. We intend to vigorously defend ourselves. We have submitted to the DOE testing process, made a good-faith effort to provide necessary notice as practicable, and included in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7" w:name="page58"/>
    <w:bookmarkEnd w:id="57"/>
    <w:p>
      <w:pPr>
        <w:ind w:right="180"/>
        <w:spacing w:after="0" w:line="263" w:lineRule="auto"/>
        <w:rPr>
          <w:sz w:val="20"/>
          <w:szCs w:val="20"/>
          <w:color w:val="auto"/>
        </w:rPr>
      </w:pPr>
      <w:r>
        <w:rPr>
          <w:rFonts w:ascii="Arial" w:cs="Arial" w:eastAsia="Arial" w:hAnsi="Arial"/>
          <w:sz w:val="18"/>
          <w:szCs w:val="18"/>
          <w:color w:val="212529"/>
        </w:rPr>
        <w:t>formal response copies of the energy-efficiency report and certification that were issued for the dehumidifier model at the time of production. We believe this product is compliant, and we, in conjunction with our manufacturing partner, have disputed the Test Notice received from the DOE. As of the date hereof, we cannot reasonably estimate what, if any, penalties may be levied.</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212529"/>
        </w:rPr>
        <w:t>In September 2019, we received notice from the U.S. Environmental Protection Agency (“EPA”) that certain of our products were identified by the Association of Home Appliance Manufacturers (“AHAM”) as failing to comply with EPA ENERGY STAR requirements. For an appliance to be ENERGY STAR certified, it must meet standards promulgated by the EPA and enforced through EPA-accredited certification bodies and laboratories. We believe that our products are compliant, and we, in conjunction with our manufacturing partner, have disputed the AHAM testing determination pursuant to EPA guidelines. While a resolution remains pending, we are not selling or marketing the products identified by the EPA. We cannot be certain that these products will eventually be certified by AHAM and the EPA, and we may incur costs that cannot presently be calculated in the event that we need to make changes to the manner in which these products are manufactured and sold.</w:t>
      </w:r>
    </w:p>
    <w:p>
      <w:pPr>
        <w:spacing w:after="0" w:line="69" w:lineRule="exact"/>
        <w:rPr>
          <w:sz w:val="20"/>
          <w:szCs w:val="20"/>
          <w:color w:val="auto"/>
        </w:rPr>
      </w:pPr>
    </w:p>
    <w:p>
      <w:pPr>
        <w:spacing w:after="0" w:line="273" w:lineRule="auto"/>
        <w:rPr>
          <w:sz w:val="20"/>
          <w:szCs w:val="20"/>
          <w:color w:val="auto"/>
        </w:rPr>
      </w:pPr>
      <w:r>
        <w:rPr>
          <w:rFonts w:ascii="Arial" w:cs="Arial" w:eastAsia="Arial" w:hAnsi="Arial"/>
          <w:sz w:val="17"/>
          <w:szCs w:val="17"/>
          <w:color w:val="212529"/>
        </w:rPr>
        <w:t>In April 2020, we received notice from the EPA with respect to regulatory compliance and advertising associated with certain of our dehumidifier products. We believe that our products and the associated advertising are compliant, and we are currently in discussions with the EPA to resolve the matter. The EPA had placed a hold on the sale of certain of our dehumidifier inventory while it reviewed the matter with us. As of October 2020, we are able to resume selling the products identified by the EPA, and discussions are continuing with the EPA. No penalty has been assessed by the EPA or communicated to us. If we receive a similar notice from the EPA in the future with regards to regulatory compliance of any of our other products, the EPA may place a hold on the sale of our products while it reviews an open matter with us.</w:t>
      </w:r>
    </w:p>
    <w:p>
      <w:pPr>
        <w:spacing w:after="0" w:line="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212529"/>
        </w:rPr>
        <w:t>We cannot be certain of the outcome with the EPA, and we may incur costs and penalties that cannot presently be calculated in the event that we are unable to resolve this matter with the EPA. Notwithstanding the above, we have deemed it appropriate to record an accrual for a potential fine. The final costs and penalties, if any, may be material with respect to our financial condition once determined.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Risks Relating to the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Our share price may be volatile. Market volatility may affect the value of an investment in our common stock and could subject us to litigation.</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212529"/>
        </w:rPr>
        <w:t>Technology stocks have historically experienced high levels of volatility. There has been and could continue to be significant volatility in the market price and trading volume of equity securities. For example, our closing stock price ranged from $8.34 to $47.66 per share from January 4, 2021 to August 4, 2021.The market price of our common stock could be subject to wide fluctuations in response to many risk factors listed in this section, and others beyond our control, including:</w:t>
      </w:r>
    </w:p>
    <w:p>
      <w:pPr>
        <w:spacing w:after="0" w:line="187"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actual or perceived impact on our business due to the COVID-19 pandemic;</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actual or anticipated fluctuations in our financial condition and operating results;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the financial projections we may provide to the public, and any changes in projected operational and financial results;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addition or loss of significant customers;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changes in laws or regulations applicable to our products;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actual or anticipated changes in our growth rate relative to our competitors;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announcements of technological innovations or new offerings by us or our competitors;</w:t>
      </w:r>
    </w:p>
    <w:p>
      <w:pPr>
        <w:spacing w:after="0" w:line="36" w:lineRule="exact"/>
        <w:rPr>
          <w:rFonts w:ascii="Arial" w:cs="Arial" w:eastAsia="Arial" w:hAnsi="Arial"/>
          <w:sz w:val="18"/>
          <w:szCs w:val="18"/>
          <w:color w:val="212529"/>
        </w:rPr>
      </w:pPr>
    </w:p>
    <w:p>
      <w:pPr>
        <w:ind w:left="740" w:right="800" w:hanging="368"/>
        <w:spacing w:after="0" w:line="258" w:lineRule="auto"/>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announcements by us or our competitors of significant acquisitions, strategic partnerships, joint ventures or capital-raising activities or commitments;</w:t>
      </w:r>
    </w:p>
    <w:p>
      <w:pPr>
        <w:spacing w:after="0" w:line="1"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additions or departures of key personnel;</w:t>
      </w:r>
    </w:p>
    <w:p>
      <w:pPr>
        <w:spacing w:after="0" w:line="21"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changes in our financial guidance or securities analysts’ estimates of our financial performance;</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discussion of us or our stock price by the financial press and in online investor communities;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reaction to our press releases and filings with the SEC;</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changes in accounting principles;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lawsuits threatened or filed against us;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fluctuations in operating performance and the valuation of companies perceived by investors to be comparable to us;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sales of our common stock by us or our stockholders;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share price and volume fluctuations attributable to inconsistent trading volume levels of our shares;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price and volume fluctuations in the overall stock market, including as a result of trends in the economy as a whole;</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changes in laws or regulations applicable to our business;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changes in our capital structure, such as future issuances of debt or equity securities;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short sales, hedging and other derivative transactions involving our capital stock;</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the expiration of contractual lock-up periods, including in connection with acquisition transactions;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left="740" w:hanging="368"/>
        <w:spacing w:after="0"/>
        <w:tabs>
          <w:tab w:leader="none" w:pos="74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sales of common stock by our executives;</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other events or factors, including those resulting from pandemics, war, incidents of terrorism or responses to these events; and</w:t>
      </w:r>
    </w:p>
    <w:p>
      <w:pPr>
        <w:spacing w:after="0" w:line="36" w:lineRule="exact"/>
        <w:rPr>
          <w:rFonts w:ascii="Arial" w:cs="Arial" w:eastAsia="Arial" w:hAnsi="Arial"/>
          <w:sz w:val="18"/>
          <w:szCs w:val="18"/>
          <w:color w:val="212529"/>
        </w:rPr>
      </w:pPr>
    </w:p>
    <w:p>
      <w:pPr>
        <w:ind w:left="740" w:hanging="368"/>
        <w:spacing w:after="0"/>
        <w:tabs>
          <w:tab w:leader="none" w:pos="740" w:val="left"/>
        </w:tabs>
        <w:numPr>
          <w:ilvl w:val="0"/>
          <w:numId w:val="29"/>
        </w:numPr>
        <w:rPr>
          <w:rFonts w:ascii="Arial" w:cs="Arial" w:eastAsia="Arial" w:hAnsi="Arial"/>
          <w:sz w:val="18"/>
          <w:szCs w:val="18"/>
          <w:color w:val="212529"/>
        </w:rPr>
      </w:pPr>
      <w:r>
        <w:rPr>
          <w:rFonts w:ascii="Arial" w:cs="Arial" w:eastAsia="Arial" w:hAnsi="Arial"/>
          <w:sz w:val="18"/>
          <w:szCs w:val="18"/>
          <w:color w:val="212529"/>
        </w:rPr>
        <w:t>general economic and market conditions.</w:t>
      </w:r>
    </w:p>
    <w:p>
      <w:pPr>
        <w:spacing w:after="0" w:line="360" w:lineRule="exact"/>
        <w:rPr>
          <w:sz w:val="20"/>
          <w:szCs w:val="20"/>
          <w:color w:val="auto"/>
        </w:rPr>
      </w:pPr>
    </w:p>
    <w:p>
      <w:pPr>
        <w:spacing w:after="0" w:line="285" w:lineRule="auto"/>
        <w:rPr>
          <w:sz w:val="20"/>
          <w:szCs w:val="20"/>
          <w:color w:val="auto"/>
        </w:rPr>
      </w:pPr>
      <w:r>
        <w:rPr>
          <w:rFonts w:ascii="Arial" w:cs="Arial" w:eastAsia="Arial" w:hAnsi="Arial"/>
          <w:sz w:val="16"/>
          <w:szCs w:val="16"/>
          <w:color w:val="212529"/>
        </w:rPr>
        <w:t xml:space="preserve">Furthermore, in recent years, the stock markets have experienced extreme price and volume fluctuations that have affected and continue to affect the market prices of equity securities of many companies,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also have a material impact on our business, results of operations and financial condition. For example, </w:t>
      </w:r>
      <w:r>
        <w:rPr>
          <w:rFonts w:ascii="Arial" w:cs="Arial" w:eastAsia="Arial" w:hAnsi="Arial"/>
          <w:sz w:val="16"/>
          <w:szCs w:val="16"/>
          <w:color w:val="000000"/>
        </w:rPr>
        <w:t>on May 13, 2021, a securities class action complaint was filed in the U.S. District Court for the Southern District of New York by Andrew Tate naming us, Yaniv Sarig, and Fabrice Hamaide as defendants. On June 10, 2021, a substantially similar securities class action complaint was filed in the U.S. District Court for the Southern District of New York by Jeff Coon against the same defendants. Both complaints assert violations of Sections 10(b) and 20(a) of the Exchange Act and Rule 10b-5 promulgated thereunder, claiming that the defendants made false and materially misleading statements and failed to disclose material adverse facts regarding our business, operations and prospects, specifically regarding (1) our acquisitions of certain e-commerce business brands from 9830 Macarthur LLC, ZN Direct LLC, and Reliance Equities Group, LLC (as announced on December 1, 2020) and from Healing Solutions, LLC (as announced on February 2, 2021); (2) our organic growth; (3) our AIMEE software; and (4) our marketing practices. Several stockholders and their respective counsel have sought consolidation of the two actions and appointment as lead plaintiff and class counsel, respectively. The Court has yet to act on those motions. We intend to vigorously defend against these actions. However, the outcome of this legal proceeding is uncertain at this point. Based on information available to us at present, we cannot reasonably estimate a range of loss for this action. Accordingly, we have not accrued any liability associated with this action. In addition, in connection with our most recent private equity offering in June 2021, we were required to pay liquidated damages for failing to timely file a resale registration statement covering the shares of common stock issued in connection with that offering.</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12529"/>
        </w:rPr>
        <w:t>Future sales and issuances of our capital stock, or the perception that such sales may occur, could cause our stock price to decline.</w:t>
      </w:r>
    </w:p>
    <w:p>
      <w:pPr>
        <w:spacing w:after="0" w:line="1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12529"/>
        </w:rPr>
        <w:t>We may issue additional securities following the date of this Quarterly Report on Form 10-Q. Our amended and restated certificate of incorporation, as amended, authorizes us to issue up to 500,000,000 shares of common stock and 10,000,000 shares of undesignated preferred stock. Future sales and issuances of our capital stock or rights to purchase our capital stock could result in substantial dilution to our existing stockholders. We may sell common stock, convertible securities and other equity securities in one or more transactions at prices and in a manner as we may determine from time to time. If we sell any such securities in subsequent transactions, the ownership of existing stockholders will be diluted, possibly materially. New investors in subsequent transactions could also gain rights, preferences and privileges senior to those of existing holders of our common stock.</w:t>
      </w:r>
    </w:p>
    <w:p>
      <w:pPr>
        <w:spacing w:after="0" w:line="1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212529"/>
        </w:rPr>
        <w:t>Future sales of substantial amounts of our common stock in the public market could reduce the prevailing market prices for our common stock. Substantially all of our outstanding common stock is eligible for sale as are shares of common stock issuable under vested and exercisable stock options. If our existing stockholders sell a large number of shares of our common stock, or the public market perceives that existing stockholders might sell shares of common stock, the market price of our common stock could decline significantly. Existing stockholder sales might also make it more difficult for us to sell additional equity securities at a time and price that we deem appropriate, or at all.</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12529"/>
        </w:rPr>
        <w:t xml:space="preserve">We expect to continue to issue shares of our common stock in connection with acquisitions which could result in substantial dilution in the event such acquisitions are not accretive. In connection with the acquisition of the Smash Assets, we issued 4,220,000 shares of common stock, which we agreed to register for resale with the SEC. In connection with the acquisition of certain assets of Healing Solutions, LLC, we issued 1,387,759 shares of common stock, which we agreed to register for resale with the SEC. In addition, pursuant to a letter agreement with High Trail SA entered into on February 8, 2021, as amended, we agreed to prepare and file by June 30, 2021 a registration statement with the SEC for the purpose of registering for resale 980,000 shares of common stock issued to High Trail SA pursuant to the exercise of a warrant and 1,884,133 shares of common stock underlying a warrant issued to High Trail SA. Further, on April 8, 2021, pursuant to a letter agreement with High Trail, we agreed to prepare and file by June 30, 2021 a registration statement with the SEC for the purpose of registering for resale 130,000 shares of common stock issued to High Trail SA. On April 8, 2021, in connection with the issuance of the </w:t>
      </w:r>
      <w:r>
        <w:rPr>
          <w:rFonts w:ascii="Arial" w:cs="Arial" w:eastAsia="Arial" w:hAnsi="Arial"/>
          <w:sz w:val="17"/>
          <w:szCs w:val="17"/>
          <w:color w:val="000000"/>
        </w:rPr>
        <w:t>April 2021</w:t>
      </w:r>
      <w:r>
        <w:rPr>
          <w:rFonts w:ascii="Arial" w:cs="Arial" w:eastAsia="Arial" w:hAnsi="Arial"/>
          <w:sz w:val="17"/>
          <w:szCs w:val="17"/>
          <w:color w:val="212529"/>
        </w:rPr>
        <w:t xml:space="preserve"> Notes, we agreed to prepare and file by June 30, 2021 a registration statement with the SEC for the purpose of registering for resale 2,259,166 shares of common stock underlying warrants issued to High Trail. We filed a registration statement registering for resale all of the foregoing shares on May 28, 2021, and such</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ind w:right="20"/>
        <w:spacing w:after="0" w:line="342" w:lineRule="auto"/>
        <w:rPr>
          <w:sz w:val="20"/>
          <w:szCs w:val="20"/>
          <w:color w:val="auto"/>
        </w:rPr>
      </w:pPr>
      <w:r>
        <w:rPr>
          <w:rFonts w:ascii="Arial" w:cs="Arial" w:eastAsia="Arial" w:hAnsi="Arial"/>
          <w:sz w:val="16"/>
          <w:szCs w:val="16"/>
          <w:color w:val="212529"/>
        </w:rPr>
        <w:t>registration statement was declared effective on June 15, 2021, which resulted in such shares becoming freely tradable without restriction under the Securities Act, subject to certain other conditions. Any sale of these shares could have a materially adverse effect on the trading price of our common stock.</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212529"/>
        </w:rPr>
        <w:t>We have also agreed to file a registration statement registering for resale the 2,666,667 shares of common stock we issued in a private placement financing that closed in June 2021.Registration of these shares under the Securities Act will result in such shares becoming freely tradable without restriction under the Securities Act, subject to certain other conditions. Any sale of these shares could have a materially adverse effect on the trading price of our common stock. Further, in connection with our most recent waiver with our lender, we are required to reduce the exercise prices of the warrants previously issued to such lender and we can provide no assurance that we may not be required to further reduce those exercise prices in connection with any future defaults under our existing term loan (see the disclosures in Part II, Item 5 of this Quarterly Report on Form 10-Q for additional information). Any sale of these shares could have a materially adverse effect on the trading price of our common stock.</w:t>
      </w:r>
    </w:p>
    <w:p>
      <w:pPr>
        <w:spacing w:after="0" w:line="177"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212529"/>
        </w:rPr>
        <w:t>We have not yet filed a resale registration statement as required under the terms of the securities purchase agreement entered into in connection with our June 2021 private placement financing and have paid and will owe additional liquidated damages until such registration statement is filed.</w:t>
      </w:r>
    </w:p>
    <w:p>
      <w:pPr>
        <w:spacing w:after="0" w:line="10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12529"/>
        </w:rPr>
        <w:t>On June 10, 2021, we entered into a Securities Purchase Agreement (the “Purchase Agreement”) with certain accredited investors identified on the signature pages to the Purchase Agreement (collectively, the “Investors”) pursuant to which, among other things, we issued and sold to the Investors, in a private placement transaction (the “Private Placement”), an aggregate of 2,666,667 shares of our common stock to the Investors at an offering price of $15.00 per share. Pursuant to the Purchase Agreement, we agreed that if we did not file a registration statement (the “Registration Statement”) with the SEC for the purpose of registering for resale all of the 2,666,667 shares issued pursuant to the Private Placement by July 15, 2021, we would pay to the Investors, on July 15, 2021 and on each monthly anniversary thereafter (with such damages applying on a daily pro rata basis for any portion of a month), as partial liquidated damages, an aggregate of $0.6 million (subject to an aggregate cap, inclusive of any amounts payable as described in the next paragraph, of $4.0 million). We did not file the Registration Statement by July 15, 2021 and, as of the date of this Quarterly Report on Form 10-Q, have not yet filed the Registration Statement, and therefore paid the Investors an aggregate of $0.6 million in July 2021 and continue to accrue liquidated damages until such time as the Registration Statement is filed.</w:t>
      </w:r>
    </w:p>
    <w:p>
      <w:pPr>
        <w:spacing w:after="0" w:line="1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212529"/>
        </w:rPr>
        <w:t>Pursuant to the Purchase Agreement, we also agreed that if the Registration Statement is not declared effective by September 13, 2021, we will pay to the Investors, on September 13, 2021 and on each monthly anniversary thereafter (with such damages applying on a daily pro rata basis for any portion of a month), as partial liquidated damages, an aggregate of $0.6 million (subject to an aggregate cap, inclusive of any liquidated damages paid or payable as a result of our failure to file the Registration Statement by July 15, 2021, of $4.0 million). To the extent we are not able to have the Registration Statement declared effective by September 13, 2021, we will be required to pay additional liquidated damages to the Investors until such time as the Registration Statement is declared effective.</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212529"/>
        </w:rPr>
        <w:t>The concentration of our stock ownership will likely limit your ability to influence corporate matters, including the ability to influence the outcome of director elections and other matters requiring stockholder approval.</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212529"/>
        </w:rPr>
        <w:t>As of August 4, 2021, our executive officers, directors and the holders of more than 5% of our outstanding common stock in the aggregate beneficially own approximately 32.55% of our common stock. This concentrated control limits your ability to influence corporate matters for the foreseeable future.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Additionally, these stockholders may cause us to make strategic decisions or pursue acquisitions that could involve risks to you or may not be aligned with your interests. This concentration of ownership might also have the effect of delaying or preventing a change of control of our company that other stockholders may view as beneficial. This control may materially adversely affect the market price of our common stock. In addition, as further described below, we have entered into voting agreements with a number of parties in connection with our initial public offering and in connection with acquisition transactions. We may elect to release one or more parties from voting agreements which could also limit your ability to influence corporate matters for the foreseeable future.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12529"/>
        </w:rPr>
        <w:t>MV II, LLC, Dr. Larisa Storozhenko and Mr. Maximus Yaney (collectively, the “Designating Parties”) have entered into a voting agreement with us (the “Restated Voting Agreement”), pursuant to which each of the Designating Parties agreed to relinquish the right to vote their shares of capital stock of, and any other equity interest in, us (collectively, the “Voting Interests”) by granting our board of directors the sole right to vote all of the Voting Interests as the Designating Parties’ proxyholder. The Voting Interests include all shares of our common stock currently held by the Designating Parties, as well as any of our securities or other equity interests acquired by the Designating Parties in the future. Pursuant to the proxy granted by the Designating Parties, our board of directors is required to vote all of the Voting Interests in direct proportion to the voting of the shares and equity interests voted by all holders other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220"/>
        <w:spacing w:after="0" w:line="308" w:lineRule="auto"/>
        <w:rPr>
          <w:sz w:val="20"/>
          <w:szCs w:val="20"/>
          <w:color w:val="auto"/>
        </w:rPr>
      </w:pPr>
      <w:r>
        <w:rPr>
          <w:rFonts w:ascii="Arial" w:cs="Arial" w:eastAsia="Arial" w:hAnsi="Arial"/>
          <w:sz w:val="17"/>
          <w:szCs w:val="17"/>
          <w:color w:val="212529"/>
        </w:rPr>
        <w:t>than the Designating Parties. The proxy granted by the Designating Parties under the Restated Voting Agreement is irrevocable. In addition, the Restated Voting Agreement proxyholder may not be changed unless we receive the prior approval of The Nasdaq Stock Market LLC.</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color w:val="212529"/>
        </w:rPr>
        <w:t>The Restated Voting Agreement became effective on June 12, 2019, and it will continue until the earlier to occur of (a) a Deemed Liquidation Event unless, immediately upon such Deemed Liquidation Event, our common stock is and remains listed on The Nasdaq Stock Market LLC, or (b) Mr. Yaney’s death. For purposes of the Restated Voting Agreement, a “Deemed Liquidation Event” means (i) the acquisition of us by another entity by means of any transaction or series of related transactions to which we are party other than a transaction or series of transactions in which the holders of our voting securities outstanding immediately prior to such transaction or series of transactions retain, immediately after such transaction or series of transactions, as a result of our shares held by such holders prior to such transaction or series of transactions, a majority of the total voting power represented by our outstanding voting securities or such other surviving or resulting entity; (ii) a sale, lease or other disposition of all or substantially all of our and our subsidiaries’ assets taken as a whole by means of any transaction or series of related transactions, except where such sale, lease or other disposition is to a wholly-owned subsidiary of us; or (iii) any liquidation, dissolution or winding up of us, whether voluntary or involuntary; however, a Deemed Liquidation Event shall not include any transaction effected primarily to raise capital for us or a spin-off or similar divestiture of our product or PaaS business as part of a reorganization of us approved by our board of directors. In addition, the rights and obligations under the Restated Voting Agreement will terminate with respect to shares of capital stock sold by a Designating Party in connection with any arm’s length transaction to a third-party that is not a Designating Party, an affiliate of a Designating Party or any other individual or party that has a direct or indirect familial relationship with any Designating Party.</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529"/>
        </w:rPr>
        <w:t>On December 1, 2020, 9830 Macarthur LLC (“9830”), one of the sellers of the Smash Assets, entered into a lock-up, voting and standstill agreement with us, pursuant to which 9830 agreed that until December 1, 2025, 9830 will, among other things, vote at each annual or special meeting of our stockholders all shares of common stock held by 9830 in accordance with the recommendations of our board of directors on each matter presented to our stockholders at such meeting.</w:t>
      </w:r>
    </w:p>
    <w:p>
      <w:pPr>
        <w:spacing w:after="0" w:line="29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b w:val="1"/>
          <w:bCs w:val="1"/>
          <w:i w:val="1"/>
          <w:iCs w:val="1"/>
          <w:color w:val="212529"/>
        </w:rPr>
        <w:t>As a result of our failure to timely file certain financial statements relating to the Smash Assets, we are currently ineligible to file new short form registration statements on Form S-3 or to have resale registration statements declared effective in a timely manner, which may impair our ability to raise capital on terms favorable to us, in a timely manner or at all, or in the case of resale registration statements, could result in an event of default under our credit facilities or a breach of existing obligations to shareholders with registration rights.</w:t>
      </w:r>
    </w:p>
    <w:p>
      <w:pPr>
        <w:spacing w:after="0" w:line="4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12529"/>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 The ability to register securities for resale may also be limited as a result of the loss of Form S-3 eligibility.</w:t>
      </w:r>
    </w:p>
    <w:p>
      <w:pPr>
        <w:spacing w:after="0" w:line="30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212529"/>
        </w:rPr>
        <w:t>The SEC rules required us to file certain financial statements relating to the Smash Assets (the “Smash Financial Statements”) no later than February 16, 2021. We filed such financial statements on May 14, 2021. As a result of our failure to timely file the Smash Financial Statements, we are not currently permitted to use our existing registration statement on Form S-3. As a consequence, absent a waiver of the Form S-3 eligibility requirements, we are not permitted to sell all of the amount of our common stock or other securities we could otherwise sell, which could adversely affect our ability to run our operations and progress our product development programs. We also will not be permitted to conduct an “at the market offering” absent an effective primary registration statement on Form S-3.</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Short sellers of our stock may be manipulative and may drive down the market price of our common stock.</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212529"/>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Since it is in the short seller’s interest for the price of the stock to decline, some short sellers publish, or arrange for the publication of, opinions or characterizations regarding the relevant issuer, its business prospects and similar matters calculated to or which may create negative market momentum, which may permit them to obtain profits for themselves as a result of selling the stock short. Issuers whose securities have historically had limited trading volumes and/or have been susceptible to relatively high volatility levels can be particularly vulnerable to such short seller attacks. On May 4, 2021, Culper Research published a report that contained various false allegations against us, which has driven down the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1" w:name="page62"/>
    <w:bookmarkEnd w:id="61"/>
    <w:p>
      <w:pPr>
        <w:ind w:right="120"/>
        <w:spacing w:after="0" w:line="277" w:lineRule="auto"/>
        <w:rPr>
          <w:sz w:val="20"/>
          <w:szCs w:val="20"/>
          <w:color w:val="auto"/>
        </w:rPr>
      </w:pPr>
      <w:r>
        <w:rPr>
          <w:rFonts w:ascii="Arial" w:cs="Arial" w:eastAsia="Arial" w:hAnsi="Arial"/>
          <w:sz w:val="18"/>
          <w:szCs w:val="18"/>
          <w:color w:val="212529"/>
        </w:rPr>
        <w:t>market price of our common stock. Culper Research disclosed that it had accumulated a short position in our common stock prior to the publication of the article.</w:t>
      </w:r>
    </w:p>
    <w:p>
      <w:pPr>
        <w:spacing w:after="0" w:line="17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212529"/>
        </w:rPr>
        <w:t>Although we have timely responded to the false allegations set forth in the Culper Research article, we cannot assure you that false, misleading and/or defamatory articles will not be published again in the future. The publication of any such commentary regarding us in the future may bring about a temporary, or long term, decline in the market price of our common stock. No assurances can be made that similar declines in the market price of our common stock will not occur in the future, in connection with such commentary by short sellers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discontinue research coverage, or publish inaccurate or unfavorable research about us, our business or our market, or if they change their recommendations regarding our common stock adversely, the trading price or trading volume of our common stock could decline.</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trading market for our common stock will be influenced in part by the research and reports that securities or industry analysts may publish about us, our business, our market or our competitors. If one or more of the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for example because we have withdrawn and temporarily ceased providing financial guidance in light of global supply chain crisis and the COVID-19 pandemic, we could lose visibility in the financial markets, which in turn could cause the trading price or trading volume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 Trail Letter Agreements and Omnibus Amendment</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August 9, 2021, pursuant to those certain Letter Agreements entered into between us and High Trail with respect to each of the April 2021 Notes (collectively, the “Letter Agreements”), High Trail notified us that High Trail declared an event of default under the April 2021 Notes as a result of our Adjusted EBITDA (as defined in the April 2021 Notes) not being equal to at least $12 million for the 12 month period ended June 30, 2021 and further notified us that High Trail immediately accelerated a total of $18.7 million of the principal amount of the April 2021 Notes, requiring us to immediately pay $21.8 million (such amount equal to 115% of the principal amount that was accelerated, as required under the terms of the April 2021 Notes, plus $0.3 million of accrued but unpaid interest on the principal amount that was accelerated) (the “Current Event of Default Acceleration Amount”).</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the Letter Agreements, we agreed, among other things, to pay the Current Event of Default Acceleration Amount in cash by August 9, 2021 and that any portion not paid in cash would be paid in shares of our common stock under the terms of the April 2021 Notes, with the number of shares issuable equal to the unpaid Current Event of Default Acceleration Amount divided by 80% of the lesser of (i) the Daily VWAP (as defined in the April 2021 Notes) on August 9, 2021 and (ii) the average of the lowest two (2) Daily VWAPs during the ten (10) day VWAP trading period ending on August 9, 2021.</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Letter Agreements, High Trail waived the events of default relating to our failure to satisfy the Adjusted EBITDA covenant under the April 2021 Notes, effective upon the payment in cash of $10.1 million of the Current Event of Default Acceleration Amount and the issuance of the shares of our common stock for the remaining $11.7 million of the Current Event of Default Acceleration Amount. We are paying High Trail an aggregate of $10.1 million in cash on August 9, 2021 and will, in accordance with the April 2021 Notes and the Letter Agreements, pay the remaining $11.7 million of the Current Event of Default Acceleration Amount by issuing shares of common stock (with the number of shares calculated as described above) by August 11, 2021.</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Letter Agreements, on August 9, 2021, we also entered into an Omnibus Amendment to Senior Secured Notes Due 2024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Warrants to Purchase Common Stock with High Trail (the “Omnibus Amendment”), whereby: (i) we agreed to increase the minimum cash threshold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covenant in the April 2021 Notes from $15.0 million to $30.0 million through October 31, 2021; (ii) we agreed to add a liquidity covenant to the April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2021 Notes whereby we must have liquidity, on each day through October 31, 2021, calculated as (A) inventory, net, plus (B) accounts receivable,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determined in accordance with GAAP) in an aggregate minimum amount equal to $65.0 million less (C) any amount of cash and cash equivalents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excess of $30.0 million; (iii) the definition of “Permitted Investment” in the April 2021 Notes was modified such that the consent of High Trail is now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required for certain merger and acquisition activity; (iv) we agreed that the exercise prices of the following warrants to purchase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previously issued to High Trail will be modified to be equal to the lesser of: (X) the closing price of our common stock on August 9, 2021 or (Y)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VWAP of our common stock on August 9, 2021: (1) that certain warrant to purchase an aggregate of 750,000 shares of our common stock with an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$33.56 issued on February 2, 2021; (2) that certain warrant to purchase an aggregate of 469,931 shares of our common stock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$25.10 issued on February 9, 2021; and (3) those certain warrants to purchase an aggregate of 2,259,166 shares of our common stock with an exercise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$31.74 issued on April 8, 2021 ((1) through (3), collectively, the “Warrants”); (v) High Trail agreed that it will not exercise the Warrants prior to the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is 60 days after a registration statement registering for resale the 2,666,667 shares of common stock we issued on June 15, 2021 is declared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(vi) if, at any time on or after January 7, 2022, High Trail is unable to exercise the Warrants due to the agreement described in clause (v), we agreed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 High Trail, as liquidated damages, a cash payment that will be equal to (a) the weighted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3" w:name="page64"/>
    <w:bookmarkEnd w:id="63"/>
    <w:p>
      <w:pPr>
        <w:ind w:right="360"/>
        <w:spacing w:after="0" w:line="277" w:lineRule="auto"/>
        <w:rPr>
          <w:sz w:val="20"/>
          <w:szCs w:val="20"/>
          <w:color w:val="auto"/>
        </w:rPr>
      </w:pPr>
      <w:r>
        <w:rPr>
          <w:rFonts w:ascii="Arial" w:cs="Arial" w:eastAsia="Arial" w:hAnsi="Arial"/>
          <w:sz w:val="18"/>
          <w:szCs w:val="18"/>
          <w:color w:val="auto"/>
        </w:rPr>
        <w:t>average price of our common stock on the date High Trail seeks to exercise any such Warrants, minus the then-current exercise price of such Warrants, multiplied by (b) the number of shares subject to the Warrants that it then desires to exercise.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 of the Letter Agreements and the Omnibus Amendment is not complete and is qualified in its entirety by reference to the full text of the Letter Agreements and the Omnibus Amendment, copies of which will be filed with a Current Report on Form 8-K or our Quarterly Report on Form 10-Q for the quarter ending September 30,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940" w:type="dxa"/>
            <w:vAlign w:val="bottom"/>
          </w:tcPr>
          <w:p>
            <w:pPr>
              <w:jc w:val="center"/>
              <w:ind w:right="362"/>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3960" w:type="dxa"/>
            <w:vAlign w:val="bottom"/>
            <w:gridSpan w:val="7"/>
            <w:vMerge w:val="restart"/>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3"/>
        </w:trPr>
        <w:tc>
          <w:tcPr>
            <w:tcW w:w="940" w:type="dxa"/>
            <w:vAlign w:val="bottom"/>
          </w:tcPr>
          <w:p>
            <w:pPr>
              <w:jc w:val="center"/>
              <w:ind w:right="342"/>
              <w:spacing w:after="0" w:line="153"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3"/>
                <w:szCs w:val="13"/>
                <w:color w:val="auto"/>
              </w:rPr>
            </w:pPr>
          </w:p>
        </w:tc>
        <w:tc>
          <w:tcPr>
            <w:tcW w:w="39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940" w:type="dxa"/>
            <w:vAlign w:val="bottom"/>
          </w:tcPr>
          <w:p>
            <w:pPr>
              <w:jc w:val="center"/>
              <w:ind w:right="342"/>
              <w:spacing w:after="0" w:line="194" w:lineRule="exact"/>
              <w:rPr>
                <w:sz w:val="20"/>
                <w:szCs w:val="20"/>
                <w:color w:val="auto"/>
              </w:rPr>
            </w:pPr>
            <w:r>
              <w:rPr>
                <w:rFonts w:ascii="Arial" w:cs="Arial" w:eastAsia="Arial" w:hAnsi="Arial"/>
                <w:sz w:val="18"/>
                <w:szCs w:val="18"/>
                <w:color w:val="auto"/>
                <w:w w:val="91"/>
              </w:rPr>
              <w:t>2.1</w:t>
            </w:r>
            <w:r>
              <w:rPr>
                <w:rFonts w:ascii="Arial" w:cs="Arial" w:eastAsia="Arial" w:hAnsi="Arial"/>
                <w:sz w:val="18"/>
                <w:szCs w:val="18"/>
                <w:b w:val="1"/>
                <w:bCs w:val="1"/>
                <w:color w:val="auto"/>
                <w:w w:val="91"/>
              </w:rPr>
              <w:t>†</w:t>
            </w:r>
          </w:p>
        </w:tc>
        <w:tc>
          <w:tcPr>
            <w:tcW w:w="4300" w:type="dxa"/>
            <w:vAlign w:val="bottom"/>
            <w:gridSpan w:val="8"/>
          </w:tcPr>
          <w:p>
            <w:pPr>
              <w:spacing w:after="0" w:line="194" w:lineRule="exact"/>
              <w:rPr>
                <w:rFonts w:ascii="Arial" w:cs="Arial" w:eastAsia="Arial" w:hAnsi="Arial"/>
                <w:sz w:val="18"/>
                <w:szCs w:val="18"/>
                <w:color w:val="0000EE"/>
                <w:w w:val="96"/>
              </w:rPr>
            </w:pPr>
            <w:hyperlink r:id="rId114">
              <w:r>
                <w:rPr>
                  <w:rFonts w:ascii="Arial" w:cs="Arial" w:eastAsia="Arial" w:hAnsi="Arial"/>
                  <w:sz w:val="18"/>
                  <w:szCs w:val="18"/>
                  <w:color w:val="0000EE"/>
                  <w:w w:val="96"/>
                </w:rPr>
                <w:t>Asset Purchase Agreement, dated May 5, 2021, by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300" w:type="dxa"/>
            <w:vAlign w:val="bottom"/>
            <w:gridSpan w:val="8"/>
          </w:tcPr>
          <w:p>
            <w:pPr>
              <w:spacing w:after="0" w:line="19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among (i) Aterian, Inc. and Truweo, LLC, as Purchaser,</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(ii) Squatty Potty, LLC, and (iii) for the purposes of</w:t>
              </w:r>
            </w:hyperlink>
          </w:p>
        </w:tc>
        <w:tc>
          <w:tcPr>
            <w:tcW w:w="280" w:type="dxa"/>
            <w:vAlign w:val="bottom"/>
            <w:tcBorders>
              <w:top w:val="single" w:sz="8" w:color="0000EE"/>
            </w:tcBorders>
            <w:gridSpan w:val="3"/>
          </w:tcPr>
          <w:p>
            <w:pPr>
              <w:spacing w:after="0"/>
              <w:rPr>
                <w:sz w:val="17"/>
                <w:szCs w:val="17"/>
                <w:color w:val="auto"/>
              </w:rPr>
            </w:pPr>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9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Section 5.7, Section 5.8, Section 5.11, Section 5.13 and</w:t>
              </w:r>
            </w:hyperlink>
          </w:p>
        </w:tc>
        <w:tc>
          <w:tcPr>
            <w:tcW w:w="3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0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Article VII, Edwards SP Holdings, LLC, Team Lindsey,</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300" w:type="dxa"/>
            <w:vAlign w:val="bottom"/>
            <w:gridSpan w:val="8"/>
          </w:tcPr>
          <w:p>
            <w:pPr>
              <w:spacing w:after="0" w:line="196" w:lineRule="exact"/>
              <w:rPr>
                <w:rFonts w:ascii="Arial" w:cs="Arial" w:eastAsia="Arial" w:hAnsi="Arial"/>
                <w:sz w:val="18"/>
                <w:szCs w:val="18"/>
                <w:color w:val="0000EE"/>
                <w:w w:val="99"/>
              </w:rPr>
            </w:pPr>
            <w:hyperlink r:id="rId114">
              <w:r>
                <w:rPr>
                  <w:rFonts w:ascii="Arial" w:cs="Arial" w:eastAsia="Arial" w:hAnsi="Arial"/>
                  <w:sz w:val="18"/>
                  <w:szCs w:val="18"/>
                  <w:color w:val="0000EE"/>
                  <w:w w:val="99"/>
                </w:rPr>
                <w:t>LLC, SLEKT Investments, LLC, Sachs Capital Fund II,</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80" w:type="dxa"/>
            <w:vAlign w:val="bottom"/>
            <w:gridSpan w:val="5"/>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3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4">
              <w:r>
                <w:rPr>
                  <w:rFonts w:ascii="Arial" w:cs="Arial" w:eastAsia="Arial" w:hAnsi="Arial"/>
                  <w:sz w:val="18"/>
                  <w:szCs w:val="18"/>
                  <w:color w:val="0000EE"/>
                  <w:w w:val="92"/>
                </w:rPr>
                <w:t>LLC, Sachs Capital-Squatty, LLC and Bevel Acquisition II,</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color w:val="0000EE"/>
                <w:w w:val="96"/>
              </w:rPr>
            </w:pPr>
            <w:hyperlink r:id="rId114">
              <w:r>
                <w:rPr>
                  <w:rFonts w:ascii="Arial" w:cs="Arial" w:eastAsia="Arial" w:hAnsi="Arial"/>
                  <w:sz w:val="18"/>
                  <w:szCs w:val="18"/>
                  <w:color w:val="0000EE"/>
                  <w:w w:val="96"/>
                </w:rPr>
                <w:t>LLC</w:t>
              </w:r>
            </w:hyperlink>
          </w:p>
        </w:tc>
        <w:tc>
          <w:tcPr>
            <w:tcW w:w="3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left="1080" w:right="340"/>
        <w:spacing w:after="0" w:line="261" w:lineRule="auto"/>
        <w:rPr>
          <w:rFonts w:ascii="Arial" w:cs="Arial" w:eastAsia="Arial" w:hAnsi="Arial"/>
          <w:sz w:val="18"/>
          <w:szCs w:val="18"/>
          <w:u w:val="single" w:color="auto"/>
          <w:color w:val="0000EE"/>
        </w:rPr>
      </w:pPr>
      <w:r>
        <w:rPr>
          <w:rFonts w:ascii="Arial" w:cs="Arial" w:eastAsia="Arial" w:hAnsi="Arial"/>
          <w:sz w:val="18"/>
          <w:szCs w:val="18"/>
          <w:color w:val="auto"/>
        </w:rPr>
        <w:t>2.2</w:t>
      </w:r>
      <w:r>
        <w:rPr>
          <w:rFonts w:ascii="Arial" w:cs="Arial" w:eastAsia="Arial" w:hAnsi="Arial"/>
          <w:sz w:val="18"/>
          <w:szCs w:val="18"/>
          <w:b w:val="1"/>
          <w:bCs w:val="1"/>
          <w:color w:val="auto"/>
        </w:rPr>
        <w:t>†</w:t>
      </w:r>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Stock Purchase Agreement, dated May 5, 2021, by and</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EE"/>
          </w:rPr>
          <w:t>among (i) Aterian, Inc. and Truweo, LLC, as Purchaser,</w:t>
        </w:r>
      </w:hyperlink>
    </w:p>
    <w:p>
      <w:pPr>
        <w:ind w:left="2180" w:hanging="269"/>
        <w:spacing w:after="0"/>
        <w:tabs>
          <w:tab w:leader="none" w:pos="2180" w:val="left"/>
        </w:tabs>
        <w:numPr>
          <w:ilvl w:val="0"/>
          <w:numId w:val="30"/>
        </w:numPr>
        <w:rPr>
          <w:rFonts w:ascii="Arial" w:cs="Arial" w:eastAsia="Arial" w:hAnsi="Arial"/>
          <w:sz w:val="17"/>
          <w:szCs w:val="17"/>
          <w:u w:val="single" w:color="auto"/>
          <w:color w:val="0000EE"/>
        </w:rPr>
      </w:pPr>
      <w:hyperlink r:id="rId115">
        <w:r>
          <w:rPr>
            <w:rFonts w:ascii="Arial" w:cs="Arial" w:eastAsia="Arial" w:hAnsi="Arial"/>
            <w:sz w:val="17"/>
            <w:szCs w:val="17"/>
            <w:u w:val="single" w:color="auto"/>
            <w:color w:val="0000EE"/>
          </w:rPr>
          <w:t>Photo Paper Direct Ltd, (iii) Josef Eitan, and (iv) Ran</w:t>
        </w:r>
      </w:hyperlink>
    </w:p>
    <w:p>
      <w:pPr>
        <w:spacing w:after="0" w:line="20" w:lineRule="exact"/>
        <w:rPr>
          <w:rFonts w:ascii="Arial" w:cs="Arial" w:eastAsia="Arial" w:hAnsi="Arial"/>
          <w:sz w:val="17"/>
          <w:szCs w:val="17"/>
          <w:u w:val="single" w:color="auto"/>
          <w:color w:val="0000EE"/>
        </w:rPr>
      </w:pPr>
    </w:p>
    <w:p>
      <w:pPr>
        <w:ind w:left="192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Nir</w:t>
        </w:r>
      </w:hyperlink>
    </w:p>
    <w:p>
      <w:pPr>
        <w:spacing w:after="0" w:line="211" w:lineRule="exact"/>
        <w:rPr>
          <w:rFonts w:ascii="Arial" w:cs="Arial" w:eastAsia="Arial" w:hAnsi="Arial"/>
          <w:sz w:val="17"/>
          <w:szCs w:val="17"/>
          <w:u w:val="single" w:color="auto"/>
          <w:color w:val="0000EE"/>
        </w:rPr>
      </w:pPr>
    </w:p>
    <w:p>
      <w:pPr>
        <w:ind w:left="1920" w:right="460" w:hanging="786"/>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16">
        <w:r>
          <w:rPr>
            <w:rFonts w:ascii="Arial" w:cs="Arial" w:eastAsia="Arial" w:hAnsi="Arial"/>
            <w:sz w:val="18"/>
            <w:szCs w:val="18"/>
            <w:u w:val="single" w:color="auto"/>
            <w:color w:val="0000EE"/>
          </w:rPr>
          <w:t>Amended and Restated Certificate of Incorporation of</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Mohawk Group Holdings, Inc.</w:t>
        </w:r>
      </w:hyperlink>
    </w:p>
    <w:p>
      <w:pPr>
        <w:spacing w:after="0" w:line="49" w:lineRule="exact"/>
        <w:rPr>
          <w:sz w:val="20"/>
          <w:szCs w:val="20"/>
          <w:color w:val="auto"/>
        </w:rPr>
      </w:pPr>
    </w:p>
    <w:p>
      <w:pPr>
        <w:ind w:left="1920" w:right="560" w:hanging="786"/>
        <w:spacing w:after="0" w:line="342" w:lineRule="auto"/>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117">
        <w:r>
          <w:rPr>
            <w:rFonts w:ascii="Arial" w:cs="Arial" w:eastAsia="Arial" w:hAnsi="Arial"/>
            <w:sz w:val="16"/>
            <w:szCs w:val="16"/>
            <w:u w:val="single" w:color="auto"/>
            <w:color w:val="0000EE"/>
          </w:rPr>
          <w:t>Certificate of Amendment to Amended and Restated</w:t>
        </w:r>
      </w:hyperlink>
      <w:r>
        <w:rPr>
          <w:rFonts w:ascii="Arial" w:cs="Arial" w:eastAsia="Arial" w:hAnsi="Arial"/>
          <w:sz w:val="16"/>
          <w:szCs w:val="16"/>
          <w:u w:val="single" w:color="auto"/>
          <w:color w:val="0000EE"/>
        </w:rPr>
        <w:t xml:space="preserve"> </w:t>
      </w:r>
      <w:hyperlink r:id="rId117">
        <w:r>
          <w:rPr>
            <w:rFonts w:ascii="Arial" w:cs="Arial" w:eastAsia="Arial" w:hAnsi="Arial"/>
            <w:sz w:val="16"/>
            <w:szCs w:val="16"/>
            <w:u w:val="single" w:color="auto"/>
            <w:color w:val="0000EE"/>
          </w:rPr>
          <w:t>Certificate of Incorporation of the Company.</w:t>
        </w:r>
      </w:hyperlink>
    </w:p>
    <w:p>
      <w:pPr>
        <w:spacing w:after="0" w:line="2" w:lineRule="exact"/>
        <w:rPr>
          <w:sz w:val="20"/>
          <w:szCs w:val="20"/>
          <w:color w:val="auto"/>
        </w:rPr>
      </w:pPr>
    </w:p>
    <w:p>
      <w:pPr>
        <w:ind w:left="1920" w:hanging="786"/>
        <w:spacing w:after="0" w:line="263"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18">
        <w:r>
          <w:rPr>
            <w:rFonts w:ascii="Arial" w:cs="Arial" w:eastAsia="Arial" w:hAnsi="Arial"/>
            <w:sz w:val="18"/>
            <w:szCs w:val="18"/>
            <w:u w:val="single" w:color="auto"/>
            <w:color w:val="0000EE"/>
          </w:rPr>
          <w:t>Certificate of Correction of Certificate of Amendment to the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Amended and Restated Certificate of Incorporation of the</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Company.</w:t>
        </w:r>
      </w:hyperlink>
    </w:p>
    <w:p>
      <w:pPr>
        <w:spacing w:after="0" w:line="62" w:lineRule="exact"/>
        <w:rPr>
          <w:rFonts w:ascii="Arial" w:cs="Arial" w:eastAsia="Arial" w:hAnsi="Arial"/>
          <w:sz w:val="18"/>
          <w:szCs w:val="18"/>
          <w:u w:val="single" w:color="auto"/>
          <w:color w:val="0000EE"/>
        </w:rPr>
      </w:pPr>
    </w:p>
    <w:p>
      <w:pPr>
        <w:ind w:left="1120"/>
        <w:spacing w:after="0"/>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3.4</w:t>
      </w:r>
      <w:r>
        <w:rPr>
          <w:sz w:val="20"/>
          <w:szCs w:val="20"/>
          <w:color w:val="auto"/>
        </w:rPr>
        <w:tab/>
      </w:r>
      <w:hyperlink r:id="rId119">
        <w:r>
          <w:rPr>
            <w:rFonts w:ascii="Arial" w:cs="Arial" w:eastAsia="Arial" w:hAnsi="Arial"/>
            <w:sz w:val="16"/>
            <w:szCs w:val="16"/>
            <w:u w:val="single" w:color="auto"/>
            <w:color w:val="0000EE"/>
          </w:rPr>
          <w:t>Second Amended and Restated Bylaws of Aterian, Inc.</w:t>
        </w:r>
      </w:hyperlink>
    </w:p>
    <w:p>
      <w:pPr>
        <w:spacing w:after="0" w:line="104" w:lineRule="exact"/>
        <w:rPr>
          <w:rFonts w:ascii="Arial" w:cs="Arial" w:eastAsia="Arial" w:hAnsi="Arial"/>
          <w:sz w:val="18"/>
          <w:szCs w:val="18"/>
          <w:u w:val="single" w:color="auto"/>
          <w:color w:val="0000EE"/>
        </w:rPr>
      </w:pPr>
    </w:p>
    <w:p>
      <w:pPr>
        <w:ind w:left="1120"/>
        <w:spacing w:after="0"/>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20">
        <w:r>
          <w:rPr>
            <w:rFonts w:ascii="Arial" w:cs="Arial" w:eastAsia="Arial" w:hAnsi="Arial"/>
            <w:sz w:val="16"/>
            <w:szCs w:val="16"/>
            <w:u w:val="single" w:color="auto"/>
            <w:color w:val="0000EE"/>
          </w:rPr>
          <w:t>Form of Common Stock Certificate.</w:t>
        </w:r>
      </w:hyperlink>
    </w:p>
    <w:p>
      <w:pPr>
        <w:spacing w:after="0" w:line="104" w:lineRule="exact"/>
        <w:rPr>
          <w:rFonts w:ascii="Arial" w:cs="Arial" w:eastAsia="Arial" w:hAnsi="Arial"/>
          <w:sz w:val="18"/>
          <w:szCs w:val="18"/>
          <w:u w:val="single" w:color="auto"/>
          <w:color w:val="0000EE"/>
        </w:rPr>
      </w:pPr>
    </w:p>
    <w:p>
      <w:pPr>
        <w:ind w:left="1920" w:hanging="837"/>
        <w:spacing w:after="0" w:line="263"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21">
        <w:r>
          <w:rPr>
            <w:rFonts w:ascii="Arial" w:cs="Arial" w:eastAsia="Arial" w:hAnsi="Arial"/>
            <w:sz w:val="18"/>
            <w:szCs w:val="18"/>
            <w:u w:val="single" w:color="auto"/>
            <w:color w:val="0000EE"/>
          </w:rPr>
          <w:t>Form of Registration Rights Agreement, dated as of April 6,</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2018, among Mohawk Group Holdings, Inc. and the</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purchasers party thereto.</w:t>
        </w:r>
      </w:hyperlink>
    </w:p>
    <w:p>
      <w:pPr>
        <w:spacing w:after="0" w:line="62" w:lineRule="exact"/>
        <w:rPr>
          <w:rFonts w:ascii="Arial" w:cs="Arial" w:eastAsia="Arial" w:hAnsi="Arial"/>
          <w:sz w:val="18"/>
          <w:szCs w:val="18"/>
          <w:u w:val="single" w:color="auto"/>
          <w:color w:val="0000EE"/>
        </w:rPr>
      </w:pPr>
    </w:p>
    <w:p>
      <w:pPr>
        <w:ind w:left="1920" w:right="120" w:hanging="786"/>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22">
        <w:r>
          <w:rPr>
            <w:rFonts w:ascii="Arial" w:cs="Arial" w:eastAsia="Arial" w:hAnsi="Arial"/>
            <w:sz w:val="18"/>
            <w:szCs w:val="18"/>
            <w:u w:val="single" w:color="auto"/>
            <w:color w:val="0000EE"/>
          </w:rPr>
          <w:t>Form of Warrant, issued to Katalyst Securities LLC and its</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assigns on September 4, 2018.</w:t>
        </w:r>
      </w:hyperlink>
    </w:p>
    <w:p>
      <w:pPr>
        <w:spacing w:after="0" w:line="49" w:lineRule="exact"/>
        <w:rPr>
          <w:sz w:val="20"/>
          <w:szCs w:val="20"/>
          <w:color w:val="auto"/>
        </w:rPr>
      </w:pPr>
    </w:p>
    <w:p>
      <w:pPr>
        <w:ind w:left="1920" w:right="280" w:hanging="786"/>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23">
        <w:r>
          <w:rPr>
            <w:rFonts w:ascii="Arial" w:cs="Arial" w:eastAsia="Arial" w:hAnsi="Arial"/>
            <w:sz w:val="18"/>
            <w:szCs w:val="18"/>
            <w:u w:val="single" w:color="auto"/>
            <w:color w:val="0000EE"/>
          </w:rPr>
          <w:t>Form of Warrant, issued to Horizon Technology Finance</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Corporation on December 31, 2018.</w:t>
        </w:r>
      </w:hyperlink>
    </w:p>
    <w:p>
      <w:pPr>
        <w:spacing w:after="0" w:line="49" w:lineRule="exact"/>
        <w:rPr>
          <w:sz w:val="20"/>
          <w:szCs w:val="20"/>
          <w:color w:val="auto"/>
        </w:rPr>
      </w:pPr>
    </w:p>
    <w:p>
      <w:pPr>
        <w:jc w:val="both"/>
        <w:ind w:left="1920" w:right="20" w:hanging="786"/>
        <w:spacing w:after="0" w:line="263"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24">
        <w:r>
          <w:rPr>
            <w:rFonts w:ascii="Arial" w:cs="Arial" w:eastAsia="Arial" w:hAnsi="Arial"/>
            <w:sz w:val="18"/>
            <w:szCs w:val="18"/>
            <w:u w:val="single" w:color="auto"/>
            <w:color w:val="0000EE"/>
          </w:rPr>
          <w:t>Amendment No. 1 to Registration Rights Agreement, dated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as of March 2, 2019, among Mohawk Group Holdings, Inc.</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and the investors party thereto.</w:t>
        </w:r>
      </w:hyperlink>
    </w:p>
    <w:p>
      <w:pPr>
        <w:spacing w:after="0" w:line="62" w:lineRule="exact"/>
        <w:rPr>
          <w:rFonts w:ascii="Arial" w:cs="Arial" w:eastAsia="Arial" w:hAnsi="Arial"/>
          <w:sz w:val="18"/>
          <w:szCs w:val="18"/>
          <w:u w:val="single" w:color="auto"/>
          <w:color w:val="0000EE"/>
        </w:rPr>
      </w:pPr>
    </w:p>
    <w:p>
      <w:pPr>
        <w:ind w:left="1920" w:right="280" w:hanging="786"/>
        <w:spacing w:after="0" w:line="342" w:lineRule="auto"/>
        <w:tabs>
          <w:tab w:leader="none" w:pos="1900" w:val="left"/>
        </w:tabs>
        <w:rPr>
          <w:rFonts w:ascii="Arial" w:cs="Arial" w:eastAsia="Arial" w:hAnsi="Arial"/>
          <w:sz w:val="16"/>
          <w:szCs w:val="16"/>
          <w:u w:val="single" w:color="auto"/>
          <w:color w:val="0000EE"/>
        </w:rPr>
      </w:pPr>
      <w:r>
        <w:rPr>
          <w:rFonts w:ascii="Arial" w:cs="Arial" w:eastAsia="Arial" w:hAnsi="Arial"/>
          <w:sz w:val="18"/>
          <w:szCs w:val="18"/>
          <w:color w:val="auto"/>
        </w:rPr>
        <w:t>4.6</w:t>
      </w:r>
      <w:r>
        <w:rPr>
          <w:sz w:val="20"/>
          <w:szCs w:val="20"/>
          <w:color w:val="auto"/>
        </w:rPr>
        <w:tab/>
      </w:r>
      <w:hyperlink r:id="rId125">
        <w:r>
          <w:rPr>
            <w:rFonts w:ascii="Arial" w:cs="Arial" w:eastAsia="Arial" w:hAnsi="Arial"/>
            <w:sz w:val="16"/>
            <w:szCs w:val="16"/>
            <w:u w:val="single" w:color="auto"/>
            <w:color w:val="0000EE"/>
          </w:rPr>
          <w:t>Warrant to Purchase Shares of Common Stock, issued to</w:t>
        </w:r>
      </w:hyperlink>
      <w:r>
        <w:rPr>
          <w:rFonts w:ascii="Arial" w:cs="Arial" w:eastAsia="Arial" w:hAnsi="Arial"/>
          <w:sz w:val="16"/>
          <w:szCs w:val="16"/>
          <w:u w:val="single" w:color="auto"/>
          <w:color w:val="0000EE"/>
        </w:rPr>
        <w:t xml:space="preserve"> </w:t>
      </w:r>
      <w:hyperlink r:id="rId125">
        <w:r>
          <w:rPr>
            <w:rFonts w:ascii="Arial" w:cs="Arial" w:eastAsia="Arial" w:hAnsi="Arial"/>
            <w:sz w:val="16"/>
            <w:szCs w:val="16"/>
            <w:u w:val="single" w:color="auto"/>
            <w:color w:val="0000EE"/>
          </w:rPr>
          <w:t>Third Creek Advisors, LLC on August 18, 2020.</w:t>
        </w:r>
      </w:hyperlink>
    </w:p>
    <w:p>
      <w:pPr>
        <w:spacing w:after="0" w:line="124" w:lineRule="exact"/>
        <w:rPr>
          <w:sz w:val="20"/>
          <w:szCs w:val="20"/>
          <w:color w:val="auto"/>
        </w:rPr>
      </w:pPr>
    </w:p>
    <w:p>
      <w:pPr>
        <w:ind w:left="1920" w:right="620" w:hanging="786"/>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4.7</w:t>
      </w:r>
      <w:r>
        <w:rPr>
          <w:sz w:val="20"/>
          <w:szCs w:val="20"/>
          <w:color w:val="auto"/>
        </w:rPr>
        <w:tab/>
      </w:r>
      <w:hyperlink r:id="rId126">
        <w:r>
          <w:rPr>
            <w:rFonts w:ascii="Arial" w:cs="Arial" w:eastAsia="Arial" w:hAnsi="Arial"/>
            <w:sz w:val="18"/>
            <w:szCs w:val="18"/>
            <w:u w:val="single" w:color="auto"/>
            <w:color w:val="0000EE"/>
          </w:rPr>
          <w:t>Form of Warrant to Purchase Common Stock, dated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February 2, 2021.</w:t>
        </w:r>
      </w:hyperlink>
    </w:p>
    <w:p>
      <w:pPr>
        <w:spacing w:after="0" w:line="170" w:lineRule="exact"/>
        <w:rPr>
          <w:sz w:val="20"/>
          <w:szCs w:val="20"/>
          <w:color w:val="auto"/>
        </w:rPr>
      </w:pPr>
    </w:p>
    <w:p>
      <w:pPr>
        <w:ind w:left="1920" w:right="120" w:hanging="786"/>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4.8</w:t>
      </w:r>
      <w:r>
        <w:rPr>
          <w:sz w:val="20"/>
          <w:szCs w:val="20"/>
          <w:color w:val="auto"/>
        </w:rPr>
        <w:tab/>
      </w:r>
      <w:hyperlink r:id="rId127">
        <w:r>
          <w:rPr>
            <w:rFonts w:ascii="Arial" w:cs="Arial" w:eastAsia="Arial" w:hAnsi="Arial"/>
            <w:sz w:val="18"/>
            <w:szCs w:val="18"/>
            <w:u w:val="single" w:color="auto"/>
            <w:color w:val="0000EE"/>
          </w:rPr>
          <w:t>Amendment to Warrant to Purchase Common Stock, dated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as of February 2, 2021.</w:t>
        </w:r>
      </w:hyperlink>
    </w:p>
    <w:p>
      <w:pPr>
        <w:spacing w:after="0" w:line="170" w:lineRule="exact"/>
        <w:rPr>
          <w:sz w:val="20"/>
          <w:szCs w:val="20"/>
          <w:color w:val="auto"/>
        </w:rPr>
      </w:pPr>
    </w:p>
    <w:p>
      <w:pPr>
        <w:ind w:left="1920" w:right="540" w:hanging="786"/>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28">
        <w:r>
          <w:rPr>
            <w:rFonts w:ascii="Arial" w:cs="Arial" w:eastAsia="Arial" w:hAnsi="Arial"/>
            <w:sz w:val="18"/>
            <w:szCs w:val="18"/>
            <w:u w:val="single" w:color="auto"/>
            <w:color w:val="0000EE"/>
          </w:rPr>
          <w:t>Form of Warrant to Purchase Common Stock (Penny</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Warrant), dated February 9, 2021.</w:t>
        </w:r>
      </w:hyperlink>
    </w:p>
    <w:p>
      <w:pPr>
        <w:spacing w:after="0" w:line="170" w:lineRule="exact"/>
        <w:rPr>
          <w:sz w:val="20"/>
          <w:szCs w:val="20"/>
          <w:color w:val="auto"/>
        </w:rPr>
      </w:pPr>
    </w:p>
    <w:p>
      <w:pPr>
        <w:ind w:left="1920" w:right="620" w:hanging="831"/>
        <w:spacing w:after="0" w:line="277" w:lineRule="auto"/>
        <w:tabs>
          <w:tab w:leader="none" w:pos="1900" w:val="left"/>
        </w:tabs>
        <w:rPr>
          <w:rFonts w:ascii="Arial" w:cs="Arial" w:eastAsia="Arial" w:hAnsi="Arial"/>
          <w:sz w:val="18"/>
          <w:szCs w:val="18"/>
          <w:u w:val="single" w:color="auto"/>
          <w:color w:val="0000EE"/>
        </w:rPr>
      </w:pPr>
      <w:r>
        <w:rPr>
          <w:rFonts w:ascii="Arial" w:cs="Arial" w:eastAsia="Arial" w:hAnsi="Arial"/>
          <w:sz w:val="18"/>
          <w:szCs w:val="18"/>
          <w:color w:val="auto"/>
        </w:rPr>
        <w:t>4.10</w:t>
      </w:r>
      <w:r>
        <w:rPr>
          <w:sz w:val="20"/>
          <w:szCs w:val="20"/>
          <w:color w:val="auto"/>
        </w:rPr>
        <w:tab/>
      </w:r>
      <w:hyperlink r:id="rId129">
        <w:r>
          <w:rPr>
            <w:rFonts w:ascii="Arial" w:cs="Arial" w:eastAsia="Arial" w:hAnsi="Arial"/>
            <w:sz w:val="18"/>
            <w:szCs w:val="18"/>
            <w:u w:val="single" w:color="auto"/>
            <w:color w:val="0000EE"/>
          </w:rPr>
          <w:t>Form of Warrant to Purchase Common Stock, dated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February 9, 2021.</w:t>
        </w:r>
      </w:hyperlink>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6350</wp:posOffset>
            </wp:positionV>
            <wp:extent cx="25031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50"/>
        </w:trPr>
        <w:tc>
          <w:tcPr>
            <w:tcW w:w="680" w:type="dxa"/>
            <w:vAlign w:val="bottom"/>
            <w:vMerge w:val="restart"/>
          </w:tcPr>
          <w:p>
            <w:pPr>
              <w:spacing w:after="0"/>
              <w:rPr>
                <w:sz w:val="20"/>
                <w:szCs w:val="20"/>
                <w:color w:val="auto"/>
              </w:rPr>
            </w:pPr>
            <w:r>
              <w:rPr>
                <w:rFonts w:ascii="Arial" w:cs="Arial" w:eastAsia="Arial" w:hAnsi="Arial"/>
                <w:sz w:val="14"/>
                <w:szCs w:val="14"/>
                <w:b w:val="1"/>
                <w:bCs w:val="1"/>
                <w:color w:val="auto"/>
              </w:rPr>
              <w:t>Form</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File</w:t>
            </w:r>
          </w:p>
        </w:tc>
        <w:tc>
          <w:tcPr>
            <w:tcW w:w="12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Filing Date</w:t>
            </w:r>
          </w:p>
        </w:tc>
        <w:tc>
          <w:tcPr>
            <w:tcW w:w="66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4"/>
              </w:rPr>
              <w:t>Exhibit</w:t>
            </w:r>
          </w:p>
        </w:tc>
        <w:tc>
          <w:tcPr>
            <w:tcW w:w="0" w:type="dxa"/>
            <w:vAlign w:val="bottom"/>
          </w:tcPr>
          <w:p>
            <w:pPr>
              <w:spacing w:after="0"/>
              <w:rPr>
                <w:sz w:val="1"/>
                <w:szCs w:val="1"/>
                <w:color w:val="auto"/>
              </w:rPr>
            </w:pPr>
          </w:p>
        </w:tc>
      </w:tr>
      <w:tr>
        <w:trPr>
          <w:trHeight w:val="186"/>
        </w:trPr>
        <w:tc>
          <w:tcPr>
            <w:tcW w:w="6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w:t>
            </w:r>
          </w:p>
        </w:tc>
        <w:tc>
          <w:tcPr>
            <w:tcW w:w="480" w:type="dxa"/>
            <w:vAlign w:val="bottom"/>
          </w:tcPr>
          <w:p>
            <w:pPr>
              <w:spacing w:after="0"/>
              <w:rPr>
                <w:sz w:val="18"/>
                <w:szCs w:val="18"/>
                <w:color w:val="auto"/>
              </w:rPr>
            </w:pPr>
          </w:p>
        </w:tc>
      </w:t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850"/>
        </w:trPr>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w:t>
            </w:r>
          </w:p>
        </w:tc>
        <w:tc>
          <w:tcPr>
            <w:tcW w:w="480" w:type="dxa"/>
            <w:vAlign w:val="bottom"/>
          </w:tcPr>
          <w:p>
            <w:pPr>
              <w:spacing w:after="0"/>
              <w:rPr>
                <w:sz w:val="24"/>
                <w:szCs w:val="24"/>
                <w:color w:val="auto"/>
              </w:rPr>
            </w:pPr>
          </w:p>
        </w:tc>
      </w:tr>
      <w:tr>
        <w:trPr>
          <w:trHeight w:val="23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6/14/2019</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527"/>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743"/>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4/30/2021</w:t>
            </w: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1"/>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3"/>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5/24/2019</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74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26"/>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27"/>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743"/>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2"/>
              </w:rPr>
              <w:t>S-1</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333-231381</w:t>
            </w: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5/10/2019</w:t>
            </w:r>
          </w:p>
        </w:tc>
        <w:tc>
          <w:tcPr>
            <w:tcW w:w="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526"/>
        </w:trPr>
        <w:tc>
          <w:tcPr>
            <w:tcW w:w="660" w:type="dxa"/>
            <w:vAlign w:val="bottom"/>
          </w:tcPr>
          <w:p>
            <w:pPr>
              <w:jc w:val="center"/>
              <w:ind w:right="150"/>
              <w:spacing w:after="0"/>
              <w:rPr>
                <w:sz w:val="20"/>
                <w:szCs w:val="20"/>
                <w:color w:val="auto"/>
              </w:rPr>
            </w:pPr>
            <w:r>
              <w:rPr>
                <w:rFonts w:ascii="Arial" w:cs="Arial" w:eastAsia="Arial" w:hAnsi="Arial"/>
                <w:sz w:val="18"/>
                <w:szCs w:val="18"/>
                <w:color w:val="auto"/>
                <w:w w:val="94"/>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11/9/2020</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2/3/2021</w:t>
            </w: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2/9/2021</w:t>
            </w: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648"/>
        </w:trPr>
        <w:tc>
          <w:tcPr>
            <w:tcW w:w="660" w:type="dxa"/>
            <w:vAlign w:val="bottom"/>
          </w:tcPr>
          <w:p>
            <w:pPr>
              <w:jc w:val="center"/>
              <w:ind w:right="130"/>
              <w:spacing w:after="0"/>
              <w:rPr>
                <w:sz w:val="20"/>
                <w:szCs w:val="20"/>
                <w:color w:val="auto"/>
              </w:rPr>
            </w:pPr>
            <w:r>
              <w:rPr>
                <w:rFonts w:ascii="Arial" w:cs="Arial" w:eastAsia="Arial" w:hAnsi="Arial"/>
                <w:sz w:val="18"/>
                <w:szCs w:val="18"/>
                <w:color w:val="auto"/>
                <w:w w:val="99"/>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2/9/2021</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2">
            <w:col w:w="6260" w:space="380"/>
            <w:col w:w="3760"/>
          </w:cols>
          <w:pgMar w:left="320" w:top="337" w:right="1179" w:bottom="1440" w:gutter="0" w:footer="0" w:header="0"/>
        </w:sectPr>
      </w:pPr>
    </w:p>
    <w:bookmarkStart w:id="65" w:name="page66"/>
    <w:bookmarkEnd w:id="65"/>
    <w:p>
      <w:pPr>
        <w:jc w:val="both"/>
        <w:ind w:left="900" w:right="140" w:hanging="828"/>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4.11</w:t>
      </w:r>
      <w:r>
        <w:rPr>
          <w:sz w:val="20"/>
          <w:szCs w:val="20"/>
          <w:color w:val="auto"/>
        </w:rPr>
        <w:tab/>
      </w:r>
      <w:hyperlink r:id="rId132">
        <w:r>
          <w:rPr>
            <w:rFonts w:ascii="Arial" w:cs="Arial" w:eastAsia="Arial" w:hAnsi="Arial"/>
            <w:sz w:val="18"/>
            <w:szCs w:val="18"/>
            <w:u w:val="single" w:color="auto"/>
            <w:color w:val="0000EE"/>
          </w:rPr>
          <w:t>Amendment to Warrant to Purchase Common Stock, dated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as of February 8, 2021.</w:t>
        </w:r>
      </w:hyperlink>
    </w:p>
    <w:p>
      <w:pPr>
        <w:spacing w:after="0" w:line="265"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4.12</w:t>
      </w:r>
      <w:r>
        <w:rPr>
          <w:sz w:val="20"/>
          <w:szCs w:val="20"/>
          <w:color w:val="auto"/>
        </w:rPr>
        <w:tab/>
      </w:r>
      <w:hyperlink r:id="rId133">
        <w:r>
          <w:rPr>
            <w:rFonts w:ascii="Arial" w:cs="Arial" w:eastAsia="Arial" w:hAnsi="Arial"/>
            <w:sz w:val="16"/>
            <w:szCs w:val="16"/>
            <w:u w:val="single" w:color="auto"/>
            <w:color w:val="0000EE"/>
          </w:rPr>
          <w:t>Form of Senior Secured Note due 2024.</w:t>
        </w:r>
      </w:hyperlink>
    </w:p>
    <w:p>
      <w:pPr>
        <w:spacing w:after="0" w:line="225"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134">
        <w:r>
          <w:rPr>
            <w:rFonts w:ascii="Arial" w:cs="Arial" w:eastAsia="Arial" w:hAnsi="Arial"/>
            <w:sz w:val="16"/>
            <w:szCs w:val="16"/>
            <w:u w:val="single" w:color="auto"/>
            <w:color w:val="0000EE"/>
          </w:rPr>
          <w:t>Form of Warrant to Purchase Common Stock, dated April 8,</w:t>
        </w:r>
      </w:hyperlink>
    </w:p>
    <w:p>
      <w:pPr>
        <w:spacing w:after="0" w:line="23" w:lineRule="exact"/>
        <w:rPr>
          <w:sz w:val="20"/>
          <w:szCs w:val="20"/>
          <w:color w:val="auto"/>
        </w:rPr>
      </w:pPr>
    </w:p>
    <w:p>
      <w:pPr>
        <w:ind w:left="900"/>
        <w:spacing w:after="0"/>
        <w:rPr>
          <w:rFonts w:ascii="Arial" w:cs="Arial" w:eastAsia="Arial" w:hAnsi="Arial"/>
          <w:sz w:val="18"/>
          <w:szCs w:val="18"/>
          <w:u w:val="single" w:color="auto"/>
          <w:color w:val="0000EE"/>
        </w:rPr>
      </w:pPr>
      <w:hyperlink r:id="rId134">
        <w:r>
          <w:rPr>
            <w:rFonts w:ascii="Arial" w:cs="Arial" w:eastAsia="Arial" w:hAnsi="Arial"/>
            <w:sz w:val="18"/>
            <w:szCs w:val="18"/>
            <w:u w:val="single" w:color="auto"/>
            <w:color w:val="0000EE"/>
          </w:rPr>
          <w:t>2021.</w:t>
        </w:r>
      </w:hyperlink>
    </w:p>
    <w:p>
      <w:pPr>
        <w:spacing w:after="0" w:line="211" w:lineRule="exact"/>
        <w:rPr>
          <w:sz w:val="20"/>
          <w:szCs w:val="20"/>
          <w:color w:val="auto"/>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4.14</w:t>
      </w:r>
      <w:r>
        <w:rPr>
          <w:sz w:val="20"/>
          <w:szCs w:val="20"/>
          <w:color w:val="auto"/>
        </w:rPr>
        <w:tab/>
      </w:r>
      <w:hyperlink r:id="rId135">
        <w:r>
          <w:rPr>
            <w:rFonts w:ascii="Arial" w:cs="Arial" w:eastAsia="Arial" w:hAnsi="Arial"/>
            <w:sz w:val="16"/>
            <w:szCs w:val="16"/>
            <w:u w:val="single" w:color="auto"/>
            <w:color w:val="0000EE"/>
          </w:rPr>
          <w:t>Amendment to Warrant to Purchase Common Stock issued</w:t>
        </w:r>
      </w:hyperlink>
    </w:p>
    <w:p>
      <w:pPr>
        <w:spacing w:after="0" w:line="23" w:lineRule="exact"/>
        <w:rPr>
          <w:sz w:val="20"/>
          <w:szCs w:val="20"/>
          <w:color w:val="auto"/>
        </w:rPr>
      </w:pPr>
    </w:p>
    <w:p>
      <w:pPr>
        <w:jc w:val="center"/>
        <w:ind w:right="100"/>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on February 2, 2021, dated as of April 8, 2021.</w:t>
        </w:r>
      </w:hyperlink>
    </w:p>
    <w:p>
      <w:pPr>
        <w:spacing w:after="0" w:line="211" w:lineRule="exact"/>
        <w:rPr>
          <w:sz w:val="20"/>
          <w:szCs w:val="20"/>
          <w:color w:val="auto"/>
        </w:rPr>
      </w:pPr>
    </w:p>
    <w:p>
      <w:pPr>
        <w:jc w:val="both"/>
        <w:ind w:left="900" w:right="140" w:hanging="831"/>
        <w:spacing w:after="0" w:line="263"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4.15</w:t>
      </w:r>
      <w:r>
        <w:rPr>
          <w:sz w:val="20"/>
          <w:szCs w:val="20"/>
          <w:color w:val="auto"/>
        </w:rPr>
        <w:tab/>
      </w:r>
      <w:hyperlink r:id="rId136">
        <w:r>
          <w:rPr>
            <w:rFonts w:ascii="Arial" w:cs="Arial" w:eastAsia="Arial" w:hAnsi="Arial"/>
            <w:sz w:val="18"/>
            <w:szCs w:val="18"/>
            <w:u w:val="single" w:color="auto"/>
            <w:color w:val="0000EE"/>
          </w:rPr>
          <w:t>Amendment to Warrant to Purchase Common Stock issued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on February 8, 2021 (Penny Warrant), dated as of April 8,</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2021.</w:t>
        </w:r>
      </w:hyperlink>
    </w:p>
    <w:p>
      <w:pPr>
        <w:spacing w:after="0" w:line="184" w:lineRule="exact"/>
        <w:rPr>
          <w:rFonts w:ascii="Arial" w:cs="Arial" w:eastAsia="Arial" w:hAnsi="Arial"/>
          <w:sz w:val="18"/>
          <w:szCs w:val="18"/>
          <w:u w:val="single" w:color="auto"/>
          <w:color w:val="0000EE"/>
        </w:rPr>
      </w:pPr>
    </w:p>
    <w:p>
      <w:pPr>
        <w:ind w:left="60"/>
        <w:spacing w:after="0"/>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4.16</w:t>
      </w:r>
      <w:r>
        <w:rPr>
          <w:sz w:val="20"/>
          <w:szCs w:val="20"/>
          <w:color w:val="auto"/>
        </w:rPr>
        <w:tab/>
      </w:r>
      <w:hyperlink r:id="rId137">
        <w:r>
          <w:rPr>
            <w:rFonts w:ascii="Arial" w:cs="Arial" w:eastAsia="Arial" w:hAnsi="Arial"/>
            <w:sz w:val="16"/>
            <w:szCs w:val="16"/>
            <w:u w:val="single" w:color="auto"/>
            <w:color w:val="0000EE"/>
          </w:rPr>
          <w:t>Amendment to Warrant to Purchase Common Stock issued</w:t>
        </w:r>
      </w:hyperlink>
    </w:p>
    <w:p>
      <w:pPr>
        <w:spacing w:after="0" w:line="23" w:lineRule="exact"/>
        <w:rPr>
          <w:rFonts w:ascii="Arial" w:cs="Arial" w:eastAsia="Arial" w:hAnsi="Arial"/>
          <w:sz w:val="18"/>
          <w:szCs w:val="18"/>
          <w:u w:val="single" w:color="auto"/>
          <w:color w:val="0000EE"/>
        </w:rPr>
      </w:pPr>
    </w:p>
    <w:p>
      <w:pPr>
        <w:ind w:left="900"/>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on February 8, 2021, dated as of April 8, 2021.</w:t>
        </w:r>
      </w:hyperlink>
    </w:p>
    <w:p>
      <w:pPr>
        <w:spacing w:after="0" w:line="211" w:lineRule="exact"/>
        <w:rPr>
          <w:rFonts w:ascii="Arial" w:cs="Arial" w:eastAsia="Arial" w:hAnsi="Arial"/>
          <w:sz w:val="18"/>
          <w:szCs w:val="18"/>
          <w:u w:val="single" w:color="auto"/>
          <w:color w:val="0000EE"/>
        </w:rPr>
      </w:pPr>
    </w:p>
    <w:p>
      <w:pPr>
        <w:ind w:left="900" w:right="120" w:hanging="882"/>
        <w:spacing w:after="0" w:line="286"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138">
        <w:r>
          <w:rPr>
            <w:rFonts w:ascii="Arial" w:cs="Arial" w:eastAsia="Arial" w:hAnsi="Arial"/>
            <w:sz w:val="17"/>
            <w:szCs w:val="17"/>
            <w:u w:val="single" w:color="auto"/>
            <w:color w:val="0000EE"/>
          </w:rPr>
          <w:t>Letter Agreement, dated April 8, 2021, by and among</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Mohawk Group Holdings, Inc., High Trail Investments SA</w:t>
        </w:r>
      </w:hyperlink>
      <w:r>
        <w:rPr>
          <w:rFonts w:ascii="Arial" w:cs="Arial" w:eastAsia="Arial" w:hAnsi="Arial"/>
          <w:sz w:val="17"/>
          <w:szCs w:val="17"/>
          <w:u w:val="single" w:color="auto"/>
          <w:color w:val="0000EE"/>
        </w:rPr>
        <w:t xml:space="preserve"> </w:t>
      </w:r>
      <w:hyperlink r:id="rId138">
        <w:r>
          <w:rPr>
            <w:rFonts w:ascii="Arial" w:cs="Arial" w:eastAsia="Arial" w:hAnsi="Arial"/>
            <w:sz w:val="17"/>
            <w:szCs w:val="17"/>
            <w:u w:val="single" w:color="auto"/>
            <w:color w:val="0000EE"/>
          </w:rPr>
          <w:t>LLC and High Trail Investments ON LLC.</w:t>
        </w:r>
      </w:hyperlink>
    </w:p>
    <w:p>
      <w:pPr>
        <w:spacing w:after="0" w:line="381" w:lineRule="exact"/>
        <w:rPr>
          <w:rFonts w:ascii="Arial" w:cs="Arial" w:eastAsia="Arial" w:hAnsi="Arial"/>
          <w:sz w:val="17"/>
          <w:szCs w:val="17"/>
          <w:u w:val="single" w:color="auto"/>
          <w:color w:val="0000EE"/>
        </w:rPr>
      </w:pPr>
    </w:p>
    <w:p>
      <w:pPr>
        <w:jc w:val="both"/>
        <w:ind w:left="900" w:hanging="882"/>
        <w:spacing w:after="0" w:line="254"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9">
        <w:r>
          <w:rPr>
            <w:rFonts w:ascii="Arial" w:cs="Arial" w:eastAsia="Arial" w:hAnsi="Arial"/>
            <w:sz w:val="18"/>
            <w:szCs w:val="18"/>
            <w:u w:val="single" w:color="auto"/>
            <w:color w:val="0000EE"/>
          </w:rPr>
          <w:t>Securities Purchase and Exchange Agreement, dated as of</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April 8, 2021, by and among Mohawk Group Holdings, Inc.,</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High Trail Investments SA LLC and High Trail Investments</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ON LLC.</w:t>
        </w:r>
      </w:hyperlink>
    </w:p>
    <w:p>
      <w:pPr>
        <w:spacing w:after="0" w:line="2" w:lineRule="exact"/>
        <w:rPr>
          <w:rFonts w:ascii="Arial" w:cs="Arial" w:eastAsia="Arial" w:hAnsi="Arial"/>
          <w:sz w:val="18"/>
          <w:szCs w:val="18"/>
          <w:u w:val="single" w:color="auto"/>
          <w:color w:val="0000EE"/>
        </w:rPr>
      </w:pPr>
    </w:p>
    <w:p>
      <w:pPr>
        <w:jc w:val="both"/>
        <w:ind w:left="900" w:hanging="831"/>
        <w:spacing w:after="0" w:line="281" w:lineRule="auto"/>
        <w:tabs>
          <w:tab w:leader="none" w:pos="88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40">
        <w:r>
          <w:rPr>
            <w:rFonts w:ascii="Arial" w:cs="Arial" w:eastAsia="Arial" w:hAnsi="Arial"/>
            <w:sz w:val="16"/>
            <w:szCs w:val="16"/>
            <w:u w:val="single" w:color="auto"/>
            <w:color w:val="0000EE"/>
          </w:rPr>
          <w:t>Amendment of Securities Purchase Agreements, dated as of</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April 8, 2021, by and among Mohawk Group Holdings, Inc.,</w:t>
        </w:r>
      </w:hyperlink>
      <w:r>
        <w:rPr>
          <w:rFonts w:ascii="Arial" w:cs="Arial" w:eastAsia="Arial" w:hAnsi="Arial"/>
          <w:sz w:val="16"/>
          <w:szCs w:val="16"/>
          <w:u w:val="single" w:color="auto"/>
          <w:color w:val="0000EE"/>
        </w:rPr>
        <w:t xml:space="preserve"> </w:t>
      </w:r>
      <w:hyperlink r:id="rId140">
        <w:r>
          <w:rPr>
            <w:rFonts w:ascii="Arial" w:cs="Arial" w:eastAsia="Arial" w:hAnsi="Arial"/>
            <w:sz w:val="16"/>
            <w:szCs w:val="16"/>
            <w:u w:val="single" w:color="auto"/>
            <w:color w:val="0000EE"/>
          </w:rPr>
          <w:t>High Trail Investments SA LLC and High Trail Investments</w:t>
        </w:r>
      </w:hyperlink>
    </w:p>
    <w:p>
      <w:pPr>
        <w:spacing w:after="0" w:line="2" w:lineRule="exact"/>
        <w:rPr>
          <w:rFonts w:ascii="Arial" w:cs="Arial" w:eastAsia="Arial" w:hAnsi="Arial"/>
          <w:sz w:val="16"/>
          <w:szCs w:val="16"/>
          <w:u w:val="single" w:color="auto"/>
          <w:color w:val="0000EE"/>
        </w:rPr>
      </w:pPr>
    </w:p>
    <w:p>
      <w:pPr>
        <w:ind w:left="900"/>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ON LLC.</w:t>
        </w:r>
      </w:hyperlink>
    </w:p>
    <w:p>
      <w:pPr>
        <w:spacing w:after="0" w:line="211" w:lineRule="exact"/>
        <w:rPr>
          <w:rFonts w:ascii="Arial" w:cs="Arial" w:eastAsia="Arial" w:hAnsi="Arial"/>
          <w:sz w:val="16"/>
          <w:szCs w:val="16"/>
          <w:u w:val="single" w:color="auto"/>
          <w:color w:val="0000EE"/>
        </w:rPr>
      </w:pPr>
    </w:p>
    <w:p>
      <w:pPr>
        <w:jc w:val="both"/>
        <w:ind w:left="900" w:hanging="831"/>
        <w:spacing w:after="0" w:line="308" w:lineRule="auto"/>
        <w:tabs>
          <w:tab w:leader="none" w:pos="880" w:val="left"/>
        </w:tabs>
        <w:rPr>
          <w:rFonts w:ascii="Arial" w:cs="Arial" w:eastAsia="Arial" w:hAnsi="Arial"/>
          <w:sz w:val="17"/>
          <w:szCs w:val="17"/>
          <w:u w:val="single" w:color="auto"/>
          <w:color w:val="0000EE"/>
        </w:rPr>
      </w:pPr>
      <w:r>
        <w:rPr>
          <w:rFonts w:ascii="Arial" w:cs="Arial" w:eastAsia="Arial" w:hAnsi="Arial"/>
          <w:sz w:val="18"/>
          <w:szCs w:val="18"/>
          <w:color w:val="auto"/>
        </w:rPr>
        <w:t>10.4</w:t>
      </w:r>
      <w:r>
        <w:rPr>
          <w:sz w:val="20"/>
          <w:szCs w:val="20"/>
          <w:color w:val="auto"/>
        </w:rPr>
        <w:tab/>
      </w:r>
      <w:hyperlink r:id="rId141">
        <w:r>
          <w:rPr>
            <w:rFonts w:ascii="Arial" w:cs="Arial" w:eastAsia="Arial" w:hAnsi="Arial"/>
            <w:sz w:val="17"/>
            <w:szCs w:val="17"/>
            <w:u w:val="single" w:color="auto"/>
            <w:color w:val="0000EE"/>
          </w:rPr>
          <w:t>Voting and Standstill Agreement, dated May 5, 2021, by and</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between the Registrant and Squatty Potty, LLC.</w:t>
        </w:r>
      </w:hyperlink>
    </w:p>
    <w:p>
      <w:pPr>
        <w:spacing w:after="0" w:line="362" w:lineRule="exact"/>
        <w:rPr>
          <w:sz w:val="20"/>
          <w:szCs w:val="20"/>
          <w:color w:val="auto"/>
        </w:rPr>
      </w:pPr>
    </w:p>
    <w:p>
      <w:pPr>
        <w:ind w:left="900" w:right="80" w:hanging="88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42">
        <w:r>
          <w:rPr>
            <w:rFonts w:ascii="Arial" w:cs="Arial" w:eastAsia="Arial" w:hAnsi="Arial"/>
            <w:sz w:val="18"/>
            <w:szCs w:val="18"/>
            <w:u w:val="single" w:color="auto"/>
            <w:color w:val="0000EE"/>
          </w:rPr>
          <w:t>Consulting Agreement, dated May 5, 2021, by and between</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Aterian Group, Inc. and Bernie Kropfelder.</w:t>
        </w:r>
      </w:hyperlink>
    </w:p>
    <w:p>
      <w:pPr>
        <w:spacing w:after="0" w:line="170" w:lineRule="exact"/>
        <w:rPr>
          <w:sz w:val="20"/>
          <w:szCs w:val="20"/>
          <w:color w:val="auto"/>
        </w:rPr>
      </w:pPr>
    </w:p>
    <w:p>
      <w:pPr>
        <w:ind w:left="900" w:right="80" w:hanging="88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43">
        <w:r>
          <w:rPr>
            <w:rFonts w:ascii="Arial" w:cs="Arial" w:eastAsia="Arial" w:hAnsi="Arial"/>
            <w:sz w:val="18"/>
            <w:szCs w:val="18"/>
            <w:u w:val="single" w:color="auto"/>
            <w:color w:val="0000EE"/>
          </w:rPr>
          <w:t>Consulting Agreement, dated May 5, 2021, by and between</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Aterian Group, Inc. and Tani Alger.</w:t>
        </w:r>
      </w:hyperlink>
    </w:p>
    <w:p>
      <w:pPr>
        <w:spacing w:after="0" w:line="170" w:lineRule="exact"/>
        <w:rPr>
          <w:sz w:val="20"/>
          <w:szCs w:val="20"/>
          <w:color w:val="auto"/>
        </w:rPr>
      </w:pPr>
    </w:p>
    <w:p>
      <w:pPr>
        <w:ind w:left="900" w:right="80" w:hanging="882"/>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44">
        <w:r>
          <w:rPr>
            <w:rFonts w:ascii="Arial" w:cs="Arial" w:eastAsia="Arial" w:hAnsi="Arial"/>
            <w:sz w:val="18"/>
            <w:szCs w:val="18"/>
            <w:u w:val="single" w:color="auto"/>
            <w:color w:val="0000EE"/>
          </w:rPr>
          <w:t>Consulting Agreement, dated May 5, 2021, by and between</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Aterian Group, Inc. and Jeff Ela.</w:t>
        </w:r>
      </w:hyperlink>
    </w:p>
    <w:p>
      <w:pPr>
        <w:spacing w:after="0" w:line="170" w:lineRule="exact"/>
        <w:rPr>
          <w:sz w:val="20"/>
          <w:szCs w:val="20"/>
          <w:color w:val="auto"/>
        </w:rPr>
      </w:pPr>
    </w:p>
    <w:p>
      <w:pPr>
        <w:jc w:val="center"/>
        <w:ind w:right="12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10.8+     </w:t>
      </w:r>
      <w:hyperlink r:id="rId145">
        <w:r>
          <w:rPr>
            <w:rFonts w:ascii="Arial" w:cs="Arial" w:eastAsia="Arial" w:hAnsi="Arial"/>
            <w:sz w:val="18"/>
            <w:szCs w:val="18"/>
            <w:u w:val="single" w:color="auto"/>
            <w:color w:val="0000EE"/>
          </w:rPr>
          <w:t>Transition Services Agreement, dated May 5, 2021, by and</w:t>
        </w:r>
      </w:hyperlink>
      <w:r>
        <w:rPr>
          <w:rFonts w:ascii="Arial" w:cs="Arial" w:eastAsia="Arial" w:hAnsi="Arial"/>
          <w:sz w:val="18"/>
          <w:szCs w:val="18"/>
          <w:color w:val="auto"/>
        </w:rPr>
        <w:t xml:space="preserve"> </w:t>
      </w:r>
      <w:hyperlink r:id="rId145">
        <w:r>
          <w:rPr>
            <w:rFonts w:ascii="Arial" w:cs="Arial" w:eastAsia="Arial" w:hAnsi="Arial"/>
            <w:sz w:val="18"/>
            <w:szCs w:val="18"/>
            <w:u w:val="single" w:color="auto"/>
            <w:color w:val="0000EE"/>
          </w:rPr>
          <w:t>between Squatty Potty, LLC and Truweo, LLC.</w:t>
        </w:r>
      </w:hyperlink>
    </w:p>
    <w:p>
      <w:pPr>
        <w:spacing w:after="0" w:line="170" w:lineRule="exact"/>
        <w:rPr>
          <w:sz w:val="20"/>
          <w:szCs w:val="20"/>
          <w:color w:val="auto"/>
        </w:rPr>
      </w:pPr>
    </w:p>
    <w:p>
      <w:pPr>
        <w:ind w:left="900" w:hanging="831"/>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46">
        <w:r>
          <w:rPr>
            <w:rFonts w:ascii="Arial" w:cs="Arial" w:eastAsia="Arial" w:hAnsi="Arial"/>
            <w:sz w:val="18"/>
            <w:szCs w:val="18"/>
            <w:u w:val="single" w:color="auto"/>
            <w:color w:val="0000EE"/>
          </w:rPr>
          <w:t>Shareholder Agreement, dated May 5, 2021, by and between</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the Registrant and Josef Eitan.</w:t>
        </w:r>
      </w:hyperlink>
    </w:p>
    <w:p>
      <w:pPr>
        <w:spacing w:after="0" w:line="170" w:lineRule="exact"/>
        <w:rPr>
          <w:sz w:val="20"/>
          <w:szCs w:val="20"/>
          <w:color w:val="auto"/>
        </w:rPr>
      </w:pPr>
    </w:p>
    <w:p>
      <w:pPr>
        <w:ind w:left="900" w:hanging="876"/>
        <w:spacing w:after="0" w:line="277" w:lineRule="auto"/>
        <w:tabs>
          <w:tab w:leader="none" w:pos="88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47">
        <w:r>
          <w:rPr>
            <w:rFonts w:ascii="Arial" w:cs="Arial" w:eastAsia="Arial" w:hAnsi="Arial"/>
            <w:sz w:val="18"/>
            <w:szCs w:val="18"/>
            <w:u w:val="single" w:color="auto"/>
            <w:color w:val="0000EE"/>
          </w:rPr>
          <w:t>Shareholder Agreement, dated May 5, 2021, by and between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the Registrant and Ran Nir.</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2/9/2021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4.5</w:t>
            </w:r>
          </w:p>
        </w:tc>
      </w:tr>
      <w:tr>
        <w:trPr>
          <w:trHeight w:val="527"/>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4.1</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4.2</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4.3</w:t>
            </w: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4.4</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50"/>
              <w:spacing w:after="0"/>
              <w:rPr>
                <w:sz w:val="20"/>
                <w:szCs w:val="20"/>
                <w:color w:val="auto"/>
              </w:rPr>
            </w:pPr>
            <w:r>
              <w:rPr>
                <w:rFonts w:ascii="Arial" w:cs="Arial" w:eastAsia="Arial" w:hAnsi="Arial"/>
                <w:sz w:val="18"/>
                <w:szCs w:val="18"/>
                <w:color w:val="auto"/>
                <w:w w:val="87"/>
              </w:rPr>
              <w:t>4.5</w:t>
            </w:r>
          </w:p>
        </w:tc>
      </w:tr>
      <w:tr>
        <w:trPr>
          <w:trHeight w:val="108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r>
      <w:tr>
        <w:trPr>
          <w:trHeight w:val="108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10.2</w:t>
            </w: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4/9/2021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10.3</w:t>
            </w: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10.1</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10.2</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10.3</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10.4</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10.5</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10.6</w:t>
            </w:r>
          </w:p>
        </w:tc>
      </w:tr>
      <w:tr>
        <w:trPr>
          <w:trHeight w:val="864"/>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001-38937</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5/11/2021</w:t>
            </w:r>
          </w:p>
        </w:tc>
        <w:tc>
          <w:tcPr>
            <w:tcW w:w="540" w:type="dxa"/>
            <w:vAlign w:val="bottom"/>
          </w:tcPr>
          <w:p>
            <w:pPr>
              <w:jc w:val="center"/>
              <w:ind w:left="130"/>
              <w:spacing w:after="0"/>
              <w:rPr>
                <w:sz w:val="20"/>
                <w:szCs w:val="20"/>
                <w:color w:val="auto"/>
              </w:rPr>
            </w:pPr>
            <w:r>
              <w:rPr>
                <w:rFonts w:ascii="Arial" w:cs="Arial" w:eastAsia="Arial" w:hAnsi="Arial"/>
                <w:sz w:val="18"/>
                <w:szCs w:val="18"/>
                <w:color w:val="auto"/>
                <w:w w:val="91"/>
              </w:rPr>
              <w:t>10.7</w:t>
            </w:r>
          </w:p>
        </w:tc>
      </w:tr>
    </w:tbl>
    <w:p>
      <w:pPr>
        <w:sectPr>
          <w:pgSz w:w="11900" w:h="16838" w:orient="portrait"/>
          <w:cols w:equalWidth="0" w:num="2">
            <w:col w:w="5260" w:space="440"/>
            <w:col w:w="3600"/>
          </w:cols>
          <w:pgMar w:left="1340" w:top="557" w:right="125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88"/>
              </w:rPr>
              <w:t>10.11</w:t>
            </w: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r:id="rId149">
              <w:r>
                <w:rPr>
                  <w:rFonts w:ascii="Arial" w:cs="Arial" w:eastAsia="Arial" w:hAnsi="Arial"/>
                  <w:sz w:val="18"/>
                  <w:szCs w:val="18"/>
                  <w:color w:val="0000EE"/>
                  <w:w w:val="88"/>
                </w:rPr>
                <w:t>Form of Securities Purchase Agreement, dated June 10,</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2021, by and among Aterian, Inc. and the Investors</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identified on the signature pages to the Securities Purchase</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49">
              <w:r>
                <w:rPr>
                  <w:rFonts w:ascii="Arial" w:cs="Arial" w:eastAsia="Arial" w:hAnsi="Arial"/>
                  <w:sz w:val="18"/>
                  <w:szCs w:val="18"/>
                  <w:color w:val="0000EE"/>
                  <w:w w:val="88"/>
                </w:rPr>
                <w:t>Agreement.</w:t>
              </w:r>
            </w:hyperlink>
          </w:p>
        </w:tc>
        <w:tc>
          <w:tcPr>
            <w:tcW w:w="35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320" w:type="dxa"/>
            <w:vAlign w:val="bottom"/>
          </w:tcPr>
          <w:p>
            <w:pPr>
              <w:spacing w:after="0"/>
              <w:rPr>
                <w:sz w:val="24"/>
                <w:szCs w:val="24"/>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88"/>
              </w:rPr>
              <w:t>10.12</w:t>
            </w:r>
          </w:p>
        </w:tc>
        <w:tc>
          <w:tcPr>
            <w:tcW w:w="4180" w:type="dxa"/>
            <w:vAlign w:val="bottom"/>
            <w:tcBorders>
              <w:bottom w:val="single" w:sz="8" w:color="0000EE"/>
            </w:tcBorders>
            <w:gridSpan w:val="14"/>
          </w:tcPr>
          <w:p>
            <w:pPr>
              <w:spacing w:after="0"/>
              <w:rPr>
                <w:rFonts w:ascii="Arial" w:cs="Arial" w:eastAsia="Arial" w:hAnsi="Arial"/>
                <w:sz w:val="18"/>
                <w:szCs w:val="18"/>
                <w:color w:val="0000EE"/>
                <w:w w:val="88"/>
              </w:rPr>
            </w:pPr>
            <w:hyperlink r:id="rId150">
              <w:r>
                <w:rPr>
                  <w:rFonts w:ascii="Arial" w:cs="Arial" w:eastAsia="Arial" w:hAnsi="Arial"/>
                  <w:sz w:val="18"/>
                  <w:szCs w:val="18"/>
                  <w:color w:val="0000EE"/>
                  <w:w w:val="88"/>
                </w:rPr>
                <w:t>Placement Agent Agreement, dated June 10, 2021, by and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w w:val="96"/>
              </w:rPr>
            </w:pPr>
            <w:hyperlink r:id="rId150">
              <w:r>
                <w:rPr>
                  <w:rFonts w:ascii="Arial" w:cs="Arial" w:eastAsia="Arial" w:hAnsi="Arial"/>
                  <w:sz w:val="18"/>
                  <w:szCs w:val="18"/>
                  <w:color w:val="0000EE"/>
                  <w:w w:val="96"/>
                </w:rPr>
                <w:t>among Aterian, Inc. and A.G.P./Alliance Global Partners.</w:t>
              </w:r>
            </w:hyperlink>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5"/>
              </w:rPr>
              <w:t>10.13*</w:t>
            </w:r>
          </w:p>
        </w:tc>
        <w:tc>
          <w:tcPr>
            <w:tcW w:w="41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70">
              <w:r>
                <w:rPr>
                  <w:rFonts w:ascii="Arial" w:cs="Arial" w:eastAsia="Arial" w:hAnsi="Arial"/>
                  <w:sz w:val="18"/>
                  <w:szCs w:val="18"/>
                  <w:color w:val="0000EE"/>
                  <w:w w:val="90"/>
                </w:rPr>
                <w:t>Omnibus First Amendment to Senior Secured Notes Due</w:t>
              </w:r>
            </w:hyperlink>
          </w:p>
        </w:tc>
        <w:tc>
          <w:tcPr>
            <w:tcW w:w="20" w:type="dxa"/>
            <w:vAlign w:val="bottom"/>
            <w:tcBorders>
              <w:top w:val="single" w:sz="8" w:color="0000EE"/>
            </w:tcBorders>
          </w:tcPr>
          <w:p>
            <w:pPr>
              <w:spacing w:after="0"/>
              <w:rPr>
                <w:sz w:val="24"/>
                <w:szCs w:val="24"/>
                <w:color w:val="auto"/>
              </w:rPr>
            </w:pPr>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2024, dated May 19, 2021, by and among Aterian, Inc., High</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w w:val="95"/>
              </w:rPr>
            </w:pPr>
            <w:hyperlink w:anchor="page70">
              <w:r>
                <w:rPr>
                  <w:rFonts w:ascii="Arial" w:cs="Arial" w:eastAsia="Arial" w:hAnsi="Arial"/>
                  <w:sz w:val="18"/>
                  <w:szCs w:val="18"/>
                  <w:color w:val="0000EE"/>
                  <w:w w:val="95"/>
                </w:rPr>
                <w:t>Trail Investments ON LLC and High Trail Investments SA</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LLC.</w:t>
              </w:r>
            </w:hyperlink>
          </w:p>
        </w:tc>
        <w:tc>
          <w:tcPr>
            <w:tcW w:w="3840" w:type="dxa"/>
            <w:vAlign w:val="bottom"/>
            <w:tcBorders>
              <w:top w:val="single" w:sz="8" w:color="0000EE"/>
            </w:tcBorders>
            <w:gridSpan w:val="14"/>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5"/>
              </w:rPr>
              <w:t>10.14*</w:t>
            </w:r>
          </w:p>
        </w:tc>
        <w:tc>
          <w:tcPr>
            <w:tcW w:w="3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Lock-Up Agreement, dated as of May 31, 2021, by and</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between the Registrant and Asher Delug.</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5"/>
              </w:rPr>
              <w:t>10.15*</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Amendment to Lock-Up, Voting and Standstill Agreement,</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w w:val="95"/>
              </w:rPr>
            </w:pPr>
            <w:hyperlink w:anchor="page84">
              <w:r>
                <w:rPr>
                  <w:rFonts w:ascii="Arial" w:cs="Arial" w:eastAsia="Arial" w:hAnsi="Arial"/>
                  <w:sz w:val="18"/>
                  <w:szCs w:val="18"/>
                  <w:color w:val="0000EE"/>
                  <w:w w:val="95"/>
                </w:rPr>
                <w:t>dated as of May 31, 2021, by and between the Registrant</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and Healing Solutions LLC.</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0" w:type="dxa"/>
            <w:vAlign w:val="bottom"/>
          </w:tcPr>
          <w:p>
            <w:pPr>
              <w:spacing w:after="0"/>
              <w:rPr>
                <w:sz w:val="24"/>
                <w:szCs w:val="24"/>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color w:val="auto"/>
              </w:rPr>
              <w:t>10.16*</w:t>
            </w:r>
          </w:p>
        </w:tc>
        <w:tc>
          <w:tcPr>
            <w:tcW w:w="426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Amendment to Lock-Up, Voting and Standstill Agreement,</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w w:val="95"/>
              </w:rPr>
            </w:pPr>
            <w:hyperlink w:anchor="page87">
              <w:r>
                <w:rPr>
                  <w:rFonts w:ascii="Arial" w:cs="Arial" w:eastAsia="Arial" w:hAnsi="Arial"/>
                  <w:sz w:val="18"/>
                  <w:szCs w:val="18"/>
                  <w:color w:val="0000EE"/>
                  <w:w w:val="95"/>
                </w:rPr>
                <w:t>dated as of May 31, 2021, by and between the Registrant</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and 9830 Macarthur LLC.</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5"/>
              </w:rPr>
              <w:t>10.17*</w:t>
            </w:r>
          </w:p>
        </w:tc>
        <w:tc>
          <w:tcPr>
            <w:tcW w:w="39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Lock-Up Agreement, dated as of May 31, 2021, by and</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between the Registrant and Yaniv Sarig.</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0" w:type="dxa"/>
            <w:vAlign w:val="bottom"/>
            <w:vMerge w:val="restart"/>
          </w:tcPr>
          <w:p>
            <w:pPr>
              <w:jc w:val="center"/>
              <w:ind w:left="130"/>
              <w:spacing w:after="0"/>
              <w:rPr>
                <w:sz w:val="20"/>
                <w:szCs w:val="20"/>
                <w:color w:val="auto"/>
              </w:rPr>
            </w:pPr>
            <w:r>
              <w:rPr>
                <w:rFonts w:ascii="Arial" w:cs="Arial" w:eastAsia="Arial" w:hAnsi="Arial"/>
                <w:sz w:val="18"/>
                <w:szCs w:val="18"/>
                <w:color w:val="auto"/>
                <w:w w:val="97"/>
              </w:rPr>
              <w:t>31.1</w:t>
            </w:r>
            <w:r>
              <w:rPr>
                <w:rFonts w:ascii="Arial" w:cs="Arial" w:eastAsia="Arial" w:hAnsi="Arial"/>
                <w:sz w:val="21"/>
                <w:szCs w:val="21"/>
                <w:color w:val="auto"/>
                <w:w w:val="97"/>
              </w:rPr>
              <w:t>*</w:t>
            </w:r>
          </w:p>
        </w:tc>
        <w:tc>
          <w:tcPr>
            <w:tcW w:w="60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424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Certification of the Principal Executive Officer pursuant to</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Rule 13a-14(a) or 15d-14(a) of the Securities Exchange Act</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of 1934.</w:t>
              </w:r>
            </w:hyperlink>
          </w:p>
        </w:tc>
        <w:tc>
          <w:tcPr>
            <w:tcW w:w="3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7"/>
              </w:rPr>
              <w:t>31.2</w:t>
            </w:r>
            <w:r>
              <w:rPr>
                <w:rFonts w:ascii="Arial" w:cs="Arial" w:eastAsia="Arial" w:hAnsi="Arial"/>
                <w:sz w:val="21"/>
                <w:szCs w:val="21"/>
                <w:color w:val="auto"/>
                <w:w w:val="97"/>
              </w:rPr>
              <w:t>*</w:t>
            </w:r>
          </w:p>
        </w:tc>
        <w:tc>
          <w:tcPr>
            <w:tcW w:w="41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99">
              <w:r>
                <w:rPr>
                  <w:rFonts w:ascii="Arial" w:cs="Arial" w:eastAsia="Arial" w:hAnsi="Arial"/>
                  <w:sz w:val="18"/>
                  <w:szCs w:val="18"/>
                  <w:color w:val="0000EE"/>
                  <w:w w:val="92"/>
                </w:rPr>
                <w:t>Certification of the Principal Financial Officer pursuant to</w:t>
              </w:r>
            </w:hyperlink>
          </w:p>
        </w:tc>
        <w:tc>
          <w:tcPr>
            <w:tcW w:w="80" w:type="dxa"/>
            <w:vAlign w:val="bottom"/>
            <w:gridSpan w:val="3"/>
          </w:tcPr>
          <w:p>
            <w:pPr>
              <w:spacing w:after="0"/>
              <w:rPr>
                <w:sz w:val="24"/>
                <w:szCs w:val="24"/>
                <w:color w:val="auto"/>
              </w:rPr>
            </w:pP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99">
              <w:r>
                <w:rPr>
                  <w:rFonts w:ascii="Arial" w:cs="Arial" w:eastAsia="Arial" w:hAnsi="Arial"/>
                  <w:sz w:val="18"/>
                  <w:szCs w:val="18"/>
                  <w:color w:val="0000EE"/>
                  <w:w w:val="90"/>
                </w:rPr>
                <w:t>Rule 13a-14(a) or 15d-14(a) of the Securities Exchange Act</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99">
              <w:r>
                <w:rPr>
                  <w:rFonts w:ascii="Arial" w:cs="Arial" w:eastAsia="Arial" w:hAnsi="Arial"/>
                  <w:sz w:val="18"/>
                  <w:szCs w:val="18"/>
                  <w:color w:val="0000EE"/>
                  <w:w w:val="89"/>
                </w:rPr>
                <w:t>of 1934.</w:t>
              </w:r>
            </w:hyperlink>
          </w:p>
        </w:tc>
        <w:tc>
          <w:tcPr>
            <w:tcW w:w="37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rPr>
              <w:t>32.1**</w:t>
            </w:r>
          </w:p>
        </w:tc>
        <w:tc>
          <w:tcPr>
            <w:tcW w:w="43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Certification of the Principal Executive Officer and Principal</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Financial Officer pursuant to 18 U.S.C. Section 1350, as</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80" w:type="dxa"/>
            <w:vAlign w:val="bottom"/>
            <w:gridSpan w:val="19"/>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adopted pursuant to Section 906 of the Sarbanes-Oxley Act</w:t>
              </w:r>
            </w:hyperlink>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of 2002.</w:t>
              </w:r>
            </w:hyperlink>
          </w:p>
        </w:tc>
        <w:tc>
          <w:tcPr>
            <w:tcW w:w="3660" w:type="dxa"/>
            <w:vAlign w:val="bottom"/>
            <w:tcBorders>
              <w:top w:val="single" w:sz="8" w:color="0000EE"/>
            </w:tcBorders>
            <w:gridSpan w:val="1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7"/>
              </w:rPr>
              <w:t>101.INS*</w:t>
            </w:r>
          </w:p>
        </w:tc>
        <w:tc>
          <w:tcPr>
            <w:tcW w:w="4380" w:type="dxa"/>
            <w:vAlign w:val="bottom"/>
            <w:gridSpan w:val="1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10"/>
        </w:trPr>
        <w:tc>
          <w:tcPr>
            <w:tcW w:w="320" w:type="dxa"/>
            <w:vAlign w:val="bottom"/>
          </w:tcPr>
          <w:p>
            <w:pPr>
              <w:spacing w:after="0"/>
              <w:rPr>
                <w:sz w:val="24"/>
                <w:szCs w:val="24"/>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4"/>
              </w:rPr>
              <w:t>101.SCH*</w:t>
            </w:r>
          </w:p>
        </w:tc>
        <w:tc>
          <w:tcPr>
            <w:tcW w:w="43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8"/>
              </w:rPr>
              <w:t>101.CAL*</w:t>
            </w:r>
          </w:p>
        </w:tc>
        <w:tc>
          <w:tcPr>
            <w:tcW w:w="4380" w:type="dxa"/>
            <w:vAlign w:val="bottom"/>
            <w:gridSpan w:val="19"/>
          </w:tcPr>
          <w:p>
            <w:pPr>
              <w:spacing w:after="0"/>
              <w:rPr>
                <w:sz w:val="20"/>
                <w:szCs w:val="20"/>
                <w:color w:val="auto"/>
              </w:rPr>
            </w:pPr>
            <w:r>
              <w:rPr>
                <w:rFonts w:ascii="Arial" w:cs="Arial" w:eastAsia="Arial" w:hAnsi="Arial"/>
                <w:sz w:val="18"/>
                <w:szCs w:val="18"/>
                <w:color w:val="auto"/>
                <w:w w:val="99"/>
              </w:rPr>
              <w:t>Inline XBRL Taxonomy Extension Calculation Linkbase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4"/>
              </w:rPr>
              <w:t>101.DEF*</w:t>
            </w:r>
          </w:p>
        </w:tc>
        <w:tc>
          <w:tcPr>
            <w:tcW w:w="43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9"/>
              </w:rPr>
              <w:t>101.LAB*</w:t>
            </w:r>
          </w:p>
        </w:tc>
        <w:tc>
          <w:tcPr>
            <w:tcW w:w="43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1600" w:type="dxa"/>
            <w:vAlign w:val="bottom"/>
          </w:tcPr>
          <w:p>
            <w:pPr>
              <w:jc w:val="center"/>
              <w:ind w:left="130"/>
              <w:spacing w:after="0"/>
              <w:rPr>
                <w:sz w:val="20"/>
                <w:szCs w:val="20"/>
                <w:color w:val="auto"/>
              </w:rPr>
            </w:pPr>
            <w:r>
              <w:rPr>
                <w:rFonts w:ascii="Arial" w:cs="Arial" w:eastAsia="Arial" w:hAnsi="Arial"/>
                <w:sz w:val="18"/>
                <w:szCs w:val="18"/>
                <w:color w:val="auto"/>
                <w:w w:val="93"/>
              </w:rPr>
              <w:t>101.PRE*</w:t>
            </w:r>
          </w:p>
        </w:tc>
        <w:tc>
          <w:tcPr>
            <w:tcW w:w="4380" w:type="dxa"/>
            <w:vAlign w:val="bottom"/>
            <w:gridSpan w:val="19"/>
          </w:tcPr>
          <w:p>
            <w:pPr>
              <w:spacing w:after="0"/>
              <w:rPr>
                <w:sz w:val="20"/>
                <w:szCs w:val="20"/>
                <w:color w:val="auto"/>
              </w:rPr>
            </w:pPr>
            <w:r>
              <w:rPr>
                <w:rFonts w:ascii="Arial" w:cs="Arial" w:eastAsia="Arial" w:hAnsi="Arial"/>
                <w:sz w:val="18"/>
                <w:szCs w:val="18"/>
                <w:color w:val="auto"/>
                <w:w w:val="96"/>
              </w:rPr>
              <w:t>Inline XBRL Taxonomy Extension Presentation Linkbase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96"/>
        </w:trPr>
        <w:tc>
          <w:tcPr>
            <w:tcW w:w="320" w:type="dxa"/>
            <w:vAlign w:val="bottom"/>
          </w:tcPr>
          <w:p>
            <w:pPr>
              <w:spacing w:after="0"/>
              <w:rPr>
                <w:sz w:val="24"/>
                <w:szCs w:val="24"/>
                <w:color w:val="auto"/>
              </w:rPr>
            </w:pPr>
          </w:p>
        </w:tc>
        <w:tc>
          <w:tcPr>
            <w:tcW w:w="1600" w:type="dxa"/>
            <w:vAlign w:val="bottom"/>
          </w:tcPr>
          <w:p>
            <w:pPr>
              <w:jc w:val="center"/>
              <w:ind w:left="150"/>
              <w:spacing w:after="0"/>
              <w:rPr>
                <w:sz w:val="20"/>
                <w:szCs w:val="20"/>
                <w:color w:val="auto"/>
              </w:rPr>
            </w:pPr>
            <w:r>
              <w:rPr>
                <w:rFonts w:ascii="Arial" w:cs="Arial" w:eastAsia="Arial" w:hAnsi="Arial"/>
                <w:sz w:val="18"/>
                <w:szCs w:val="18"/>
                <w:color w:val="auto"/>
                <w:w w:val="97"/>
              </w:rPr>
              <w:t>104*</w:t>
            </w:r>
          </w:p>
        </w:tc>
        <w:tc>
          <w:tcPr>
            <w:tcW w:w="4380" w:type="dxa"/>
            <w:vAlign w:val="bottom"/>
            <w:gridSpan w:val="19"/>
          </w:tcPr>
          <w:p>
            <w:pPr>
              <w:spacing w:after="0"/>
              <w:rPr>
                <w:sz w:val="20"/>
                <w:szCs w:val="20"/>
                <w:color w:val="auto"/>
              </w:rPr>
            </w:pPr>
            <w:r>
              <w:rPr>
                <w:rFonts w:ascii="Arial" w:cs="Arial" w:eastAsia="Arial" w:hAnsi="Arial"/>
                <w:sz w:val="18"/>
                <w:szCs w:val="18"/>
                <w:color w:val="auto"/>
                <w:w w:val="99"/>
              </w:rPr>
              <w:t>Cover Page Interactive Data File (embedded within the</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380" w:type="dxa"/>
            <w:vAlign w:val="bottom"/>
            <w:gridSpan w:val="19"/>
          </w:tcPr>
          <w:p>
            <w:pPr>
              <w:spacing w:after="0"/>
              <w:rPr>
                <w:sz w:val="20"/>
                <w:szCs w:val="20"/>
                <w:color w:val="auto"/>
              </w:rPr>
            </w:pPr>
            <w:r>
              <w:rPr>
                <w:rFonts w:ascii="Arial" w:cs="Arial" w:eastAsia="Arial" w:hAnsi="Arial"/>
                <w:sz w:val="18"/>
                <w:szCs w:val="18"/>
                <w:color w:val="auto"/>
              </w:rPr>
              <w:t>Inline XBRL)</w:t>
            </w:r>
          </w:p>
        </w:tc>
        <w:tc>
          <w:tcPr>
            <w:tcW w:w="0" w:type="dxa"/>
            <w:vAlign w:val="bottom"/>
          </w:tcPr>
          <w:p>
            <w:pPr>
              <w:spacing w:after="0"/>
              <w:rPr>
                <w:sz w:val="1"/>
                <w:szCs w:val="1"/>
                <w:color w:val="auto"/>
              </w:rPr>
            </w:pPr>
          </w:p>
        </w:tc>
      </w:tr>
      <w:tr>
        <w:trPr>
          <w:trHeight w:val="469"/>
        </w:trPr>
        <w:tc>
          <w:tcPr>
            <w:tcW w:w="320" w:type="dxa"/>
            <w:vAlign w:val="bottom"/>
          </w:tcPr>
          <w:p>
            <w:pPr>
              <w:jc w:val="right"/>
              <w:ind w:right="92"/>
              <w:spacing w:after="0"/>
              <w:rPr>
                <w:sz w:val="20"/>
                <w:szCs w:val="20"/>
                <w:color w:val="auto"/>
              </w:rPr>
            </w:pPr>
            <w:r>
              <w:rPr>
                <w:rFonts w:ascii="Arial" w:cs="Arial" w:eastAsia="Arial" w:hAnsi="Arial"/>
                <w:sz w:val="22"/>
                <w:szCs w:val="22"/>
                <w:color w:val="auto"/>
              </w:rPr>
              <w:t>*</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Filed herewith.</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80" w:type="dxa"/>
            <w:vAlign w:val="bottom"/>
            <w:gridSpan w:val="8"/>
          </w:tcPr>
          <w:p>
            <w:pPr>
              <w:ind w:left="36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6/16/</w:t>
            </w:r>
          </w:p>
        </w:tc>
        <w:tc>
          <w:tcPr>
            <w:tcW w:w="6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001-38937</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18"/>
        </w:trPr>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6/16/</w:t>
            </w:r>
          </w:p>
        </w:tc>
        <w:tc>
          <w:tcPr>
            <w:tcW w:w="62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8-K</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001-38937</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r>
    </w:tbl>
    <w:p>
      <w:pPr>
        <w:sectPr>
          <w:pgSz w:w="11900" w:h="16838" w:orient="portrait"/>
          <w:cols w:equalWidth="0" w:num="2">
            <w:col w:w="6300" w:space="420"/>
            <w:col w:w="3600"/>
          </w:cols>
          <w:pgMar w:left="320" w:top="324" w:right="1259" w:bottom="1440" w:gutter="0" w:footer="0" w:header="0"/>
        </w:sectPr>
      </w:pPr>
    </w:p>
    <w:bookmarkStart w:id="67" w:name="page68"/>
    <w:bookmarkEnd w:id="67"/>
    <w:p>
      <w:pPr>
        <w:ind w:left="492" w:hanging="492"/>
        <w:spacing w:after="0"/>
        <w:tabs>
          <w:tab w:leader="none" w:pos="4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492" w:right="20" w:hanging="492"/>
        <w:spacing w:after="0" w:line="265" w:lineRule="auto"/>
        <w:tabs>
          <w:tab w:leader="none" w:pos="492"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Non-material schedules and exhibits have been omitted pursuant to Item 601(a)(5) of Regulation S-K. The Company hereby undertakes to furnish supplemental copies of any of the omitted schedules and exhibits upon request by the Securities and Exchange Commission.</w:t>
      </w:r>
    </w:p>
    <w:p>
      <w:pPr>
        <w:ind w:left="492" w:hanging="492"/>
        <w:spacing w:after="0" w:line="290" w:lineRule="auto"/>
        <w:tabs>
          <w:tab w:leader="none" w:pos="492"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Non-material schedules and exhibits have been omitted pursuant to Item 601(b)(2) of Regulation S-K. The Company hereby undertakes to furnish supplemental copies of any of the omitted schedules and exhibits upon request by the Securities and Exchange Commission.</w:t>
      </w:r>
    </w:p>
    <w:p>
      <w:pPr>
        <w:spacing w:after="0" w:line="161"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32"/>
          </w:cols>
          <w:pgMar w:left="328" w:top="557" w:right="5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100" w:type="dxa"/>
            <w:vAlign w:val="bottom"/>
            <w:gridSpan w:val="3"/>
          </w:tcPr>
          <w:p>
            <w:pPr>
              <w:ind w:left="2580"/>
              <w:spacing w:after="0"/>
              <w:rPr>
                <w:sz w:val="20"/>
                <w:szCs w:val="20"/>
                <w:color w:val="auto"/>
              </w:rPr>
            </w:pPr>
            <w:r>
              <w:rPr>
                <w:rFonts w:ascii="Arial" w:cs="Arial" w:eastAsia="Arial" w:hAnsi="Arial"/>
                <w:sz w:val="18"/>
                <w:szCs w:val="18"/>
                <w:b w:val="1"/>
                <w:bCs w:val="1"/>
                <w:color w:val="auto"/>
              </w:rPr>
              <w:t>ATERIAN, INC.</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August 9, 2021</w:t>
            </w:r>
          </w:p>
        </w:tc>
        <w:tc>
          <w:tcPr>
            <w:tcW w:w="2880" w:type="dxa"/>
            <w:vAlign w:val="bottom"/>
          </w:tcPr>
          <w:p>
            <w:pPr>
              <w:ind w:left="25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195"/>
        </w:trPr>
        <w:tc>
          <w:tcPr>
            <w:tcW w:w="41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Yaniv Sarig</w:t>
            </w:r>
          </w:p>
        </w:tc>
      </w:tr>
      <w:tr>
        <w:trPr>
          <w:trHeight w:val="216"/>
        </w:trPr>
        <w:tc>
          <w:tcPr>
            <w:tcW w:w="41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4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August 9, 2021</w:t>
            </w:r>
          </w:p>
        </w:tc>
        <w:tc>
          <w:tcPr>
            <w:tcW w:w="2880" w:type="dxa"/>
            <w:vAlign w:val="bottom"/>
          </w:tcPr>
          <w:p>
            <w:pPr>
              <w:ind w:left="258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Arturo Rodriguez</w:t>
            </w:r>
          </w:p>
        </w:tc>
      </w:tr>
      <w:tr>
        <w:trPr>
          <w:trHeight w:val="195"/>
        </w:trPr>
        <w:tc>
          <w:tcPr>
            <w:tcW w:w="41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Arturo Rodriguez</w:t>
            </w:r>
          </w:p>
        </w:tc>
      </w:tr>
      <w:tr>
        <w:trPr>
          <w:trHeight w:val="230"/>
        </w:trPr>
        <w:tc>
          <w:tcPr>
            <w:tcW w:w="41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20" w:type="dxa"/>
            <w:vAlign w:val="bottom"/>
            <w:gridSpan w:val="2"/>
          </w:tcPr>
          <w:p>
            <w:pPr>
              <w:ind w:left="40"/>
              <w:spacing w:after="0"/>
              <w:rPr>
                <w:sz w:val="20"/>
                <w:szCs w:val="20"/>
                <w:color w:val="auto"/>
              </w:rPr>
            </w:pPr>
            <w:r>
              <w:rPr>
                <w:rFonts w:ascii="Arial" w:cs="Arial" w:eastAsia="Arial" w:hAnsi="Arial"/>
                <w:sz w:val="18"/>
                <w:szCs w:val="18"/>
                <w:i w:val="1"/>
                <w:iCs w:val="1"/>
                <w:color w:val="auto"/>
              </w:rPr>
              <w:t>Chief Financial Officer</w:t>
            </w:r>
          </w:p>
        </w:tc>
      </w:tr>
    </w:tbl>
    <w:p>
      <w:pPr>
        <w:ind w:left="712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10.13</w:t>
      </w:r>
    </w:p>
    <w:p>
      <w:pPr>
        <w:spacing w:after="0" w:line="234" w:lineRule="exact"/>
        <w:rPr>
          <w:sz w:val="20"/>
          <w:szCs w:val="20"/>
          <w:color w:val="auto"/>
        </w:rPr>
      </w:pPr>
    </w:p>
    <w:p>
      <w:pPr>
        <w:ind w:left="8900"/>
        <w:spacing w:after="0"/>
        <w:rPr>
          <w:sz w:val="20"/>
          <w:szCs w:val="20"/>
          <w:color w:val="auto"/>
        </w:rPr>
      </w:pPr>
      <w:r>
        <w:rPr>
          <w:rFonts w:ascii="Arial" w:cs="Arial" w:eastAsia="Arial" w:hAnsi="Arial"/>
          <w:sz w:val="22"/>
          <w:szCs w:val="22"/>
          <w:b w:val="1"/>
          <w:bCs w:val="1"/>
          <w:color w:val="auto"/>
        </w:rPr>
        <w:t>EXECUTION VERSION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OMNIBUS FIRST AMENDMENT TO SENIOR SECURED NOTES DUE 2024</w:t>
      </w:r>
    </w:p>
    <w:p>
      <w:pPr>
        <w:spacing w:after="0" w:line="104"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This OMNIBUS FIRST AMENDMENT TO SENIOR SECURED NOTES DUE 2024 (this “</w:t>
      </w:r>
      <w:r>
        <w:rPr>
          <w:rFonts w:ascii="Arial" w:cs="Arial" w:eastAsia="Arial" w:hAnsi="Arial"/>
          <w:sz w:val="22"/>
          <w:szCs w:val="22"/>
          <w:b w:val="1"/>
          <w:bCs w:val="1"/>
          <w:i w:val="1"/>
          <w:iCs w:val="1"/>
          <w:color w:val="auto"/>
        </w:rPr>
        <w:t>Amendment</w:t>
      </w:r>
      <w:r>
        <w:rPr>
          <w:rFonts w:ascii="Arial" w:cs="Arial" w:eastAsia="Arial" w:hAnsi="Arial"/>
          <w:sz w:val="22"/>
          <w:szCs w:val="22"/>
          <w:color w:val="auto"/>
        </w:rPr>
        <w:t>”) is made and entered into as of May 19, 2021, by and among Aterian, Inc. (formerly known as Mohawk Group Holdings,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High Trail Investments ON LLC (“</w:t>
      </w:r>
      <w:r>
        <w:rPr>
          <w:rFonts w:ascii="Arial" w:cs="Arial" w:eastAsia="Arial" w:hAnsi="Arial"/>
          <w:sz w:val="22"/>
          <w:szCs w:val="22"/>
          <w:b w:val="1"/>
          <w:bCs w:val="1"/>
          <w:i w:val="1"/>
          <w:iCs w:val="1"/>
          <w:color w:val="auto"/>
        </w:rPr>
        <w:t>High Trail ON</w:t>
      </w:r>
      <w:r>
        <w:rPr>
          <w:rFonts w:ascii="Arial" w:cs="Arial" w:eastAsia="Arial" w:hAnsi="Arial"/>
          <w:sz w:val="22"/>
          <w:szCs w:val="22"/>
          <w:color w:val="auto"/>
        </w:rPr>
        <w:t>”) and High Trail Investments SA LLC (“</w:t>
      </w:r>
      <w:r>
        <w:rPr>
          <w:rFonts w:ascii="Arial" w:cs="Arial" w:eastAsia="Arial" w:hAnsi="Arial"/>
          <w:sz w:val="22"/>
          <w:szCs w:val="22"/>
          <w:b w:val="1"/>
          <w:bCs w:val="1"/>
          <w:i w:val="1"/>
          <w:iCs w:val="1"/>
          <w:color w:val="auto"/>
        </w:rPr>
        <w:t>High</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Trail SA</w:t>
      </w:r>
      <w:r>
        <w:rPr>
          <w:rFonts w:ascii="Arial" w:cs="Arial" w:eastAsia="Arial" w:hAnsi="Arial"/>
          <w:sz w:val="22"/>
          <w:szCs w:val="22"/>
          <w:color w:val="auto"/>
        </w:rPr>
        <w:t>” and, together with High Trail ON, the “</w:t>
      </w:r>
      <w:r>
        <w:rPr>
          <w:rFonts w:ascii="Arial" w:cs="Arial" w:eastAsia="Arial" w:hAnsi="Arial"/>
          <w:sz w:val="22"/>
          <w:szCs w:val="22"/>
          <w:b w:val="1"/>
          <w:bCs w:val="1"/>
          <w:i w:val="1"/>
          <w:iCs w:val="1"/>
          <w:color w:val="auto"/>
        </w:rPr>
        <w:t>Holders</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0"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has issued those certain Senior Secured Notes due 2024 (collectively, the “</w:t>
      </w:r>
      <w:r>
        <w:rPr>
          <w:rFonts w:ascii="Arial" w:cs="Arial" w:eastAsia="Arial" w:hAnsi="Arial"/>
          <w:sz w:val="20"/>
          <w:szCs w:val="20"/>
          <w:b w:val="1"/>
          <w:bCs w:val="1"/>
          <w:i w:val="1"/>
          <w:iCs w:val="1"/>
          <w:color w:val="auto"/>
        </w:rPr>
        <w:t>Notes</w:t>
      </w:r>
      <w:r>
        <w:rPr>
          <w:rFonts w:ascii="Arial" w:cs="Arial" w:eastAsia="Arial" w:hAnsi="Arial"/>
          <w:sz w:val="20"/>
          <w:szCs w:val="20"/>
          <w:color w:val="auto"/>
        </w:rPr>
        <w: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Holders in an aggregate original principal amount of $110,000,000 pursuant to that certain Securities Purchase and Exchange Agreement, dated as of April 8, 2021, by and among the Company and the investors on the Schedule of Buyers attached thereto (the “</w:t>
      </w:r>
      <w:r>
        <w:rPr>
          <w:rFonts w:ascii="Arial" w:cs="Arial" w:eastAsia="Arial" w:hAnsi="Arial"/>
          <w:sz w:val="20"/>
          <w:szCs w:val="20"/>
          <w:b w:val="1"/>
          <w:bCs w:val="1"/>
          <w:i w:val="1"/>
          <w:iCs w:val="1"/>
          <w:color w:val="auto"/>
        </w:rPr>
        <w:t>Securities Purchase Agreement</w:t>
      </w:r>
      <w:r>
        <w:rPr>
          <w:rFonts w:ascii="Arial" w:cs="Arial" w:eastAsia="Arial" w:hAnsi="Arial"/>
          <w:sz w:val="20"/>
          <w:szCs w:val="20"/>
          <w:color w:val="auto"/>
        </w:rPr>
        <w:t>”) (as the same may be amended from time to time);</w:t>
      </w:r>
    </w:p>
    <w:p>
      <w:pPr>
        <w:spacing w:after="0" w:line="14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the Company and the Holders desire to amend certain provisions of each of the Notes and waive the Events</w:t>
      </w:r>
      <w:r>
        <w:rPr>
          <w:rFonts w:ascii="Arial" w:cs="Arial" w:eastAsia="Arial" w:hAnsi="Arial"/>
          <w:sz w:val="22"/>
          <w:szCs w:val="22"/>
          <w:b w:val="1"/>
          <w:bCs w:val="1"/>
          <w:color w:val="auto"/>
        </w:rPr>
        <w:t xml:space="preserve"> </w:t>
      </w:r>
      <w:r>
        <w:rPr>
          <w:rFonts w:ascii="Arial" w:cs="Arial" w:eastAsia="Arial" w:hAnsi="Arial"/>
          <w:sz w:val="22"/>
          <w:szCs w:val="22"/>
          <w:color w:val="auto"/>
        </w:rPr>
        <w:t>of Default (as defined in each of the Notes) under Section 11(a)(v) of each of the Notes resulting from the failure of the Company to timely deliver Control Agreements to the Collateral Agent with respect to its Deposit Accounts and to satisfy the requirements of Sections 9(J)(i) and (ii) to maintain liquidity as a result of such failure to timely deliver such Control Agreements (collectively, the “</w:t>
      </w:r>
      <w:r>
        <w:rPr>
          <w:rFonts w:ascii="Arial" w:cs="Arial" w:eastAsia="Arial" w:hAnsi="Arial"/>
          <w:sz w:val="22"/>
          <w:szCs w:val="22"/>
          <w:b w:val="1"/>
          <w:bCs w:val="1"/>
          <w:i w:val="1"/>
          <w:iCs w:val="1"/>
          <w:color w:val="auto"/>
        </w:rPr>
        <w:t>Existing Defaults</w:t>
      </w:r>
      <w:r>
        <w:rPr>
          <w:rFonts w:ascii="Arial" w:cs="Arial" w:eastAsia="Arial" w:hAnsi="Arial"/>
          <w:sz w:val="22"/>
          <w:szCs w:val="22"/>
          <w:color w:val="auto"/>
        </w:rPr>
        <w: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pursuant to Section 18 of each of the Notes, each of the Notes may be amended, and Events of Default</w:t>
      </w:r>
      <w:r>
        <w:rPr>
          <w:rFonts w:ascii="Arial" w:cs="Arial" w:eastAsia="Arial" w:hAnsi="Arial"/>
          <w:sz w:val="22"/>
          <w:szCs w:val="22"/>
          <w:b w:val="1"/>
          <w:bCs w:val="1"/>
          <w:color w:val="auto"/>
        </w:rPr>
        <w:t xml:space="preserve"> </w:t>
      </w:r>
      <w:r>
        <w:rPr>
          <w:rFonts w:ascii="Arial" w:cs="Arial" w:eastAsia="Arial" w:hAnsi="Arial"/>
          <w:sz w:val="22"/>
          <w:szCs w:val="22"/>
          <w:color w:val="auto"/>
        </w:rPr>
        <w:t>occurring thereunder may be waived, with the written consent of the Company and the Required Holders (as defined in the Securities Purchase Agreement); and</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as of the date hereof, the Holders constitute the Required Holders (as defined in the Securities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mutual covenants and agreements set forth herein, and for other good and</w:t>
      </w:r>
      <w:r>
        <w:rPr>
          <w:rFonts w:ascii="Arial" w:cs="Arial" w:eastAsia="Arial" w:hAnsi="Arial"/>
          <w:sz w:val="22"/>
          <w:szCs w:val="22"/>
          <w:b w:val="1"/>
          <w:bCs w:val="1"/>
          <w:color w:val="auto"/>
        </w:rPr>
        <w:t xml:space="preserve"> </w:t>
      </w:r>
      <w:r>
        <w:rPr>
          <w:rFonts w:ascii="Arial" w:cs="Arial" w:eastAsia="Arial" w:hAnsi="Arial"/>
          <w:sz w:val="22"/>
          <w:szCs w:val="22"/>
          <w:color w:val="auto"/>
        </w:rPr>
        <w:t>valuable consideration, the receipt and sufficiency of which are hereby acknowledged, the parties hereto, intending to be legally bound,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OF NOTES</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Section 1 of the Notes</w:t>
      </w:r>
      <w:r>
        <w:rPr>
          <w:rFonts w:ascii="Arial" w:cs="Arial" w:eastAsia="Arial" w:hAnsi="Arial"/>
          <w:sz w:val="22"/>
          <w:szCs w:val="22"/>
          <w:color w:val="auto"/>
        </w:rPr>
        <w:t>. Section 1 of each of the Notes is hereby amended by amending and restating the definition of “Adjusted EBITDA” appearing therein in its entirety to read as follows:</w:t>
      </w:r>
    </w:p>
    <w:p>
      <w:pPr>
        <w:spacing w:after="0" w:line="175" w:lineRule="exact"/>
        <w:rPr>
          <w:sz w:val="20"/>
          <w:szCs w:val="20"/>
          <w:color w:val="auto"/>
        </w:rPr>
      </w:pPr>
    </w:p>
    <w:p>
      <w:pPr>
        <w:jc w:val="both"/>
        <w:ind w:left="2600" w:firstLine="664"/>
        <w:spacing w:after="0" w:line="287" w:lineRule="auto"/>
        <w:rPr>
          <w:sz w:val="20"/>
          <w:szCs w:val="20"/>
          <w:color w:val="auto"/>
        </w:rPr>
      </w:pPr>
      <w:r>
        <w:rPr>
          <w:rFonts w:ascii="Arial" w:cs="Arial" w:eastAsia="Arial" w:hAnsi="Arial"/>
          <w:sz w:val="19"/>
          <w:szCs w:val="19"/>
          <w:color w:val="auto"/>
        </w:rPr>
        <w:t>“Adjusted EBITDA” means, for any period, net loss (i) plus depreciation and amortization, interest expense, net, income tax expense, stock-based compensation expense, other expense, net and non-cash merger and acquisition expenses (as disclosed in the Company’s most recent Annual Report on Form 10-K and/or Quarterly Report on Form 10-Q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0" w:name="page71"/>
    <w:bookmarkEnd w:id="70"/>
    <w:p>
      <w:pPr>
        <w:jc w:val="both"/>
        <w:ind w:left="2600"/>
        <w:spacing w:after="0" w:line="272" w:lineRule="auto"/>
        <w:rPr>
          <w:sz w:val="20"/>
          <w:szCs w:val="20"/>
          <w:color w:val="auto"/>
        </w:rPr>
      </w:pPr>
      <w:r>
        <w:rPr>
          <w:rFonts w:ascii="Arial" w:cs="Arial" w:eastAsia="Arial" w:hAnsi="Arial"/>
          <w:sz w:val="19"/>
          <w:szCs w:val="19"/>
          <w:color w:val="auto"/>
        </w:rPr>
        <w:t>other public filing with the Commission), and (ii) minus any changes to the following that would have increased the Company’s EBITDA and plus any changes to the following that would have otherwise decreased the Company’s EBITDA such that these items will have a net zero effect on the Company’s EBITDA: (a) change in fair value of warrant liability, (b) change in fair value of contingent earn-outs, and (c) change in other non-cash warrant-related or debt-related income or expense (each as disclosed in the Company’s historical financial statements included in its most recent Annual Report on Form 10-K and/or Quarterly Report on Form 10-Q); provided, that pro forma net income (loss) plus depreciation and amortization, interest expense, net, income tax expense, stock-based compensation expense and other expense, net from the acquisition of assets from 9830 MacArthur, LLC, Reliance Equities Group, LLC and ZN Direct, LLC by Truweo, as disclosed in the Company’s public filings with the Commission, shall be included in the calculation of Adjusted EBITDA for the applicable periods”</w:t>
      </w:r>
    </w:p>
    <w:p>
      <w:pPr>
        <w:spacing w:after="0" w:line="200" w:lineRule="exact"/>
        <w:rPr>
          <w:sz w:val="20"/>
          <w:szCs w:val="20"/>
          <w:color w:val="auto"/>
        </w:rPr>
      </w:pPr>
    </w:p>
    <w:p>
      <w:pPr>
        <w:spacing w:after="0" w:line="208" w:lineRule="exact"/>
        <w:rPr>
          <w:sz w:val="20"/>
          <w:szCs w:val="20"/>
          <w:color w:val="auto"/>
        </w:rPr>
      </w:pPr>
    </w:p>
    <w:p>
      <w:pPr>
        <w:ind w:firstLine="864"/>
        <w:spacing w:after="0" w:line="250"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Section 9(J)(i) of the Notes</w:t>
      </w:r>
      <w:r>
        <w:rPr>
          <w:rFonts w:ascii="Arial" w:cs="Arial" w:eastAsia="Arial" w:hAnsi="Arial"/>
          <w:sz w:val="22"/>
          <w:szCs w:val="22"/>
          <w:color w:val="auto"/>
        </w:rPr>
        <w:t>. Section 9(J)(i) of each of the Notes is hereby amended and restated in its entirety to read as follows:</w:t>
      </w:r>
    </w:p>
    <w:p>
      <w:pPr>
        <w:spacing w:after="0" w:line="175" w:lineRule="exact"/>
        <w:rPr>
          <w:sz w:val="20"/>
          <w:szCs w:val="20"/>
          <w:color w:val="auto"/>
        </w:rPr>
      </w:pPr>
    </w:p>
    <w:p>
      <w:pPr>
        <w:jc w:val="both"/>
        <w:ind w:left="2600" w:firstLine="664"/>
        <w:spacing w:after="0" w:line="234" w:lineRule="auto"/>
        <w:rPr>
          <w:sz w:val="20"/>
          <w:szCs w:val="20"/>
          <w:color w:val="auto"/>
        </w:rPr>
      </w:pPr>
      <w:r>
        <w:rPr>
          <w:rFonts w:ascii="Arial" w:cs="Arial" w:eastAsia="Arial" w:hAnsi="Arial"/>
          <w:sz w:val="22"/>
          <w:szCs w:val="22"/>
          <w:color w:val="auto"/>
        </w:rPr>
        <w:t>"(i) The Company and its Subsidiaries shall have at all times liquidity calculated as unrestricted, unencumbered Cash and Cash Equivalents in one or more deposit accounts located in the United States and, by no later than May 19, 2021 (or such later date as agreed to by the Collateral Agent in its sole discretion), subject to a Control Agreement (as defined in the Security Agreement) entered into in favor of the Collateral Agent or a Control Agreement entered into otherwise in accordance with the Security Agreement in a minimum amount equal to fifteen million dollars ($15,000,000).”</w:t>
      </w:r>
    </w:p>
    <w:p>
      <w:pPr>
        <w:spacing w:after="0" w:line="191" w:lineRule="exact"/>
        <w:rPr>
          <w:sz w:val="20"/>
          <w:szCs w:val="20"/>
          <w:color w:val="auto"/>
        </w:rPr>
      </w:pPr>
    </w:p>
    <w:p>
      <w:pPr>
        <w:ind w:right="20" w:firstLine="864"/>
        <w:spacing w:after="0" w:line="25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Section 9(J)(ii) of the Notes</w:t>
      </w:r>
      <w:r>
        <w:rPr>
          <w:rFonts w:ascii="Arial" w:cs="Arial" w:eastAsia="Arial" w:hAnsi="Arial"/>
          <w:sz w:val="22"/>
          <w:szCs w:val="22"/>
          <w:color w:val="auto"/>
        </w:rPr>
        <w:t>. Section 9(J)(ii) of each of the Notes is hereby amended and restated in its entirety to read as follows:</w:t>
      </w:r>
    </w:p>
    <w:p>
      <w:pPr>
        <w:spacing w:after="0" w:line="175" w:lineRule="exact"/>
        <w:rPr>
          <w:sz w:val="20"/>
          <w:szCs w:val="20"/>
          <w:color w:val="auto"/>
        </w:rPr>
      </w:pPr>
    </w:p>
    <w:p>
      <w:pPr>
        <w:jc w:val="both"/>
        <w:ind w:left="2600" w:firstLine="664"/>
        <w:spacing w:after="0" w:line="282" w:lineRule="auto"/>
        <w:rPr>
          <w:sz w:val="20"/>
          <w:szCs w:val="20"/>
          <w:color w:val="auto"/>
        </w:rPr>
      </w:pPr>
      <w:r>
        <w:rPr>
          <w:rFonts w:ascii="Arial" w:cs="Arial" w:eastAsia="Arial" w:hAnsi="Arial"/>
          <w:sz w:val="19"/>
          <w:szCs w:val="19"/>
          <w:color w:val="auto"/>
        </w:rPr>
        <w:t>"(ii) Truweo shall have at all times liquidity calculated as unrestricted, unencumbered Cash and Cash Equivalents in one or more deposit accounts located in the United States and, by no later than May 19, 2021 (or such later date as agreed to by the Collateral Agent in its sole discretion), subject to a Control Agreement (as defined in the Security Agreement) in favor of the Collateral Agent in a minimum amount equal to three million five hundred thousand dollars ($3,500,000).”</w:t>
      </w:r>
    </w:p>
    <w:p>
      <w:pPr>
        <w:spacing w:after="0" w:line="200" w:lineRule="exact"/>
        <w:rPr>
          <w:sz w:val="20"/>
          <w:szCs w:val="20"/>
          <w:color w:val="auto"/>
        </w:rPr>
      </w:pPr>
    </w:p>
    <w:p>
      <w:pPr>
        <w:spacing w:after="0" w:line="3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WAIVER</w:t>
      </w:r>
    </w:p>
    <w:p>
      <w:pPr>
        <w:spacing w:after="0" w:line="212"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Waiver</w:t>
      </w:r>
      <w:r>
        <w:rPr>
          <w:rFonts w:ascii="Arial" w:cs="Arial" w:eastAsia="Arial" w:hAnsi="Arial"/>
          <w:sz w:val="21"/>
          <w:szCs w:val="21"/>
          <w:color w:val="auto"/>
        </w:rPr>
        <w:t xml:space="preserve">. The Holders hereby waive the Existing Defaults as in effect prior to this Amendment. The foregoing waiver shall not constitute (a) except as expressly contemplated by the first sentence of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 modification or alteration of the terms, conditions, or covenants of the Notes, (b) a waiver of, or consent to, any breach of, or any Event of Default (other than the Existing Defaults) under the Notes, or (c) except as expressly contemplated by the first sentence of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 waiver, release, or limitation upon the exercise by the Holders of any of their respective rights, legal or equitable, under the Transaction Documents or applicable law, all of which are hereby reserved. Notwithstanding anything contained herein to the contrary, the agreement in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is not intended and shall not be deemed or construed to constitute a waiver of any other Default (as defined in each of the Notes) or Event of Default that hereafter may occur under any Transaction Document (as defined in each of the Notes) or to establish a custom or course of dealing among the parties to this Amendment or any of them.</w:t>
      </w:r>
    </w:p>
    <w:p>
      <w:pPr>
        <w:spacing w:after="0" w:line="175" w:lineRule="exact"/>
        <w:rPr>
          <w:sz w:val="20"/>
          <w:szCs w:val="20"/>
          <w:color w:val="auto"/>
        </w:rPr>
      </w:pPr>
    </w:p>
    <w:tbl>
      <w:tblPr>
        <w:tblLayout w:type="fixed"/>
        <w:tblInd w:w="880" w:type="dxa"/>
        <w:tblCellMar>
          <w:top w:w="0" w:type="dxa"/>
          <w:left w:w="0" w:type="dxa"/>
          <w:bottom w:w="0" w:type="dxa"/>
          <w:right w:w="0" w:type="dxa"/>
        </w:tblCellMar>
      </w:tblPr>
      <w:tr>
        <w:trPr>
          <w:trHeight w:val="280"/>
        </w:trPr>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60" w:type="dxa"/>
            <w:vAlign w:val="bottom"/>
          </w:tcPr>
          <w:p>
            <w:pPr>
              <w:jc w:val="center"/>
              <w:ind w:right="4272"/>
              <w:spacing w:after="0"/>
              <w:rPr>
                <w:sz w:val="20"/>
                <w:szCs w:val="20"/>
                <w:color w:val="auto"/>
              </w:rPr>
            </w:pPr>
            <w:r>
              <w:rPr>
                <w:rFonts w:ascii="Arial" w:cs="Arial" w:eastAsia="Arial" w:hAnsi="Arial"/>
                <w:sz w:val="22"/>
                <w:szCs w:val="22"/>
                <w:b w:val="1"/>
                <w:bCs w:val="1"/>
                <w:color w:val="auto"/>
              </w:rPr>
              <w:t>ARTICLE III</w:t>
            </w:r>
          </w:p>
        </w:tc>
      </w:tr>
      <w:tr>
        <w:trPr>
          <w:trHeight w:val="459"/>
        </w:trPr>
        <w:tc>
          <w:tcPr>
            <w:tcW w:w="6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60" w:type="dxa"/>
            <w:vAlign w:val="bottom"/>
          </w:tcPr>
          <w:p>
            <w:pPr>
              <w:jc w:val="center"/>
              <w:ind w:right="4252"/>
              <w:spacing w:after="0"/>
              <w:rPr>
                <w:sz w:val="20"/>
                <w:szCs w:val="20"/>
                <w:color w:val="auto"/>
              </w:rPr>
            </w:pPr>
            <w:r>
              <w:rPr>
                <w:rFonts w:ascii="Arial" w:cs="Arial" w:eastAsia="Arial" w:hAnsi="Arial"/>
                <w:sz w:val="22"/>
                <w:szCs w:val="22"/>
                <w:b w:val="1"/>
                <w:bCs w:val="1"/>
                <w:color w:val="auto"/>
                <w:w w:val="99"/>
              </w:rPr>
              <w:t>MISCELLANEOUS</w:t>
            </w:r>
          </w:p>
        </w:tc>
      </w:tr>
      <w:tr>
        <w:trPr>
          <w:trHeight w:val="446"/>
        </w:trPr>
        <w:tc>
          <w:tcPr>
            <w:tcW w:w="640" w:type="dxa"/>
            <w:vAlign w:val="bottom"/>
          </w:tcPr>
          <w:p>
            <w:pPr>
              <w:jc w:val="right"/>
              <w:ind w:right="212"/>
              <w:spacing w:after="0"/>
              <w:rPr>
                <w:sz w:val="20"/>
                <w:szCs w:val="20"/>
                <w:color w:val="auto"/>
              </w:rPr>
            </w:pPr>
            <w:r>
              <w:rPr>
                <w:rFonts w:ascii="Arial" w:cs="Arial" w:eastAsia="Arial" w:hAnsi="Arial"/>
                <w:sz w:val="22"/>
                <w:szCs w:val="22"/>
                <w:color w:val="auto"/>
                <w:w w:val="81"/>
              </w:rPr>
              <w:t>3.1.</w:t>
            </w:r>
          </w:p>
        </w:tc>
        <w:tc>
          <w:tcPr>
            <w:tcW w:w="2860" w:type="dxa"/>
            <w:vAlign w:val="bottom"/>
          </w:tcPr>
          <w:p>
            <w:pPr>
              <w:ind w:left="320"/>
              <w:spacing w:after="0"/>
              <w:rPr>
                <w:sz w:val="20"/>
                <w:szCs w:val="20"/>
                <w:color w:val="auto"/>
              </w:rPr>
            </w:pPr>
            <w:r>
              <w:rPr>
                <w:rFonts w:ascii="Arial" w:cs="Arial" w:eastAsia="Arial" w:hAnsi="Arial"/>
                <w:sz w:val="22"/>
                <w:szCs w:val="22"/>
                <w:u w:val="single" w:color="auto"/>
                <w:color w:val="auto"/>
              </w:rPr>
              <w:t>Rule 144 Holding Period</w:t>
            </w:r>
            <w:r>
              <w:rPr>
                <w:rFonts w:ascii="Arial" w:cs="Arial" w:eastAsia="Arial" w:hAnsi="Arial"/>
                <w:sz w:val="22"/>
                <w:szCs w:val="22"/>
                <w:color w:val="auto"/>
              </w:rPr>
              <w:t>.</w:t>
            </w:r>
          </w:p>
        </w:tc>
        <w:tc>
          <w:tcPr>
            <w:tcW w:w="6860" w:type="dxa"/>
            <w:vAlign w:val="bottom"/>
          </w:tcPr>
          <w:p>
            <w:pPr>
              <w:ind w:left="420"/>
              <w:spacing w:after="0"/>
              <w:rPr>
                <w:sz w:val="20"/>
                <w:szCs w:val="20"/>
                <w:color w:val="auto"/>
              </w:rPr>
            </w:pPr>
            <w:r>
              <w:rPr>
                <w:rFonts w:ascii="Arial" w:cs="Arial" w:eastAsia="Arial" w:hAnsi="Arial"/>
                <w:sz w:val="22"/>
                <w:szCs w:val="22"/>
                <w:color w:val="auto"/>
                <w:w w:val="89"/>
              </w:rPr>
              <w:t>The Company and the Holder acknowledge and agree that, as set forth in</w:t>
            </w:r>
          </w:p>
        </w:tc>
      </w:tr>
    </w:tbl>
    <w:p>
      <w:pPr>
        <w:jc w:val="both"/>
        <w:spacing w:after="0" w:line="271" w:lineRule="auto"/>
        <w:rPr>
          <w:sz w:val="20"/>
          <w:szCs w:val="20"/>
          <w:color w:val="auto"/>
        </w:rPr>
      </w:pPr>
      <w:r>
        <w:rPr>
          <w:rFonts w:ascii="Arial" w:cs="Arial" w:eastAsia="Arial" w:hAnsi="Arial"/>
          <w:sz w:val="19"/>
          <w:szCs w:val="19"/>
          <w:color w:val="auto"/>
        </w:rPr>
        <w:t>the Securities Purchase Agreement, (i) the Purchased Notes, the Note Shares underlying the Purchased Notes, the Purchased Warrants and the Warrant Shares underlying such Warrants (as such terms are defined in the Securities Purchase Agreement) will continue to have a holding period under Rule 144 promulgated under the Securities Act ("</w:t>
      </w:r>
      <w:r>
        <w:rPr>
          <w:rFonts w:ascii="Arial" w:cs="Arial" w:eastAsia="Arial" w:hAnsi="Arial"/>
          <w:sz w:val="19"/>
          <w:szCs w:val="19"/>
          <w:b w:val="1"/>
          <w:bCs w:val="1"/>
          <w:i w:val="1"/>
          <w:iCs w:val="1"/>
          <w:color w:val="auto"/>
        </w:rPr>
        <w:t>Rule 144</w:t>
      </w:r>
      <w:r>
        <w:rPr>
          <w:rFonts w:ascii="Arial" w:cs="Arial" w:eastAsia="Arial" w:hAnsi="Arial"/>
          <w:sz w:val="19"/>
          <w:szCs w:val="19"/>
          <w:color w:val="auto"/>
        </w:rPr>
        <w:t>") that will be deemed to have commenced as of April 8, 2021, (ii) the High Trail SA Exchanged Note, the Note Shares underlying the High Trail SA Exchanged Note, the High Trail SA Exchanged Warrant and the Warrant Shares underlying such Warrant (as such terms are defined in the Securities Purchase Agreement) will continue to have a holding period under Rule 144 that will be deemed to have commenced as of December 1, 2020 and (iii) the High Trail ON Exchanged Note, the Note Shares underlying the High Trail ON Exchanged Note, the High Trail ON Exchanged Warrant and the Warrant Shares underlying such Warrant (as such terms are defined in the Securities Purchase Agreement) will continue to have a holding period under Rule 144 that will be deemed to have commenced as of February 2, 2021.</w:t>
      </w:r>
    </w:p>
    <w:p>
      <w:pPr>
        <w:spacing w:after="0" w:line="161"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Material Non-Public Information</w:t>
      </w:r>
      <w:r>
        <w:rPr>
          <w:rFonts w:ascii="Arial" w:cs="Arial" w:eastAsia="Arial" w:hAnsi="Arial"/>
          <w:sz w:val="22"/>
          <w:szCs w:val="22"/>
          <w:color w:val="auto"/>
        </w:rPr>
        <w:t>. The Company confirms that neither it nor any other person acting on its behalf has provided either Holder or their agents or counsel with any information that constitutes or could reasonably be expected to constitute material, non-public information concerning the Company or any of its subsidiaries, including with respect to this amendment.</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Consents</w:t>
      </w:r>
      <w:r>
        <w:rPr>
          <w:rFonts w:ascii="Arial" w:cs="Arial" w:eastAsia="Arial" w:hAnsi="Arial"/>
          <w:sz w:val="22"/>
          <w:szCs w:val="22"/>
          <w:color w:val="auto"/>
        </w:rPr>
        <w:t>. The Company hereby covenants to obtain all necessary consents from holders of the Company’s other outstanding Indebtedness to permit entry into this Amendment without causing an “Event of Default” under such Indebtedness prior to the termination of any applicable cure periods in such Indebtedness.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jc w:val="both"/>
        <w:ind w:firstLine="864"/>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Captions</w:t>
      </w:r>
      <w:r>
        <w:rPr>
          <w:rFonts w:ascii="Arial" w:cs="Arial" w:eastAsia="Arial" w:hAnsi="Arial"/>
          <w:sz w:val="22"/>
          <w:szCs w:val="22"/>
          <w:color w:val="auto"/>
        </w:rPr>
        <w:t>. The headings contained in this Amendment are for reference purposes only and shall not affect in any way the meaning or interpretation of this Amendment. Except as otherwise indicated, all references in this Amendment to “Sections” are intended to refer to the Sections or Articles of each of the Notes.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Jurisdiction</w:t>
      </w:r>
      <w:r>
        <w:rPr>
          <w:rFonts w:ascii="Arial" w:cs="Arial" w:eastAsia="Arial" w:hAnsi="Arial"/>
          <w:sz w:val="22"/>
          <w:szCs w:val="22"/>
          <w:color w:val="auto"/>
        </w:rPr>
        <w:t>. All questions concerning the construction, validity, enforcement and interpretation of this Amendment shall be determined in accordance with the provisions of the Securities Purchase Agreement.</w:t>
      </w:r>
    </w:p>
    <w:p>
      <w:pPr>
        <w:spacing w:after="0" w:line="175" w:lineRule="exact"/>
        <w:rPr>
          <w:sz w:val="20"/>
          <w:szCs w:val="20"/>
          <w:color w:val="auto"/>
        </w:rPr>
      </w:pPr>
    </w:p>
    <w:p>
      <w:pPr>
        <w:ind w:left="860" w:right="20" w:hanging="784"/>
        <w:spacing w:after="0" w:line="250" w:lineRule="auto"/>
        <w:tabs>
          <w:tab w:leader="none" w:pos="8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u w:val="single" w:color="auto"/>
          <w:color w:val="auto"/>
        </w:rPr>
        <w:t>No Other Amendment</w:t>
      </w:r>
      <w:r>
        <w:rPr>
          <w:rFonts w:ascii="Arial" w:cs="Arial" w:eastAsia="Arial" w:hAnsi="Arial"/>
          <w:sz w:val="22"/>
          <w:szCs w:val="22"/>
          <w:color w:val="auto"/>
        </w:rPr>
        <w:t>. Except for the matters expressly set forth in this Amendment, all other terms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Notes are hereby ratified and shall remain unchanged and in full force and effect.</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Fees</w:t>
      </w:r>
      <w:r>
        <w:rPr>
          <w:rFonts w:ascii="Arial" w:cs="Arial" w:eastAsia="Arial" w:hAnsi="Arial"/>
          <w:sz w:val="22"/>
          <w:szCs w:val="22"/>
          <w:color w:val="auto"/>
        </w:rPr>
        <w:t>. Within three (3) days of the date hereof, the Company shall pay for the reasonable and documented out-of-pocket legal fees and expenses actually incurred by either Holder in connection with this amendment (and the enforcement thereof by either Holder), including, without limitation, all actual, reasonable and documented legal fees and disbursements of Latham &amp; Watkins LLP.</w:t>
      </w:r>
    </w:p>
    <w:p>
      <w:pPr>
        <w:spacing w:after="0" w:line="18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two or more identical counterparts, all of which shall be considered one and the same agreement and shall become effective when counterparts have been signed by each party and delivered to the other party.</w:t>
      </w:r>
    </w:p>
    <w:p>
      <w:pPr>
        <w:spacing w:after="0" w:line="186"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1"/>
          <w:szCs w:val="21"/>
          <w:color w:val="auto"/>
        </w:rPr>
        <w:t xml:space="preserve">3.9. </w:t>
      </w:r>
      <w:r>
        <w:rPr>
          <w:rFonts w:ascii="Arial" w:cs="Arial" w:eastAsia="Arial" w:hAnsi="Arial"/>
          <w:sz w:val="21"/>
          <w:szCs w:val="21"/>
          <w:u w:val="single" w:color="auto"/>
          <w:color w:val="auto"/>
        </w:rPr>
        <w:t>Electronic and Facsimile Signatures</w:t>
      </w:r>
      <w:r>
        <w:rPr>
          <w:rFonts w:ascii="Arial" w:cs="Arial" w:eastAsia="Arial" w:hAnsi="Arial"/>
          <w:sz w:val="21"/>
          <w:szCs w:val="21"/>
          <w:color w:val="auto"/>
        </w:rPr>
        <w:t>.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2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ind w:firstLine="864"/>
        <w:spacing w:after="0" w:line="250" w:lineRule="auto"/>
        <w:rPr>
          <w:sz w:val="20"/>
          <w:szCs w:val="20"/>
          <w:color w:val="auto"/>
        </w:rPr>
      </w:pPr>
      <w:r>
        <w:rPr>
          <w:rFonts w:ascii="Arial" w:cs="Arial" w:eastAsia="Arial" w:hAnsi="Arial"/>
          <w:sz w:val="22"/>
          <w:szCs w:val="22"/>
          <w:color w:val="auto"/>
        </w:rPr>
        <w:t>The parties hereto have executed this Omnibus First Amendment to Senior Secured Notes due 2024 as of the date first written above.</w:t>
      </w:r>
    </w:p>
    <w:p>
      <w:pPr>
        <w:spacing w:after="0" w:line="385"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COMPANY:</w:t>
      </w: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ATERIAN, INC.</w:t>
      </w:r>
    </w:p>
    <w:p>
      <w:pPr>
        <w:spacing w:after="0" w:line="399" w:lineRule="exact"/>
        <w:rPr>
          <w:sz w:val="20"/>
          <w:szCs w:val="20"/>
          <w:color w:val="auto"/>
        </w:rPr>
      </w:pPr>
    </w:p>
    <w:tbl>
      <w:tblPr>
        <w:tblLayout w:type="fixed"/>
        <w:tblInd w:w="4760" w:type="dxa"/>
        <w:tblCellMar>
          <w:top w:w="0" w:type="dxa"/>
          <w:left w:w="0" w:type="dxa"/>
          <w:bottom w:w="0" w:type="dxa"/>
          <w:right w:w="0" w:type="dxa"/>
        </w:tblCellMar>
      </w:tblPr>
      <w:tr>
        <w:trPr>
          <w:trHeight w:val="253"/>
        </w:trPr>
        <w:tc>
          <w:tcPr>
            <w:tcW w:w="4360" w:type="dxa"/>
            <w:vAlign w:val="bottom"/>
            <w:gridSpan w:val="2"/>
          </w:tcPr>
          <w:p>
            <w:pPr>
              <w:spacing w:after="0"/>
              <w:rPr>
                <w:sz w:val="20"/>
                <w:szCs w:val="20"/>
                <w:color w:val="auto"/>
              </w:rPr>
            </w:pPr>
            <w:r>
              <w:rPr>
                <w:rFonts w:ascii="Arial" w:cs="Arial" w:eastAsia="Arial" w:hAnsi="Arial"/>
                <w:sz w:val="22"/>
                <w:szCs w:val="22"/>
                <w:color w:val="auto"/>
              </w:rPr>
              <w:t>By:</w:t>
            </w:r>
          </w:p>
        </w:tc>
        <w:tc>
          <w:tcPr>
            <w:tcW w:w="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1"/>
              </w:rPr>
              <w:t>/s/ Arturo</w:t>
            </w:r>
          </w:p>
        </w:tc>
      </w:tr>
      <w:tr>
        <w:trPr>
          <w:trHeight w:val="223"/>
        </w:trPr>
        <w:tc>
          <w:tcPr>
            <w:tcW w:w="90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7"/>
              </w:rPr>
              <w:t>Rodriguez</w:t>
            </w:r>
          </w:p>
        </w:tc>
        <w:tc>
          <w:tcPr>
            <w:tcW w:w="34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6" w:lineRule="exact"/>
        <w:rPr>
          <w:sz w:val="20"/>
          <w:szCs w:val="20"/>
          <w:color w:val="auto"/>
        </w:rPr>
      </w:pPr>
    </w:p>
    <w:p>
      <w:pPr>
        <w:ind w:left="7880"/>
        <w:spacing w:after="0"/>
        <w:rPr>
          <w:sz w:val="20"/>
          <w:szCs w:val="20"/>
          <w:color w:val="auto"/>
        </w:rPr>
      </w:pPr>
      <w:r>
        <w:rPr>
          <w:rFonts w:ascii="Arial" w:cs="Arial" w:eastAsia="Arial" w:hAnsi="Arial"/>
          <w:sz w:val="22"/>
          <w:szCs w:val="22"/>
          <w:color w:val="auto"/>
        </w:rPr>
        <w:t>Name: Arturo Rodriguez</w:t>
      </w:r>
    </w:p>
    <w:p>
      <w:pPr>
        <w:spacing w:after="0" w:line="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O</w:t>
      </w:r>
      <w:r>
        <w:rPr>
          <w:rFonts w:ascii="Arial" w:cs="Arial" w:eastAsia="Arial" w:hAnsi="Arial"/>
          <w:sz w:val="9"/>
          <w:szCs w:val="9"/>
          <w:color w:val="auto"/>
        </w:rPr>
        <w:t>MNIBUS</w:t>
      </w:r>
      <w:r>
        <w:rPr>
          <w:rFonts w:ascii="Arial" w:cs="Arial" w:eastAsia="Arial" w:hAnsi="Arial"/>
          <w:sz w:val="14"/>
          <w:szCs w:val="14"/>
          <w:color w:val="auto"/>
        </w:rPr>
        <w:t xml:space="preserve"> 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S</w:t>
      </w:r>
      <w:r>
        <w:rPr>
          <w:rFonts w:ascii="Arial" w:cs="Arial" w:eastAsia="Arial" w:hAnsi="Arial"/>
          <w:sz w:val="9"/>
          <w:szCs w:val="9"/>
          <w:color w:val="auto"/>
        </w:rPr>
        <w:t>ENIOR</w:t>
      </w:r>
      <w:r>
        <w:rPr>
          <w:rFonts w:ascii="Arial" w:cs="Arial" w:eastAsia="Arial" w:hAnsi="Arial"/>
          <w:sz w:val="14"/>
          <w:szCs w:val="14"/>
          <w:color w:val="auto"/>
        </w:rPr>
        <w:t xml:space="preserve"> S</w:t>
      </w:r>
      <w:r>
        <w:rPr>
          <w:rFonts w:ascii="Arial" w:cs="Arial" w:eastAsia="Arial" w:hAnsi="Arial"/>
          <w:sz w:val="9"/>
          <w:szCs w:val="9"/>
          <w:color w:val="auto"/>
        </w:rPr>
        <w:t>ECURED</w:t>
      </w:r>
      <w:r>
        <w:rPr>
          <w:rFonts w:ascii="Arial" w:cs="Arial" w:eastAsia="Arial" w:hAnsi="Arial"/>
          <w:sz w:val="14"/>
          <w:szCs w:val="14"/>
          <w:color w:val="auto"/>
        </w:rPr>
        <w:t xml:space="preserve"> N</w:t>
      </w:r>
      <w:r>
        <w:rPr>
          <w:rFonts w:ascii="Arial" w:cs="Arial" w:eastAsia="Arial" w:hAnsi="Arial"/>
          <w:sz w:val="9"/>
          <w:szCs w:val="9"/>
          <w:color w:val="auto"/>
        </w:rPr>
        <w:t>OTES DUE</w:t>
      </w:r>
      <w:r>
        <w:rPr>
          <w:rFonts w:ascii="Arial" w:cs="Arial" w:eastAsia="Arial" w:hAnsi="Arial"/>
          <w:sz w:val="14"/>
          <w:szCs w:val="14"/>
          <w:color w:val="auto"/>
        </w:rPr>
        <w:t xml:space="preserv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4" w:name="page75"/>
    <w:bookmarkEnd w:id="74"/>
    <w:p>
      <w:pPr>
        <w:spacing w:after="0" w:line="250" w:lineRule="auto"/>
        <w:rPr>
          <w:sz w:val="20"/>
          <w:szCs w:val="20"/>
          <w:color w:val="auto"/>
        </w:rPr>
      </w:pPr>
      <w:r>
        <w:rPr>
          <w:rFonts w:ascii="Arial" w:cs="Arial" w:eastAsia="Arial" w:hAnsi="Arial"/>
          <w:sz w:val="22"/>
          <w:szCs w:val="22"/>
          <w:color w:val="auto"/>
        </w:rPr>
        <w:t>The parties hereto have executed this Omnibus First Amendment to Senior Secured Notes due 2024 as of the date first written above.</w:t>
      </w:r>
    </w:p>
    <w:p>
      <w:pPr>
        <w:spacing w:after="0" w:line="385"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REQUIRED HOLDERS:</w:t>
      </w:r>
    </w:p>
    <w:p>
      <w:pPr>
        <w:spacing w:after="0" w:line="233"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HIGH TRAIL INVESTMENTS ON LLC</w:t>
      </w:r>
    </w:p>
    <w:p>
      <w:pPr>
        <w:spacing w:after="0" w:line="399" w:lineRule="exact"/>
        <w:rPr>
          <w:sz w:val="20"/>
          <w:szCs w:val="20"/>
          <w:color w:val="auto"/>
        </w:rPr>
      </w:pPr>
    </w:p>
    <w:tbl>
      <w:tblPr>
        <w:tblLayout w:type="fixed"/>
        <w:tblInd w:w="4760" w:type="dxa"/>
        <w:tblCellMar>
          <w:top w:w="0" w:type="dxa"/>
          <w:left w:w="0" w:type="dxa"/>
          <w:bottom w:w="0" w:type="dxa"/>
          <w:right w:w="0" w:type="dxa"/>
        </w:tblCellMar>
      </w:tblPr>
      <w:tr>
        <w:trPr>
          <w:trHeight w:val="253"/>
        </w:trPr>
        <w:tc>
          <w:tcPr>
            <w:tcW w:w="3080" w:type="dxa"/>
            <w:vAlign w:val="bottom"/>
            <w:gridSpan w:val="2"/>
          </w:tcPr>
          <w:p>
            <w:pPr>
              <w:spacing w:after="0"/>
              <w:rPr>
                <w:sz w:val="20"/>
                <w:szCs w:val="20"/>
                <w:color w:val="auto"/>
              </w:rPr>
            </w:pPr>
            <w:r>
              <w:rPr>
                <w:rFonts w:ascii="Arial" w:cs="Arial" w:eastAsia="Arial" w:hAnsi="Arial"/>
                <w:sz w:val="22"/>
                <w:szCs w:val="22"/>
                <w:color w:val="auto"/>
              </w:rPr>
              <w:t>By:</w:t>
            </w:r>
          </w:p>
        </w:tc>
        <w:tc>
          <w:tcPr>
            <w:tcW w:w="1280" w:type="dxa"/>
            <w:vAlign w:val="bottom"/>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Eric</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Helenek</w:t>
            </w:r>
          </w:p>
        </w:tc>
        <w:tc>
          <w:tcPr>
            <w:tcW w:w="2360" w:type="dxa"/>
            <w:vAlign w:val="bottom"/>
          </w:tcPr>
          <w:p>
            <w:pPr>
              <w:spacing w:after="0"/>
              <w:rPr>
                <w:sz w:val="19"/>
                <w:szCs w:val="19"/>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22"/>
                <w:szCs w:val="22"/>
                <w:color w:val="auto"/>
                <w:w w:val="94"/>
              </w:rPr>
              <w:t>Name: Eric Helenek</w:t>
            </w:r>
          </w:p>
        </w:tc>
        <w:tc>
          <w:tcPr>
            <w:tcW w:w="0" w:type="dxa"/>
            <w:vAlign w:val="bottom"/>
          </w:tcPr>
          <w:p>
            <w:pPr>
              <w:spacing w:after="0"/>
              <w:rPr>
                <w:sz w:val="1"/>
                <w:szCs w:val="1"/>
                <w:color w:val="auto"/>
              </w:rPr>
            </w:pPr>
          </w:p>
        </w:tc>
      </w:tr>
      <w:tr>
        <w:trPr>
          <w:trHeight w:val="273"/>
        </w:trPr>
        <w:tc>
          <w:tcPr>
            <w:tcW w:w="3080" w:type="dxa"/>
            <w:vAlign w:val="bottom"/>
            <w:gridSpan w:val="2"/>
            <w:vMerge w:val="restart"/>
          </w:tcPr>
          <w:p>
            <w:pPr>
              <w:ind w:left="640"/>
              <w:spacing w:after="0"/>
              <w:rPr>
                <w:sz w:val="20"/>
                <w:szCs w:val="20"/>
                <w:color w:val="auto"/>
              </w:rPr>
            </w:pPr>
            <w:r>
              <w:rPr>
                <w:rFonts w:ascii="Arial" w:cs="Arial" w:eastAsia="Arial" w:hAnsi="Arial"/>
                <w:sz w:val="22"/>
                <w:szCs w:val="22"/>
                <w:color w:val="auto"/>
                <w:w w:val="93"/>
              </w:rPr>
              <w:t>Title: Authorized Signatory</w:t>
            </w:r>
          </w:p>
        </w:tc>
        <w:tc>
          <w:tcPr>
            <w:tcW w:w="19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980" w:type="dxa"/>
            <w:vAlign w:val="bottom"/>
            <w:gridSpan w:val="4"/>
          </w:tcPr>
          <w:p>
            <w:pPr>
              <w:spacing w:after="0"/>
              <w:rPr>
                <w:sz w:val="20"/>
                <w:szCs w:val="20"/>
                <w:color w:val="auto"/>
              </w:rPr>
            </w:pPr>
            <w:r>
              <w:rPr>
                <w:rFonts w:ascii="Arial" w:cs="Arial" w:eastAsia="Arial" w:hAnsi="Arial"/>
                <w:sz w:val="22"/>
                <w:szCs w:val="22"/>
                <w:b w:val="1"/>
                <w:bCs w:val="1"/>
                <w:color w:val="auto"/>
              </w:rPr>
              <w:t>HIGH TRAIL INVESTMENTS SA LLC</w:t>
            </w:r>
          </w:p>
        </w:tc>
        <w:tc>
          <w:tcPr>
            <w:tcW w:w="0" w:type="dxa"/>
            <w:vAlign w:val="bottom"/>
          </w:tcPr>
          <w:p>
            <w:pPr>
              <w:spacing w:after="0"/>
              <w:rPr>
                <w:sz w:val="1"/>
                <w:szCs w:val="1"/>
                <w:color w:val="auto"/>
              </w:rPr>
            </w:pPr>
          </w:p>
        </w:tc>
      </w:tr>
      <w:tr>
        <w:trPr>
          <w:trHeight w:val="625"/>
        </w:trPr>
        <w:tc>
          <w:tcPr>
            <w:tcW w:w="3080" w:type="dxa"/>
            <w:vAlign w:val="bottom"/>
            <w:gridSpan w:val="2"/>
          </w:tcPr>
          <w:p>
            <w:pPr>
              <w:spacing w:after="0"/>
              <w:rPr>
                <w:sz w:val="20"/>
                <w:szCs w:val="20"/>
                <w:color w:val="auto"/>
              </w:rPr>
            </w:pPr>
            <w:r>
              <w:rPr>
                <w:rFonts w:ascii="Arial" w:cs="Arial" w:eastAsia="Arial" w:hAnsi="Arial"/>
                <w:sz w:val="22"/>
                <w:szCs w:val="22"/>
                <w:color w:val="auto"/>
              </w:rPr>
              <w:t>By:</w:t>
            </w:r>
          </w:p>
        </w:tc>
        <w:tc>
          <w:tcPr>
            <w:tcW w:w="12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Eric</w:t>
            </w:r>
          </w:p>
        </w:tc>
        <w:tc>
          <w:tcPr>
            <w:tcW w:w="0" w:type="dxa"/>
            <w:vAlign w:val="bottom"/>
          </w:tcPr>
          <w:p>
            <w:pPr>
              <w:spacing w:after="0"/>
              <w:rPr>
                <w:sz w:val="1"/>
                <w:szCs w:val="1"/>
                <w:color w:val="auto"/>
              </w:rPr>
            </w:pPr>
          </w:p>
        </w:tc>
      </w:tr>
      <w:tr>
        <w:trPr>
          <w:trHeight w:val="223"/>
        </w:trPr>
        <w:tc>
          <w:tcPr>
            <w:tcW w:w="720" w:type="dxa"/>
            <w:vAlign w:val="bottom"/>
            <w:tcBorders>
              <w:bottom w:val="single" w:sz="8" w:color="auto"/>
            </w:tcBorders>
          </w:tcPr>
          <w:p>
            <w:pPr>
              <w:spacing w:after="0" w:line="223" w:lineRule="exact"/>
              <w:rPr>
                <w:sz w:val="20"/>
                <w:szCs w:val="20"/>
                <w:color w:val="auto"/>
              </w:rPr>
            </w:pPr>
            <w:r>
              <w:rPr>
                <w:rFonts w:ascii="Arial" w:cs="Arial" w:eastAsia="Arial" w:hAnsi="Arial"/>
                <w:sz w:val="22"/>
                <w:szCs w:val="22"/>
                <w:color w:val="auto"/>
                <w:w w:val="86"/>
              </w:rPr>
              <w:t>Helenek</w:t>
            </w:r>
          </w:p>
        </w:tc>
        <w:tc>
          <w:tcPr>
            <w:tcW w:w="2360" w:type="dxa"/>
            <w:vAlign w:val="bottom"/>
          </w:tcPr>
          <w:p>
            <w:pPr>
              <w:spacing w:after="0"/>
              <w:rPr>
                <w:sz w:val="19"/>
                <w:szCs w:val="19"/>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22"/>
                <w:szCs w:val="22"/>
                <w:color w:val="auto"/>
                <w:w w:val="94"/>
              </w:rPr>
              <w:t>Name: Eric Helenek</w:t>
            </w:r>
          </w:p>
        </w:tc>
        <w:tc>
          <w:tcPr>
            <w:tcW w:w="0" w:type="dxa"/>
            <w:vAlign w:val="bottom"/>
          </w:tcPr>
          <w:p>
            <w:pPr>
              <w:spacing w:after="0"/>
              <w:rPr>
                <w:sz w:val="1"/>
                <w:szCs w:val="1"/>
                <w:color w:val="auto"/>
              </w:rPr>
            </w:pPr>
          </w:p>
        </w:tc>
      </w:tr>
      <w:tr>
        <w:trPr>
          <w:trHeight w:val="273"/>
        </w:trPr>
        <w:tc>
          <w:tcPr>
            <w:tcW w:w="3080" w:type="dxa"/>
            <w:vAlign w:val="bottom"/>
            <w:gridSpan w:val="2"/>
            <w:vMerge w:val="restart"/>
          </w:tcPr>
          <w:p>
            <w:pPr>
              <w:ind w:left="640"/>
              <w:spacing w:after="0"/>
              <w:rPr>
                <w:sz w:val="20"/>
                <w:szCs w:val="20"/>
                <w:color w:val="auto"/>
              </w:rPr>
            </w:pPr>
            <w:r>
              <w:rPr>
                <w:rFonts w:ascii="Arial" w:cs="Arial" w:eastAsia="Arial" w:hAnsi="Arial"/>
                <w:sz w:val="22"/>
                <w:szCs w:val="22"/>
                <w:color w:val="auto"/>
                <w:w w:val="93"/>
              </w:rPr>
              <w:t>Title: Authorized Signatory</w:t>
            </w:r>
          </w:p>
        </w:tc>
        <w:tc>
          <w:tcPr>
            <w:tcW w:w="19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IGNATURE</w:t>
      </w:r>
      <w:r>
        <w:rPr>
          <w:rFonts w:ascii="Arial" w:cs="Arial" w:eastAsia="Arial" w:hAnsi="Arial"/>
          <w:sz w:val="14"/>
          <w:szCs w:val="14"/>
          <w:color w:val="auto"/>
        </w:rPr>
        <w:t xml:space="preserve"> P</w:t>
      </w:r>
      <w:r>
        <w:rPr>
          <w:rFonts w:ascii="Arial" w:cs="Arial" w:eastAsia="Arial" w:hAnsi="Arial"/>
          <w:sz w:val="9"/>
          <w:szCs w:val="9"/>
          <w:color w:val="auto"/>
        </w:rPr>
        <w:t>AGE TO</w:t>
      </w:r>
      <w:r>
        <w:rPr>
          <w:rFonts w:ascii="Arial" w:cs="Arial" w:eastAsia="Arial" w:hAnsi="Arial"/>
          <w:sz w:val="14"/>
          <w:szCs w:val="14"/>
          <w:color w:val="auto"/>
        </w:rPr>
        <w:t xml:space="preserve"> O</w:t>
      </w:r>
      <w:r>
        <w:rPr>
          <w:rFonts w:ascii="Arial" w:cs="Arial" w:eastAsia="Arial" w:hAnsi="Arial"/>
          <w:sz w:val="9"/>
          <w:szCs w:val="9"/>
          <w:color w:val="auto"/>
        </w:rPr>
        <w:t>MNIBUS</w:t>
      </w:r>
      <w:r>
        <w:rPr>
          <w:rFonts w:ascii="Arial" w:cs="Arial" w:eastAsia="Arial" w:hAnsi="Arial"/>
          <w:sz w:val="14"/>
          <w:szCs w:val="14"/>
          <w:color w:val="auto"/>
        </w:rPr>
        <w:t xml:space="preserve"> F</w:t>
      </w:r>
      <w:r>
        <w:rPr>
          <w:rFonts w:ascii="Arial" w:cs="Arial" w:eastAsia="Arial" w:hAnsi="Arial"/>
          <w:sz w:val="9"/>
          <w:szCs w:val="9"/>
          <w:color w:val="auto"/>
        </w:rPr>
        <w:t>IRST</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S</w:t>
      </w:r>
      <w:r>
        <w:rPr>
          <w:rFonts w:ascii="Arial" w:cs="Arial" w:eastAsia="Arial" w:hAnsi="Arial"/>
          <w:sz w:val="9"/>
          <w:szCs w:val="9"/>
          <w:color w:val="auto"/>
        </w:rPr>
        <w:t>ENIOR</w:t>
      </w:r>
      <w:r>
        <w:rPr>
          <w:rFonts w:ascii="Arial" w:cs="Arial" w:eastAsia="Arial" w:hAnsi="Arial"/>
          <w:sz w:val="14"/>
          <w:szCs w:val="14"/>
          <w:color w:val="auto"/>
        </w:rPr>
        <w:t xml:space="preserve"> S</w:t>
      </w:r>
      <w:r>
        <w:rPr>
          <w:rFonts w:ascii="Arial" w:cs="Arial" w:eastAsia="Arial" w:hAnsi="Arial"/>
          <w:sz w:val="9"/>
          <w:szCs w:val="9"/>
          <w:color w:val="auto"/>
        </w:rPr>
        <w:t>ECURED</w:t>
      </w:r>
      <w:r>
        <w:rPr>
          <w:rFonts w:ascii="Arial" w:cs="Arial" w:eastAsia="Arial" w:hAnsi="Arial"/>
          <w:sz w:val="14"/>
          <w:szCs w:val="14"/>
          <w:color w:val="auto"/>
        </w:rPr>
        <w:t xml:space="preserve"> N</w:t>
      </w:r>
      <w:r>
        <w:rPr>
          <w:rFonts w:ascii="Arial" w:cs="Arial" w:eastAsia="Arial" w:hAnsi="Arial"/>
          <w:sz w:val="9"/>
          <w:szCs w:val="9"/>
          <w:color w:val="auto"/>
        </w:rPr>
        <w:t>OTES DUE</w:t>
      </w:r>
      <w:r>
        <w:rPr>
          <w:rFonts w:ascii="Arial" w:cs="Arial" w:eastAsia="Arial" w:hAnsi="Arial"/>
          <w:sz w:val="14"/>
          <w:szCs w:val="14"/>
          <w:color w:val="auto"/>
        </w:rPr>
        <w:t xml:space="preserve"> 2024]</w:t>
      </w:r>
    </w:p>
    <w:p>
      <w:pPr>
        <w:sectPr>
          <w:pgSz w:w="11900" w:h="16838" w:orient="portrait"/>
          <w:cols w:equalWidth="0" w:num="1">
            <w:col w:w="11240"/>
          </w:cols>
          <w:pgMar w:left="320" w:top="33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b w:val="1"/>
          <w:bCs w:val="1"/>
          <w:color w:val="auto"/>
        </w:rPr>
        <w:t>Exhibit 10.14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LOCK-UP AGREEMENT</w:t>
      </w:r>
    </w:p>
    <w:p>
      <w:pPr>
        <w:spacing w:after="0" w:line="32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OCK</w:t>
      </w:r>
      <w:r>
        <w:rPr>
          <w:rFonts w:ascii="Arial" w:cs="Arial" w:eastAsia="Arial" w:hAnsi="Arial"/>
          <w:sz w:val="20"/>
          <w:szCs w:val="20"/>
          <w:b w:val="1"/>
          <w:bCs w:val="1"/>
          <w:color w:val="auto"/>
        </w:rPr>
        <w:t>-U</w:t>
      </w:r>
      <w:r>
        <w:rPr>
          <w:rFonts w:ascii="Arial" w:cs="Arial" w:eastAsia="Arial" w:hAnsi="Arial"/>
          <w:sz w:val="13"/>
          <w:szCs w:val="13"/>
          <w:b w:val="1"/>
          <w:bCs w:val="1"/>
          <w:color w:val="auto"/>
        </w:rPr>
        <w:t>P</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amended, restated, supplemented or otherwise modified in accordance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10.3</w:t>
      </w:r>
      <w:r>
        <w:rPr>
          <w:rFonts w:ascii="Arial" w:cs="Arial" w:eastAsia="Arial" w:hAnsi="Arial"/>
          <w:sz w:val="20"/>
          <w:szCs w:val="20"/>
          <w:color w:val="auto"/>
        </w:rPr>
        <w:t>, this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and entered into as of May 31, 2021 by and 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TERIAN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Asher Delug (the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1,251,804 shares of the Company’s common stock, $0.0001 par value per share (the “</w:t>
      </w:r>
      <w:r>
        <w:rPr>
          <w:rFonts w:ascii="Arial" w:cs="Arial" w:eastAsia="Arial" w:hAnsi="Arial"/>
          <w:sz w:val="20"/>
          <w:szCs w:val="20"/>
          <w:b w:val="1"/>
          <w:bCs w:val="1"/>
          <w:color w:val="auto"/>
        </w:rPr>
        <w:t>Common Stock</w:t>
      </w:r>
      <w:r>
        <w:rPr>
          <w:rFonts w:ascii="Arial" w:cs="Arial" w:eastAsia="Arial" w:hAnsi="Arial"/>
          <w:sz w:val="20"/>
          <w:szCs w:val="20"/>
          <w:color w:val="auto"/>
        </w:rPr>
        <w:t>”) that are owned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Stockholder are collectively referred to herein as the “</w:t>
      </w:r>
      <w:r>
        <w:rPr>
          <w:rFonts w:ascii="Arial" w:cs="Arial" w:eastAsia="Arial" w:hAnsi="Arial"/>
          <w:sz w:val="20"/>
          <w:szCs w:val="20"/>
          <w:b w:val="1"/>
          <w:bCs w:val="1"/>
          <w:color w:val="auto"/>
        </w:rPr>
        <w:t>Existing Securities</w:t>
      </w:r>
      <w:r>
        <w:rPr>
          <w:rFonts w:ascii="Arial" w:cs="Arial" w:eastAsia="Arial" w:hAnsi="Arial"/>
          <w:sz w:val="20"/>
          <w:szCs w:val="20"/>
          <w:color w:val="auto"/>
        </w:rPr>
        <w:t>”; and</w:t>
      </w:r>
    </w:p>
    <w:p>
      <w:pPr>
        <w:spacing w:after="0" w:line="177"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has requested that the Stockholder enter into this Agreement, and the Stockholder desires to enter into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77"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color w:val="auto"/>
        </w:rPr>
        <w: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foregoing premises and the mutual covenants and agreements set forth herein,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and sufficiency of which are hereby acknowledged, the parties hereto agree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800" w:hanging="792"/>
        <w:spacing w:after="0"/>
        <w:tabs>
          <w:tab w:leader="none" w:pos="8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Defined Terms</w:t>
      </w:r>
      <w:r>
        <w:rPr>
          <w:rFonts w:ascii="Arial" w:cs="Arial" w:eastAsia="Arial" w:hAnsi="Arial"/>
          <w:sz w:val="18"/>
          <w:szCs w:val="18"/>
          <w:color w:val="auto"/>
        </w:rPr>
        <w:t>. As used in this Agreement, the following terms shall have the following meanings:</w:t>
      </w:r>
    </w:p>
    <w:p>
      <w:pPr>
        <w:spacing w:after="0" w:line="216" w:lineRule="exact"/>
        <w:rPr>
          <w:sz w:val="20"/>
          <w:szCs w:val="20"/>
          <w:color w:val="auto"/>
        </w:rPr>
      </w:pPr>
    </w:p>
    <w:p>
      <w:pPr>
        <w:ind w:firstLine="8"/>
        <w:spacing w:after="0" w:line="267" w:lineRule="auto"/>
        <w:tabs>
          <w:tab w:leader="none" w:pos="879"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and “</w:t>
      </w:r>
      <w:r>
        <w:rPr>
          <w:rFonts w:ascii="Arial" w:cs="Arial" w:eastAsia="Arial" w:hAnsi="Arial"/>
          <w:sz w:val="20"/>
          <w:szCs w:val="20"/>
          <w:b w:val="1"/>
          <w:bCs w:val="1"/>
          <w:color w:val="auto"/>
        </w:rPr>
        <w:t>Associate</w:t>
      </w:r>
      <w:r>
        <w:rPr>
          <w:rFonts w:ascii="Arial" w:cs="Arial" w:eastAsia="Arial" w:hAnsi="Arial"/>
          <w:sz w:val="20"/>
          <w:szCs w:val="20"/>
          <w:color w:val="auto"/>
        </w:rPr>
        <w:t>” shall have the respective meanings ascribed to such terms in Rule 12b-2 of the General Rules and Regulations under the Exchange Act.</w:t>
      </w:r>
    </w:p>
    <w:p>
      <w:pPr>
        <w:spacing w:after="0" w:line="163" w:lineRule="exact"/>
        <w:rPr>
          <w:rFonts w:ascii="Arial" w:cs="Arial" w:eastAsia="Arial" w:hAnsi="Arial"/>
          <w:sz w:val="20"/>
          <w:szCs w:val="20"/>
          <w:b w:val="1"/>
          <w:bCs w:val="1"/>
          <w:color w:val="auto"/>
        </w:rPr>
      </w:pPr>
    </w:p>
    <w:p>
      <w:pPr>
        <w:jc w:val="both"/>
        <w:ind w:firstLine="8"/>
        <w:spacing w:after="0" w:line="253" w:lineRule="auto"/>
        <w:tabs>
          <w:tab w:leader="none" w:pos="890" w:val="left"/>
        </w:tabs>
        <w:numPr>
          <w:ilvl w:val="0"/>
          <w:numId w:val="35"/>
        </w:numPr>
        <w:rPr>
          <w:rFonts w:ascii="Arial" w:cs="Arial" w:eastAsia="Arial" w:hAnsi="Arial"/>
          <w:sz w:val="20"/>
          <w:szCs w:val="20"/>
          <w:b w:val="1"/>
          <w:bCs w:val="1"/>
          <w:color w:val="auto"/>
        </w:rPr>
      </w:pPr>
      <w:r>
        <w:rPr>
          <w:rFonts w:ascii="Arial" w:cs="Arial" w:eastAsia="Arial" w:hAnsi="Arial"/>
          <w:sz w:val="20"/>
          <w:szCs w:val="20"/>
          <w:color w:val="auto"/>
        </w:rPr>
        <w:t>A Person shall be deemed the “</w:t>
      </w:r>
      <w:r>
        <w:rPr>
          <w:rFonts w:ascii="Arial" w:cs="Arial" w:eastAsia="Arial" w:hAnsi="Arial"/>
          <w:sz w:val="20"/>
          <w:szCs w:val="20"/>
          <w:b w:val="1"/>
          <w:bCs w:val="1"/>
          <w:color w:val="auto"/>
        </w:rPr>
        <w:t>Beneficial Owner</w:t>
      </w:r>
      <w:r>
        <w:rPr>
          <w:rFonts w:ascii="Arial" w:cs="Arial" w:eastAsia="Arial" w:hAnsi="Arial"/>
          <w:sz w:val="20"/>
          <w:szCs w:val="20"/>
          <w:color w:val="auto"/>
        </w:rPr>
        <w:t>” or to have “</w:t>
      </w:r>
      <w:r>
        <w:rPr>
          <w:rFonts w:ascii="Arial" w:cs="Arial" w:eastAsia="Arial" w:hAnsi="Arial"/>
          <w:sz w:val="20"/>
          <w:szCs w:val="20"/>
          <w:b w:val="1"/>
          <w:bCs w:val="1"/>
          <w:color w:val="auto"/>
        </w:rPr>
        <w:t>Beneficial Ownership</w:t>
      </w:r>
      <w:r>
        <w:rPr>
          <w:rFonts w:ascii="Arial" w:cs="Arial" w:eastAsia="Arial" w:hAnsi="Arial"/>
          <w:sz w:val="20"/>
          <w:szCs w:val="20"/>
          <w:color w:val="auto"/>
        </w:rPr>
        <w:t>” of and shall be deemed to “beneficially own” any securities which such Person or any of such Person’s Affiliates or Associates is deemed to beneficially own, within the meaning of Rules 13d-3 and 13d-5 of the General Rules and Regulations under the Exchange Act.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the Beneficial Owner hereunder.</w:t>
      </w:r>
    </w:p>
    <w:p>
      <w:pPr>
        <w:spacing w:after="0" w:line="185" w:lineRule="exact"/>
        <w:rPr>
          <w:sz w:val="20"/>
          <w:szCs w:val="20"/>
          <w:color w:val="auto"/>
        </w:rPr>
      </w:pPr>
    </w:p>
    <w:p>
      <w:pPr>
        <w:ind w:firstLine="8"/>
        <w:spacing w:after="0" w:line="267" w:lineRule="auto"/>
        <w:tabs>
          <w:tab w:leader="none" w:pos="868"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Saturday, Sunday or any other day on which banks in New York are required or authorized to be closed.</w:t>
      </w:r>
    </w:p>
    <w:p>
      <w:pPr>
        <w:spacing w:after="0" w:line="163" w:lineRule="exact"/>
        <w:rPr>
          <w:rFonts w:ascii="Arial" w:cs="Arial" w:eastAsia="Arial" w:hAnsi="Arial"/>
          <w:sz w:val="20"/>
          <w:szCs w:val="20"/>
          <w:b w:val="1"/>
          <w:bCs w:val="1"/>
          <w:color w:val="auto"/>
        </w:rPr>
      </w:pPr>
    </w:p>
    <w:p>
      <w:pPr>
        <w:jc w:val="both"/>
        <w:ind w:firstLine="8"/>
        <w:spacing w:after="0" w:line="294" w:lineRule="auto"/>
        <w:tabs>
          <w:tab w:leader="none" w:pos="89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tribunal, arbitrator, authority, agency, commission, bureau, board, department, official, body or other instrumentality of the United States, any foreign country, or any domestic or foreign state, province, county, city, other political subdivision or any other similar body or organization exercising governmental or quasi-governmental power or authority.</w:t>
      </w:r>
    </w:p>
    <w:p>
      <w:pPr>
        <w:spacing w:after="0" w:line="143" w:lineRule="exact"/>
        <w:rPr>
          <w:rFonts w:ascii="Arial" w:cs="Arial" w:eastAsia="Arial" w:hAnsi="Arial"/>
          <w:sz w:val="18"/>
          <w:szCs w:val="18"/>
          <w:b w:val="1"/>
          <w:bCs w:val="1"/>
          <w:color w:val="auto"/>
        </w:rPr>
      </w:pPr>
    </w:p>
    <w:p>
      <w:pPr>
        <w:jc w:val="both"/>
        <w:ind w:firstLine="8"/>
        <w:spacing w:after="0" w:line="253" w:lineRule="auto"/>
        <w:tabs>
          <w:tab w:leader="none" w:pos="868" w:val="left"/>
        </w:tabs>
        <w:numPr>
          <w:ilvl w:val="0"/>
          <w:numId w:val="36"/>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the common law of any state or other jurisdiction, or any provision of any foreign, federal, state or local law, statute, code, rule, regulation, Order, certification standard, accreditation standard, Permit, judgment, regulatory code of practice, statutory guidance, injunction, decree or other decision of any court or other tribunal or Governmental Authority.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ind w:firstLine="8"/>
        <w:spacing w:after="0" w:line="267" w:lineRule="auto"/>
        <w:tabs>
          <w:tab w:leader="none" w:pos="846"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Order</w:t>
      </w:r>
      <w:r>
        <w:rPr>
          <w:rFonts w:ascii="Arial" w:cs="Arial" w:eastAsia="Arial" w:hAnsi="Arial"/>
          <w:sz w:val="20"/>
          <w:szCs w:val="20"/>
          <w:color w:val="auto"/>
        </w:rPr>
        <w:t>” means any order, judgment, ruling, injunction, award, stipulation, assessment, decree or writ, whether preliminary or final, of any Governmental Authority.</w:t>
      </w:r>
    </w:p>
    <w:p>
      <w:pPr>
        <w:spacing w:after="0" w:line="163" w:lineRule="exact"/>
        <w:rPr>
          <w:rFonts w:ascii="Arial" w:cs="Arial" w:eastAsia="Arial" w:hAnsi="Arial"/>
          <w:sz w:val="20"/>
          <w:szCs w:val="20"/>
          <w:b w:val="1"/>
          <w:bCs w:val="1"/>
          <w:color w:val="auto"/>
        </w:rPr>
      </w:pPr>
    </w:p>
    <w:p>
      <w:pPr>
        <w:ind w:right="20" w:firstLine="8"/>
        <w:spacing w:after="0" w:line="267" w:lineRule="auto"/>
        <w:tabs>
          <w:tab w:leader="none" w:pos="879"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w:t>
      </w:r>
      <w:r>
        <w:rPr>
          <w:rFonts w:ascii="Arial" w:cs="Arial" w:eastAsia="Arial" w:hAnsi="Arial"/>
          <w:sz w:val="20"/>
          <w:szCs w:val="20"/>
          <w:color w:val="auto"/>
        </w:rPr>
        <w:t>” means permits, licenses, registrations, consents, certificates, grants, waivers, qualifications, approvals and all other authorizations by or of Governmental Authorities.</w:t>
      </w:r>
    </w:p>
    <w:p>
      <w:pPr>
        <w:spacing w:after="0" w:line="163" w:lineRule="exact"/>
        <w:rPr>
          <w:rFonts w:ascii="Arial" w:cs="Arial" w:eastAsia="Arial" w:hAnsi="Arial"/>
          <w:sz w:val="20"/>
          <w:szCs w:val="20"/>
          <w:b w:val="1"/>
          <w:bCs w:val="1"/>
          <w:color w:val="auto"/>
        </w:rPr>
      </w:pPr>
    </w:p>
    <w:p>
      <w:pPr>
        <w:ind w:firstLine="8"/>
        <w:spacing w:after="0" w:line="267" w:lineRule="auto"/>
        <w:tabs>
          <w:tab w:leader="none" w:pos="890"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sole proprietorship, partnership, limited liability company, joint venture, trust, unincorporated association, corporation, firm or other entity or any Governmental Authority.</w:t>
      </w:r>
    </w:p>
    <w:p>
      <w:pPr>
        <w:spacing w:after="0" w:line="163" w:lineRule="exact"/>
        <w:rPr>
          <w:rFonts w:ascii="Arial" w:cs="Arial" w:eastAsia="Arial" w:hAnsi="Arial"/>
          <w:sz w:val="20"/>
          <w:szCs w:val="20"/>
          <w:b w:val="1"/>
          <w:bCs w:val="1"/>
          <w:color w:val="auto"/>
        </w:rPr>
      </w:pPr>
    </w:p>
    <w:p>
      <w:pPr>
        <w:jc w:val="both"/>
        <w:ind w:firstLine="8"/>
        <w:spacing w:after="0" w:line="253" w:lineRule="auto"/>
        <w:tabs>
          <w:tab w:leader="none" w:pos="835"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 means any registration statement of the Company filed under the Securities Act of 1933, as amended, that covers the resale of any shares of Common Stock, including any and all amendments (pre- or post- effective date), supplements, exhibits and material incorporated by reference in such Registration Statement.</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1.2 Capitalized Terms</w:t>
      </w:r>
      <w:r>
        <w:rPr>
          <w:rFonts w:ascii="Arial" w:cs="Arial" w:eastAsia="Arial" w:hAnsi="Arial"/>
          <w:sz w:val="20"/>
          <w:szCs w:val="20"/>
          <w:color w:val="auto"/>
        </w:rPr>
        <w:t>. All other capitalized terms used herein but not defined shall have the meanings ascribed to such terms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Agreement.</w:t>
      </w:r>
    </w:p>
    <w:p>
      <w:pPr>
        <w:spacing w:after="0" w:line="163" w:lineRule="exact"/>
        <w:rPr>
          <w:sz w:val="20"/>
          <w:szCs w:val="20"/>
          <w:color w:val="auto"/>
        </w:rPr>
      </w:pPr>
    </w:p>
    <w:p>
      <w:pPr>
        <w:ind w:left="800" w:hanging="792"/>
        <w:spacing w:after="0"/>
        <w:tabs>
          <w:tab w:leader="none" w:pos="8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ESERVED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OCK</w:t>
      </w:r>
      <w:r>
        <w:rPr>
          <w:rFonts w:ascii="Arial" w:cs="Arial" w:eastAsia="Arial" w:hAnsi="Arial"/>
          <w:sz w:val="20"/>
          <w:szCs w:val="20"/>
          <w:b w:val="1"/>
          <w:bCs w:val="1"/>
          <w:color w:val="auto"/>
        </w:rPr>
        <w:t>-U</w:t>
      </w:r>
      <w:r>
        <w:rPr>
          <w:rFonts w:ascii="Arial" w:cs="Arial" w:eastAsia="Arial" w:hAnsi="Arial"/>
          <w:sz w:val="13"/>
          <w:szCs w:val="13"/>
          <w:b w:val="1"/>
          <w:bCs w:val="1"/>
          <w:color w:val="auto"/>
        </w:rPr>
        <w:t>P</w:t>
      </w:r>
      <w:r>
        <w:rPr>
          <w:rFonts w:ascii="Arial" w:cs="Arial" w:eastAsia="Arial" w:hAnsi="Arial"/>
          <w:sz w:val="20"/>
          <w:szCs w:val="20"/>
          <w:color w:val="auto"/>
        </w:rPr>
        <w:t>.</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Stockholder hereby agrees that, in exchange for the payment of $500.00 from the Company, the receipt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by the Stockholder, the Stockholder shall not, and shall not authorize, permit or direct any Affiliate or Associate to, directly or indirectly, (a) sell, pledge, assign, transfer, hypothecate or otherwise dispose of (each a “</w:t>
      </w:r>
      <w:r>
        <w:rPr>
          <w:rFonts w:ascii="Arial" w:cs="Arial" w:eastAsia="Arial" w:hAnsi="Arial"/>
          <w:sz w:val="18"/>
          <w:szCs w:val="18"/>
          <w:b w:val="1"/>
          <w:bCs w:val="1"/>
          <w:color w:val="auto"/>
        </w:rPr>
        <w:t>Transfer</w:t>
      </w:r>
      <w:r>
        <w:rPr>
          <w:rFonts w:ascii="Arial" w:cs="Arial" w:eastAsia="Arial" w:hAnsi="Arial"/>
          <w:sz w:val="18"/>
          <w:szCs w:val="18"/>
          <w:color w:val="auto"/>
        </w:rPr>
        <w:t>”) any Subject Securities, (b) enter into any swap, hedge, or other agreement or arrangement that transfers to another, in whole or in part, any of the economic consequences of ownership of any Common Stock Beneficially Owned by the Stockholder and its Affiliates and Associates, whether any such transaction is to be settled by delivery of Common Stock or such other securities, in cash or otherwise; (c) engage in any short-selling of any Common Stock Beneficially Owned by Stockholder and its Affiliates and Associates; or (d) publicly announce any intention to do any of the foregoing, in each case at any time during the period commencing on the date hereof and ending on December 1, 2021. For purposes of this Agreement, the term “</w:t>
      </w:r>
      <w:r>
        <w:rPr>
          <w:rFonts w:ascii="Arial" w:cs="Arial" w:eastAsia="Arial" w:hAnsi="Arial"/>
          <w:sz w:val="18"/>
          <w:szCs w:val="18"/>
          <w:b w:val="1"/>
          <w:bCs w:val="1"/>
          <w:color w:val="auto"/>
        </w:rPr>
        <w:t>Subject Securities</w:t>
      </w:r>
      <w:r>
        <w:rPr>
          <w:rFonts w:ascii="Arial" w:cs="Arial" w:eastAsia="Arial" w:hAnsi="Arial"/>
          <w:sz w:val="18"/>
          <w:szCs w:val="18"/>
          <w:color w:val="auto"/>
        </w:rPr>
        <w:t>” means the Existing Securities, including any equity securities issued or issuable directly or indirectly with respect to such Existing Securities by way of any stock dividend or stock split or in connection with a combination of shares, recapitalization, reclassification, merger, amalgamation, arrangement, consolidation or other reorganization.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Notwithstanding anything to the contrary in this Agreement, Stockholder may Transfer shares of Common Stock or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convertible into or exchangeable or exercisable for Common Stock: (a) as a bona fide gift or gifts; (b) by will or intestacy; (c) to any trust, partnership or limited liability company for the direct or indirect benefit of the Stockholder’s equityholders or the immediate family of the Stockholder’s equityholders; (d) to a member of the Stockholder’s equityholders’ immediate family, (e) if such Transfer occurs by operation of law; or (f) to a nominee or custodian of the Stockholder’s equityholder or a person or entity to whom a Transfer would be permissible under clauses (a) through (f)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 in case of any such Transfer, it shall be a condition to the Transfer that such donee or transferee execute an agreement stating that such donee or transferee is receiving and holding the Common Stock subject to the lock-up provisions contained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(ii) any such Transfer shall not involve a disposition for value, and (iii) the Company shall not have any obligation to file, amend or update any resale prospectus or prospectus supplement that includes the Subject Securities for purposes of reflecting such Transfer.</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3.3 </w:t>
      </w:r>
      <w:r>
        <w:rPr>
          <w:rFonts w:ascii="Arial" w:cs="Arial" w:eastAsia="Arial" w:hAnsi="Arial"/>
          <w:sz w:val="20"/>
          <w:szCs w:val="20"/>
          <w:color w:val="auto"/>
        </w:rPr>
        <w:t>Failure by Stockholder to provide the Company with reasonable evidence of compliance with the lock-up provisions contained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of this Agreement within two Business Days of any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7" w:name="page78"/>
    <w:bookmarkEnd w:id="77"/>
    <w:p>
      <w:pPr>
        <w:jc w:val="both"/>
        <w:spacing w:after="0" w:line="282" w:lineRule="auto"/>
        <w:rPr>
          <w:sz w:val="20"/>
          <w:szCs w:val="20"/>
          <w:color w:val="auto"/>
        </w:rPr>
      </w:pPr>
      <w:r>
        <w:rPr>
          <w:rFonts w:ascii="Arial" w:cs="Arial" w:eastAsia="Arial" w:hAnsi="Arial"/>
          <w:sz w:val="18"/>
          <w:szCs w:val="18"/>
          <w:color w:val="auto"/>
        </w:rPr>
        <w:t>request by the Company therefor may result in the withdrawal of any legal opinion rendered by the Company’s legal counsel respecting the lawful sale of the Subject Securities, and if any of the Subject Securities then being sold by any Stockholder are being sold in reliance on a Registration Statement, at the option of the Company, such shares of Common Stock may be withdrawn from the Registration Statement. In any such event, “stop transfer” instructions shall be provided to the Company’s transfer agent regarding the Subject Securities.</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color w:val="auto"/>
        </w:rPr>
        <w:t>Notwithstanding anything to the contrary set forth herein, the Company may, in its sole discretion and in good faith,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and from time to time waive any of the conditions or restrictions contained herein to increase the liquidity of Common Stock or if such waiver would otherwise be in the best interests of the development of the public trading market for the Common Stock.</w:t>
      </w:r>
    </w:p>
    <w:p>
      <w:pPr>
        <w:spacing w:after="0" w:line="162" w:lineRule="exact"/>
        <w:rPr>
          <w:sz w:val="20"/>
          <w:szCs w:val="20"/>
          <w:color w:val="auto"/>
        </w:rPr>
      </w:pPr>
    </w:p>
    <w:p>
      <w:pPr>
        <w:ind w:left="800" w:hanging="792"/>
        <w:spacing w:after="0"/>
        <w:tabs>
          <w:tab w:leader="none" w:pos="80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ESERVED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ESERVED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w:t>
      </w:r>
      <w:r>
        <w:rPr>
          <w:rFonts w:ascii="Arial" w:cs="Arial" w:eastAsia="Arial" w:hAnsi="Arial"/>
          <w:sz w:val="20"/>
          <w:szCs w:val="20"/>
          <w:b w:val="1"/>
          <w:bCs w:val="1"/>
          <w:color w:val="auto"/>
        </w:rPr>
        <w:t>.</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color w:val="auto"/>
        </w:rPr>
        <w:t>Each party hereto represents and warrants to the other as follows:</w:t>
      </w:r>
    </w:p>
    <w:p>
      <w:pPr>
        <w:spacing w:after="0" w:line="222" w:lineRule="exact"/>
        <w:rPr>
          <w:sz w:val="20"/>
          <w:szCs w:val="20"/>
          <w:color w:val="auto"/>
        </w:rPr>
      </w:pPr>
    </w:p>
    <w:p>
      <w:pPr>
        <w:jc w:val="both"/>
        <w:ind w:firstLine="8"/>
        <w:spacing w:after="0" w:line="246" w:lineRule="auto"/>
        <w:tabs>
          <w:tab w:leader="none" w:pos="879" w:val="left"/>
        </w:tabs>
        <w:numPr>
          <w:ilvl w:val="0"/>
          <w:numId w:val="40"/>
        </w:numPr>
        <w:rPr>
          <w:rFonts w:ascii="Arial" w:cs="Arial" w:eastAsia="Arial" w:hAnsi="Arial"/>
          <w:sz w:val="20"/>
          <w:szCs w:val="20"/>
          <w:b w:val="1"/>
          <w:bCs w:val="1"/>
          <w:color w:val="auto"/>
        </w:rPr>
      </w:pPr>
      <w:r>
        <w:rPr>
          <w:rFonts w:ascii="Arial" w:cs="Arial" w:eastAsia="Arial" w:hAnsi="Arial"/>
          <w:sz w:val="20"/>
          <w:szCs w:val="20"/>
          <w:u w:val="single" w:color="auto"/>
          <w:color w:val="auto"/>
        </w:rPr>
        <w:t>Authorization</w:t>
      </w:r>
      <w:r>
        <w:rPr>
          <w:rFonts w:ascii="Arial" w:cs="Arial" w:eastAsia="Arial" w:hAnsi="Arial"/>
          <w:sz w:val="20"/>
          <w:szCs w:val="20"/>
          <w:color w:val="auto"/>
        </w:rPr>
        <w:t>. Such party has the requisite power, authority and legal capacity to execute, deliver and perform and to consummate the transactions contemplated by this Agreement. This Agreement constitutes a legal, valid and binding obligation of such party, enforceable against such party in accordance with its terms, except as such enforcement may be limited by any applicable bankruptcy, insolvency, moratorium or similar law affecting creditors’ rights generally.</w:t>
      </w:r>
    </w:p>
    <w:p>
      <w:pPr>
        <w:spacing w:after="0" w:line="191" w:lineRule="exact"/>
        <w:rPr>
          <w:rFonts w:ascii="Arial" w:cs="Arial" w:eastAsia="Arial" w:hAnsi="Arial"/>
          <w:sz w:val="20"/>
          <w:szCs w:val="20"/>
          <w:b w:val="1"/>
          <w:bCs w:val="1"/>
          <w:color w:val="auto"/>
        </w:rPr>
      </w:pPr>
    </w:p>
    <w:p>
      <w:pPr>
        <w:ind w:firstLine="8"/>
        <w:spacing w:after="0" w:line="260" w:lineRule="auto"/>
        <w:tabs>
          <w:tab w:leader="none" w:pos="890" w:val="left"/>
        </w:tabs>
        <w:numPr>
          <w:ilvl w:val="0"/>
          <w:numId w:val="40"/>
        </w:numPr>
        <w:rPr>
          <w:rFonts w:ascii="Arial" w:cs="Arial" w:eastAsia="Arial" w:hAnsi="Arial"/>
          <w:sz w:val="20"/>
          <w:szCs w:val="20"/>
          <w:b w:val="1"/>
          <w:bCs w:val="1"/>
          <w:color w:val="auto"/>
        </w:rPr>
      </w:pPr>
      <w:r>
        <w:rPr>
          <w:rFonts w:ascii="Arial" w:cs="Arial" w:eastAsia="Arial" w:hAnsi="Arial"/>
          <w:sz w:val="20"/>
          <w:szCs w:val="20"/>
          <w:u w:val="single" w:color="auto"/>
          <w:color w:val="auto"/>
        </w:rPr>
        <w:t>No Consents</w:t>
      </w:r>
      <w:r>
        <w:rPr>
          <w:rFonts w:ascii="Arial" w:cs="Arial" w:eastAsia="Arial" w:hAnsi="Arial"/>
          <w:sz w:val="20"/>
          <w:szCs w:val="20"/>
          <w:color w:val="auto"/>
        </w:rPr>
        <w:t>. No consent of any Governmental Authority or other Person is required to be obtained by such party in connection with the execution and delivery by such party of this Agreement.</w:t>
      </w:r>
    </w:p>
    <w:p>
      <w:pPr>
        <w:spacing w:after="0" w:line="171"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The Stockholder represents and warrants to the Company that as of the date hereof, the Stockholder and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Associates collectively Beneficially Own 2,503,608 shares of Common Stock and have no other interest in the capital stock of the Company.</w:t>
      </w:r>
    </w:p>
    <w:p>
      <w:pPr>
        <w:spacing w:after="0" w:line="118" w:lineRule="exact"/>
        <w:rPr>
          <w:sz w:val="20"/>
          <w:szCs w:val="20"/>
          <w:color w:val="auto"/>
        </w:rPr>
      </w:pPr>
    </w:p>
    <w:p>
      <w:pPr>
        <w:ind w:left="800" w:hanging="792"/>
        <w:spacing w:after="0"/>
        <w:tabs>
          <w:tab w:leader="none" w:pos="80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EGEND</w:t>
      </w:r>
      <w:r>
        <w:rPr>
          <w:rFonts w:ascii="Arial" w:cs="Arial" w:eastAsia="Arial" w:hAnsi="Arial"/>
          <w:sz w:val="20"/>
          <w:szCs w:val="20"/>
          <w:color w:val="auto"/>
        </w:rPr>
        <w:t>.</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7.1 </w:t>
      </w:r>
      <w:r>
        <w:rPr>
          <w:rFonts w:ascii="Arial" w:cs="Arial" w:eastAsia="Arial" w:hAnsi="Arial"/>
          <w:sz w:val="20"/>
          <w:szCs w:val="20"/>
          <w:color w:val="auto"/>
        </w:rPr>
        <w:t>Concurrently with the execution of this Agreement there shall be imprinted or otherwise placed on the book-entry statements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representing the Subject Securities the following restrictive legend (the “</w:t>
      </w:r>
      <w:r>
        <w:rPr>
          <w:rFonts w:ascii="Arial" w:cs="Arial" w:eastAsia="Arial" w:hAnsi="Arial"/>
          <w:sz w:val="20"/>
          <w:szCs w:val="20"/>
          <w:b w:val="1"/>
          <w:bCs w:val="1"/>
          <w:color w:val="auto"/>
        </w:rPr>
        <w:t>Legend</w:t>
      </w:r>
      <w:r>
        <w:rPr>
          <w:rFonts w:ascii="Arial" w:cs="Arial" w:eastAsia="Arial" w:hAnsi="Arial"/>
          <w:sz w:val="20"/>
          <w:szCs w:val="20"/>
          <w:color w:val="auto"/>
        </w:rPr>
        <w:t>”):</w:t>
      </w:r>
    </w:p>
    <w:p>
      <w:pPr>
        <w:spacing w:after="0" w:line="169" w:lineRule="exact"/>
        <w:rPr>
          <w:sz w:val="20"/>
          <w:szCs w:val="20"/>
          <w:color w:val="auto"/>
        </w:rPr>
      </w:pPr>
    </w:p>
    <w:p>
      <w:pPr>
        <w:jc w:val="both"/>
        <w:ind w:left="1740" w:right="860"/>
        <w:spacing w:after="0" w:line="242" w:lineRule="auto"/>
        <w:rPr>
          <w:sz w:val="20"/>
          <w:szCs w:val="20"/>
          <w:color w:val="auto"/>
        </w:rPr>
      </w:pPr>
      <w:r>
        <w:rPr>
          <w:rFonts w:ascii="Arial" w:cs="Arial" w:eastAsia="Arial" w:hAnsi="Arial"/>
          <w:sz w:val="20"/>
          <w:szCs w:val="20"/>
          <w:color w:val="auto"/>
        </w:rPr>
        <w:t>“THE SHARES REPRESENTED BY THIS CERTIFICATE ARE SUBJECT TO THE TERMS AND CONDITIONS OF A LOCK-UP AGREEMENT WHICH PLACES CERTAIN RESTRICTIONS ON THE TRANSFER AND VOTING OF THE SHARES REPRESENTED HEREBY. ANY PERSON ACCEPTING ANY INTEREST IN SUCH SHARES SHALL BE DEEMED TO AGREE TO AND SHALL BECOME BOUND BY ALL THE PROVISIONS OF SUCH AGREEMENT. A COPY OF SUCH LOCK-UP AGREEMENT WILL BE FURNISHED TO THE RECORD HOLDER OF THIS CERTIFICATE WITHOUT CHARGE UPON WRITTEN REQUEST TO THE COMPANY AT ITS PRINCIPAL PLACE OF BUSINESS.”</w:t>
      </w:r>
    </w:p>
    <w:p>
      <w:pPr>
        <w:spacing w:after="0" w:line="191"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color w:val="auto"/>
        </w:rPr>
        <w:t>The Stockholder agrees that, during the term of this Agreement, it will not remove, and will not permit to be removed (upon</w:t>
      </w:r>
      <w:r>
        <w:rPr>
          <w:rFonts w:ascii="Arial" w:cs="Arial" w:eastAsia="Arial" w:hAnsi="Arial"/>
          <w:sz w:val="20"/>
          <w:szCs w:val="20"/>
          <w:b w:val="1"/>
          <w:bCs w:val="1"/>
          <w:color w:val="auto"/>
        </w:rPr>
        <w:t xml:space="preserve"> </w:t>
      </w:r>
      <w:r>
        <w:rPr>
          <w:rFonts w:ascii="Arial" w:cs="Arial" w:eastAsia="Arial" w:hAnsi="Arial"/>
          <w:sz w:val="20"/>
          <w:szCs w:val="20"/>
          <w:color w:val="auto"/>
        </w:rPr>
        <w:t>registration of transfer, reissuance of otherwise), the Legend from any such book-entry statements and will place or cause to be placed the Legend on any new book-entry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8" w:name="page79"/>
    <w:bookmarkEnd w:id="78"/>
    <w:p>
      <w:pPr>
        <w:spacing w:after="0" w:line="260" w:lineRule="auto"/>
        <w:rPr>
          <w:sz w:val="20"/>
          <w:szCs w:val="20"/>
          <w:color w:val="auto"/>
        </w:rPr>
      </w:pPr>
      <w:r>
        <w:rPr>
          <w:rFonts w:ascii="Arial" w:cs="Arial" w:eastAsia="Arial" w:hAnsi="Arial"/>
          <w:sz w:val="20"/>
          <w:szCs w:val="20"/>
          <w:color w:val="auto"/>
        </w:rPr>
        <w:t>issued to represent Subject Securities theretofore represented by a book-entry statements carrying the Legend. The Stockholder will not request that any of the Subject Securities be converted from book-entry format to certificated shares.</w:t>
      </w:r>
    </w:p>
    <w:p>
      <w:pPr>
        <w:spacing w:after="0" w:line="171" w:lineRule="exact"/>
        <w:rPr>
          <w:sz w:val="20"/>
          <w:szCs w:val="20"/>
          <w:color w:val="auto"/>
        </w:rPr>
      </w:pPr>
    </w:p>
    <w:p>
      <w:pPr>
        <w:jc w:val="both"/>
        <w:ind w:firstLine="8"/>
        <w:spacing w:after="0" w:line="246" w:lineRule="auto"/>
        <w:tabs>
          <w:tab w:leader="none" w:pos="796"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Agreement shall be binding upon the successors in interest to any of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The Company shall not permit the transfer of any of the Subject Securities on its books or issue a new certificate representing any of the Subject Securities unless and until the Person to whom such security is to be transferred shall have executed a written agreement, substantially in the form of this Agreement, pursuant to which such Person becomes a party to this Agreement and agrees to be bound by all the provisions hereof as if such Person were the Stockholder hereunder.</w:t>
      </w:r>
    </w:p>
    <w:p>
      <w:pPr>
        <w:spacing w:after="0" w:line="184" w:lineRule="exact"/>
        <w:rPr>
          <w:rFonts w:ascii="Arial" w:cs="Arial" w:eastAsia="Arial" w:hAnsi="Arial"/>
          <w:sz w:val="20"/>
          <w:szCs w:val="20"/>
          <w:b w:val="1"/>
          <w:bCs w:val="1"/>
          <w:color w:val="auto"/>
        </w:rPr>
      </w:pPr>
    </w:p>
    <w:p>
      <w:pPr>
        <w:jc w:val="both"/>
        <w:ind w:firstLine="8"/>
        <w:spacing w:after="0" w:line="258" w:lineRule="auto"/>
        <w:tabs>
          <w:tab w:leader="none" w:pos="796"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continue in full force and effect from the date hereof through the earliest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dates, on which date it shall terminate in its entirety on the earlier of: (a) December 1, 2021 and (b) the date of the closing of a sale, lease, or other disposition of all or substantially all of the Company’s assets or the Company’s merger into or consolidation with any other corporation or other entity, or any other corporate reorganization, in which the holders of the Company’s outstanding voting stock immediately prior to such transaction own, immediately after such transaction, securities representing less than 50% of the voting power of the corporation or other entity surviving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clause “(b)” shall not apply to a merger effected exclusively for the purpose of changing the domicile of the Company; and (c) the date as of which this Agreement is terminated by the written consent of the Company and the holders of at least 75% of the Subject Securities.</w:t>
      </w:r>
    </w:p>
    <w:p>
      <w:pPr>
        <w:spacing w:after="0" w:line="173" w:lineRule="exact"/>
        <w:rPr>
          <w:rFonts w:ascii="Arial" w:cs="Arial" w:eastAsia="Arial" w:hAnsi="Arial"/>
          <w:sz w:val="19"/>
          <w:szCs w:val="19"/>
          <w:b w:val="1"/>
          <w:bCs w:val="1"/>
          <w:color w:val="auto"/>
        </w:rPr>
      </w:pPr>
    </w:p>
    <w:p>
      <w:pPr>
        <w:ind w:left="900" w:hanging="892"/>
        <w:spacing w:after="0"/>
        <w:tabs>
          <w:tab w:leader="none" w:pos="90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10.1 Specific Performance. </w:t>
      </w:r>
      <w:r>
        <w:rPr>
          <w:rFonts w:ascii="Arial" w:cs="Arial" w:eastAsia="Arial" w:hAnsi="Arial"/>
          <w:sz w:val="19"/>
          <w:szCs w:val="19"/>
          <w:color w:val="auto"/>
        </w:rPr>
        <w:t>The parties hereto agree that irreparable damage would occur in the event that any of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were not performed in accordance with their specific terms or were otherwise breached. Accordingly, each of the parties hereto shall be entitled to enforce specifically the provisions of this Agreement, including obtaining an injunction or injunctions to prevent breaches or threatened breaches of this Agreement, in any court designated to resolve disputes concerning this Agreement (or, if such court lacks subject matter jurisdiction, in any appropriate state or federal court), this being in addition to any other remedy to which such party is entitled at law or in equity. Each party hereto further agrees not to assert and waives (a) any defense in any action for specific performance that a remedy at Law would be adequate and (b) any requirement under any Law to post security or provide indemnity as a prerequisite to obtaining equitable relief.</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10.2 Expenses</w:t>
      </w:r>
      <w:r>
        <w:rPr>
          <w:rFonts w:ascii="Arial" w:cs="Arial" w:eastAsia="Arial" w:hAnsi="Arial"/>
          <w:sz w:val="20"/>
          <w:szCs w:val="20"/>
          <w:color w:val="auto"/>
        </w:rPr>
        <w:t>. If any action at law or in equity is necessary to enforce or interpret the terms of this Agreement, the prevailing party</w:t>
      </w:r>
      <w:r>
        <w:rPr>
          <w:rFonts w:ascii="Arial" w:cs="Arial" w:eastAsia="Arial" w:hAnsi="Arial"/>
          <w:sz w:val="20"/>
          <w:szCs w:val="20"/>
          <w:b w:val="1"/>
          <w:bCs w:val="1"/>
          <w:color w:val="auto"/>
        </w:rPr>
        <w:t xml:space="preserve"> </w:t>
      </w:r>
      <w:r>
        <w:rPr>
          <w:rFonts w:ascii="Arial" w:cs="Arial" w:eastAsia="Arial" w:hAnsi="Arial"/>
          <w:sz w:val="20"/>
          <w:szCs w:val="20"/>
          <w:color w:val="auto"/>
        </w:rPr>
        <w:t>hereto shall be entitled to reasonable attorneys’ fees, costs and necessary disbursements in addition to any other relief to which such party may be entitled.</w:t>
      </w:r>
    </w:p>
    <w:p>
      <w:pPr>
        <w:spacing w:after="0" w:line="177" w:lineRule="exact"/>
        <w:rPr>
          <w:sz w:val="20"/>
          <w:szCs w:val="20"/>
          <w:color w:val="auto"/>
        </w:rPr>
      </w:pPr>
    </w:p>
    <w:p>
      <w:pPr>
        <w:jc w:val="both"/>
        <w:ind w:left="1740"/>
        <w:spacing w:after="0" w:line="257" w:lineRule="auto"/>
        <w:rPr>
          <w:sz w:val="20"/>
          <w:szCs w:val="20"/>
          <w:color w:val="auto"/>
        </w:rPr>
      </w:pPr>
      <w:r>
        <w:rPr>
          <w:rFonts w:ascii="Arial" w:cs="Arial" w:eastAsia="Arial" w:hAnsi="Arial"/>
          <w:sz w:val="19"/>
          <w:szCs w:val="19"/>
          <w:b w:val="1"/>
          <w:bCs w:val="1"/>
          <w:color w:val="auto"/>
        </w:rPr>
        <w:t xml:space="preserve">10.3 Amendment and Waiver. </w:t>
      </w:r>
      <w:r>
        <w:rPr>
          <w:rFonts w:ascii="Arial" w:cs="Arial" w:eastAsia="Arial" w:hAnsi="Arial"/>
          <w:sz w:val="19"/>
          <w:szCs w:val="19"/>
          <w:color w:val="auto"/>
        </w:rPr>
        <w:t>Any provision of this Agreement may be amended and the observance thereof</w:t>
      </w:r>
      <w:r>
        <w:rPr>
          <w:rFonts w:ascii="Arial" w:cs="Arial" w:eastAsia="Arial" w:hAnsi="Arial"/>
          <w:sz w:val="19"/>
          <w:szCs w:val="19"/>
          <w:b w:val="1"/>
          <w:bCs w:val="1"/>
          <w:color w:val="auto"/>
        </w:rPr>
        <w:t xml:space="preserve"> </w:t>
      </w:r>
      <w:r>
        <w:rPr>
          <w:rFonts w:ascii="Arial" w:cs="Arial" w:eastAsia="Arial" w:hAnsi="Arial"/>
          <w:sz w:val="19"/>
          <w:szCs w:val="19"/>
          <w:color w:val="auto"/>
        </w:rPr>
        <w:t>may be waived (either generally or in a particular instance and either retroactively or prospectively) only with the written consent of the Company and the holders of at least 75% of the Subject Securities. No failure or delay of any party hereto to exercise any right or remedy given to such party under this Agreement or otherwise available to such party or to insist upon strict compliance by any other party with its obligations hereunder and no single or partial exercise of any such right or power shall constitute a waiver of any party hereto’s right to demand exact compliance with the terms hereof. Any written waiver shall be limited to those items specifically waived therein and shall not be deemed to waive any future breaches or violations or other non-specified breaches or violations unless, and to the extent, expressly set forth therein.</w:t>
      </w:r>
    </w:p>
    <w:p>
      <w:pPr>
        <w:spacing w:after="0" w:line="176"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10.4 Notices. </w:t>
      </w:r>
      <w:r>
        <w:rPr>
          <w:rFonts w:ascii="Arial" w:cs="Arial" w:eastAsia="Arial" w:hAnsi="Arial"/>
          <w:sz w:val="20"/>
          <w:szCs w:val="20"/>
          <w:color w:val="auto"/>
        </w:rPr>
        <w:t>All notices and other communications made pursuant to or under this Agreement shall be in writing and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or made (a) when personally delivered, (b)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9" w:name="page80"/>
    <w:bookmarkEnd w:id="79"/>
    <w:p>
      <w:pPr>
        <w:jc w:val="both"/>
        <w:spacing w:after="0" w:line="263" w:lineRule="auto"/>
        <w:rPr>
          <w:sz w:val="20"/>
          <w:szCs w:val="20"/>
          <w:color w:val="auto"/>
        </w:rPr>
      </w:pPr>
      <w:r>
        <w:rPr>
          <w:rFonts w:ascii="Arial" w:cs="Arial" w:eastAsia="Arial" w:hAnsi="Arial"/>
          <w:sz w:val="19"/>
          <w:szCs w:val="19"/>
          <w:color w:val="auto"/>
        </w:rPr>
        <w:t xml:space="preserve">the date transmitted when transmitted by electronic mail, (c) one Business Day after deposit with a nationally recognized overnight courier service, or (d) three Business Days after the mailing if sent by registered or certified mail, postage prepaid, return receipt requested. All notices and other communications under this Agreement shall be delivered to the addresses set forth on the signature page hereto, or such other address as such party may have given to the other parties by notice pursuant to this </w:t>
      </w:r>
      <w:r>
        <w:rPr>
          <w:rFonts w:ascii="Arial" w:cs="Arial" w:eastAsia="Arial" w:hAnsi="Arial"/>
          <w:sz w:val="19"/>
          <w:szCs w:val="19"/>
          <w:u w:val="single" w:color="auto"/>
          <w:color w:val="auto"/>
        </w:rPr>
        <w:t>Section 10.4</w:t>
      </w:r>
      <w:r>
        <w:rPr>
          <w:rFonts w:ascii="Arial" w:cs="Arial" w:eastAsia="Arial" w:hAnsi="Arial"/>
          <w:sz w:val="19"/>
          <w:szCs w:val="19"/>
          <w:color w:val="auto"/>
        </w:rPr>
        <w:t>.</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10.5 Severability. </w:t>
      </w:r>
      <w:r>
        <w:rPr>
          <w:rFonts w:ascii="Arial" w:cs="Arial" w:eastAsia="Arial" w:hAnsi="Arial"/>
          <w:sz w:val="20"/>
          <w:szCs w:val="20"/>
          <w:color w:val="auto"/>
        </w:rPr>
        <w:t>If any term or provision of this Agreement is held invalid, illegal or unenforceable in any respect under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the validity, legality and enforceability of all other terms and provisions of this Agreement will not in any way be affected or impaired.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by this Agreement be consummated as originally contemplated to the greatest extent possible.</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10.6 Governing Law</w:t>
      </w:r>
      <w:r>
        <w:rPr>
          <w:rFonts w:ascii="Arial" w:cs="Arial" w:eastAsia="Arial" w:hAnsi="Arial"/>
          <w:sz w:val="19"/>
          <w:szCs w:val="19"/>
          <w:color w:val="auto"/>
        </w:rPr>
        <w:t>. This Agreement shall be construed and enforced in accordance with, and all questions concerning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construction, validity, interpretation, inducement to enter and/or performance of this Agreement (whether related to breach of contract, tortious conduct or otherwise and whether now existing or hereafter arising) shall be governed by, the internal laws of the State of Delaware, without giving effect to any law that would cause the laws of any jurisdiction other than the State of Delaware to be applied.</w:t>
      </w:r>
    </w:p>
    <w:p>
      <w:pPr>
        <w:spacing w:after="0" w:line="16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Consent to Jurisdiction; Service of Process; Waiver of Jury Trial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8"/>
        <w:spacing w:after="0" w:line="271" w:lineRule="auto"/>
        <w:tabs>
          <w:tab w:leader="none" w:pos="879"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Each party hereto agrees that any proceeding arising out of or relating to this Agreement shall be brought exclusively in any state or federal court located in New York County, State of New York and each of the parties hereto hereby submits to the exclusive jurisdiction of such courts for itself and with respect to its property, generally and unconditionally, for the purpose of any such proceeding. A final judgment in any such proceeding may be enforced in other jurisdictions by suit on the judgment or in any other manner provided by Law. Each party hereto agrees not to commence any proceeding arising out of or relating to this Agreement, except in the courts described above (other than actions in any court of competent jurisdiction to enforce any judgment, decree or award rendered by any such court in New York as described above), irrevocably and unconditionally waives any objection to the laying of venue of any proceeding arising out of or relating to this Agreement in any such court, and hereby irrevocably and unconditionally waives and agrees not to plead or claim in any such court that any such proceeding brought in any such court has been brought in an inconvenient forum or does not have jurisdiction over any party hereto. Each party hereto agrees that service of any process, summons, notice or document by U.S. registered mail to such party’s respective address set forth herein shall be effective service of process for any such proceeding.</w:t>
      </w:r>
    </w:p>
    <w:p>
      <w:pPr>
        <w:spacing w:after="0" w:line="169" w:lineRule="exact"/>
        <w:rPr>
          <w:rFonts w:ascii="Arial" w:cs="Arial" w:eastAsia="Arial" w:hAnsi="Arial"/>
          <w:sz w:val="18"/>
          <w:szCs w:val="18"/>
          <w:b w:val="1"/>
          <w:bCs w:val="1"/>
          <w:color w:val="auto"/>
        </w:rPr>
      </w:pPr>
    </w:p>
    <w:p>
      <w:pPr>
        <w:jc w:val="both"/>
        <w:ind w:firstLine="8"/>
        <w:spacing w:after="0" w:line="241" w:lineRule="auto"/>
        <w:tabs>
          <w:tab w:leader="none" w:pos="890" w:val="left"/>
        </w:tabs>
        <w:numPr>
          <w:ilvl w:val="0"/>
          <w:numId w:val="43"/>
        </w:numPr>
        <w:rPr>
          <w:rFonts w:ascii="Arial" w:cs="Arial" w:eastAsia="Arial" w:hAnsi="Arial"/>
          <w:sz w:val="20"/>
          <w:szCs w:val="20"/>
          <w:b w:val="1"/>
          <w:bCs w:val="1"/>
          <w:color w:val="auto"/>
        </w:rPr>
      </w:pPr>
      <w:r>
        <w:rPr>
          <w:rFonts w:ascii="Arial" w:cs="Arial" w:eastAsia="Arial" w:hAnsi="Arial"/>
          <w:sz w:val="20"/>
          <w:szCs w:val="20"/>
          <w:color w:val="auto"/>
        </w:rPr>
        <w:t>EACH PARTY HERETO HEREBY IRREVOCABLY WAIVES ALL RIGHT TO TRIAL BY JURY IN ANY PROCEEDING OR COUNTERCLAIM (WHETHER BASED ON CONTRACT, TORT, STATUTE OR OTHERWISE) ARISING OUT OF OR RELATING TO THIS AGREEMENT OR THE ACTIONS OF SUCH PARTY IN THE NEGOTIATION, ADMINISTRATION, PERFORMANCE AND ENFORCEMENT HEREOF. EACH PARTY HERETO FURTHER WAIVES ANY RIGHT TO SEEK TO CONSOLIDATE ANY PROCEEDING IN WHICH A JURY TRIAL HAS BEEN WAIVED WITH ANY OTHER PROCEEDING IN WHICH A JURY TRIAL CANNOT OR HAS NOT BEEN WAIVED. EACH PARTY HERETO CERTIFIES AND ACKNOWLEDGES THAT (I) NO REPRESENTATIVE, AGENT OR ATTORNEY OF ANY OTHER PARTY HERETO HAS REPRESENTED OR WARRANTED, EXPRESSLY OR OTHERWISE, THAT SUCH OTHER PARTY WOULD NOT, IN THE EVENT OF LITIGATION, SEEK TO ENFORCE THE FOREGOING WAIVER, (II) EACH PARTY HERETO UNDERSTANDS AND HAS CONSIDERED THE IMPLICATIONS OF THIS WAIVER, (III) EACH PARTY HERETO MAKES THIS WAIVER VOLUNTARILY AND (IV) EACH PARTY HERETO HAS BEEN INDUCED TO ENTER INTO THIS AGREEMENT BY, AMONG OTHER THINGS, THE MUTUAL WAIVERS AND CERTIFICATIONS IN THIS SECTION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80" w:name="page81"/>
    <w:bookmarkEnd w:id="80"/>
    <w:p>
      <w:pPr>
        <w:jc w:val="both"/>
        <w:spacing w:after="0" w:line="267" w:lineRule="auto"/>
        <w:rPr>
          <w:sz w:val="20"/>
          <w:szCs w:val="20"/>
          <w:color w:val="auto"/>
        </w:rPr>
      </w:pPr>
      <w:r>
        <w:rPr>
          <w:rFonts w:ascii="Arial" w:cs="Arial" w:eastAsia="Arial" w:hAnsi="Arial"/>
          <w:sz w:val="20"/>
          <w:szCs w:val="20"/>
          <w:b w:val="1"/>
          <w:bCs w:val="1"/>
          <w:color w:val="auto"/>
        </w:rPr>
        <w:t xml:space="preserve">10.8 Entire Agreement. </w:t>
      </w:r>
      <w:r>
        <w:rPr>
          <w:rFonts w:ascii="Arial" w:cs="Arial" w:eastAsia="Arial" w:hAnsi="Arial"/>
          <w:sz w:val="20"/>
          <w:szCs w:val="20"/>
          <w:color w:val="auto"/>
        </w:rPr>
        <w:t>This Agreement sets forth the entire understanding and agreement between the parties hereto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subject matter hereof.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10.9 Counterparts. </w:t>
      </w:r>
      <w:r>
        <w:rPr>
          <w:rFonts w:ascii="Arial" w:cs="Arial" w:eastAsia="Arial" w:hAnsi="Arial"/>
          <w:sz w:val="20"/>
          <w:szCs w:val="20"/>
          <w:color w:val="auto"/>
        </w:rPr>
        <w:t>This Agreement may be executed in multiple counterparts, each of which shall be deemed to be an original but</w:t>
      </w:r>
      <w:r>
        <w:rPr>
          <w:rFonts w:ascii="Arial" w:cs="Arial" w:eastAsia="Arial" w:hAnsi="Arial"/>
          <w:sz w:val="20"/>
          <w:szCs w:val="20"/>
          <w:b w:val="1"/>
          <w:bCs w:val="1"/>
          <w:color w:val="auto"/>
        </w:rPr>
        <w:t xml:space="preserve"> </w:t>
      </w:r>
      <w:r>
        <w:rPr>
          <w:rFonts w:ascii="Arial" w:cs="Arial" w:eastAsia="Arial" w:hAnsi="Arial"/>
          <w:sz w:val="20"/>
          <w:szCs w:val="20"/>
          <w:color w:val="auto"/>
        </w:rPr>
        <w:t>all of which shall constitute one and the same agreement. This Agreement may be executed by facsimile or electronic (.pdf) signature and a facsimile or electronic (.pdf) signature shall constitute an original for all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OCK</w:t>
      </w:r>
      <w:r>
        <w:rPr>
          <w:rFonts w:ascii="Arial" w:cs="Arial" w:eastAsia="Arial" w:hAnsi="Arial"/>
          <w:sz w:val="18"/>
          <w:szCs w:val="18"/>
          <w:b w:val="1"/>
          <w:bCs w:val="1"/>
          <w:color w:val="auto"/>
        </w:rPr>
        <w:t>-U</w:t>
      </w:r>
      <w:r>
        <w:rPr>
          <w:rFonts w:ascii="Arial" w:cs="Arial" w:eastAsia="Arial" w:hAnsi="Arial"/>
          <w:sz w:val="12"/>
          <w:szCs w:val="12"/>
          <w:b w:val="1"/>
          <w:bCs w:val="1"/>
          <w:color w:val="auto"/>
        </w:rPr>
        <w:t>P</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ectPr>
          <w:pgSz w:w="11900" w:h="16838" w:orient="portrait"/>
          <w:cols w:equalWidth="0" w:num="1">
            <w:col w:w="9259"/>
          </w:cols>
          <w:pgMar w:left="1200" w:top="549" w:right="1440" w:bottom="1440" w:gutter="0" w:footer="0" w:header="0"/>
        </w:sectPr>
      </w:pPr>
    </w:p>
    <w:p>
      <w:pPr>
        <w:spacing w:after="0" w:line="239"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COMPANY:</w:t>
      </w:r>
    </w:p>
    <w:p>
      <w:pPr>
        <w:spacing w:after="0" w:line="229"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TERIAN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-14605</wp:posOffset>
            </wp:positionV>
            <wp:extent cx="22802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b w:val="1"/>
          <w:bCs w:val="1"/>
          <w:color w:val="auto"/>
        </w:rPr>
        <w:t>Yaniv Sarig</w:t>
      </w:r>
    </w:p>
    <w:p>
      <w:pPr>
        <w:ind w:left="344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Address: 37 E 18th St., 7th Floor</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New York, NY 10003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49" w:right="1440"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OCK</w:t>
      </w:r>
      <w:r>
        <w:rPr>
          <w:rFonts w:ascii="Arial" w:cs="Arial" w:eastAsia="Arial" w:hAnsi="Arial"/>
          <w:sz w:val="18"/>
          <w:szCs w:val="18"/>
          <w:b w:val="1"/>
          <w:bCs w:val="1"/>
          <w:color w:val="auto"/>
        </w:rPr>
        <w:t>-U</w:t>
      </w:r>
      <w:r>
        <w:rPr>
          <w:rFonts w:ascii="Arial" w:cs="Arial" w:eastAsia="Arial" w:hAnsi="Arial"/>
          <w:sz w:val="12"/>
          <w:szCs w:val="12"/>
          <w:b w:val="1"/>
          <w:bCs w:val="1"/>
          <w:color w:val="auto"/>
        </w:rPr>
        <w:t>P</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ectPr>
          <w:pgSz w:w="11900" w:h="16838" w:orient="portrait"/>
          <w:cols w:equalWidth="0" w:num="1">
            <w:col w:w="10139"/>
          </w:cols>
          <w:pgMar w:left="320" w:top="333" w:right="1440" w:bottom="1440" w:gutter="0" w:footer="0" w:header="0"/>
        </w:sect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320"/>
        <w:spacing w:after="0"/>
        <w:rPr>
          <w:sz w:val="20"/>
          <w:szCs w:val="20"/>
          <w:color w:val="auto"/>
        </w:rPr>
      </w:pPr>
      <w:r>
        <w:rPr>
          <w:rFonts w:ascii="Arial" w:cs="Arial" w:eastAsia="Arial" w:hAnsi="Arial"/>
          <w:sz w:val="20"/>
          <w:szCs w:val="20"/>
          <w:u w:val="single" w:color="auto"/>
          <w:color w:val="auto"/>
        </w:rPr>
        <w:t>/s/ Asher Delug</w:t>
      </w:r>
    </w:p>
    <w:p>
      <w:pPr>
        <w:spacing w:after="0" w:line="16"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ASHER DELUG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139"/>
          </w:cols>
          <w:pgMar w:left="320" w:top="333" w:right="1440" w:bottom="1440" w:gutter="0" w:footer="0" w:header="0"/>
          <w:type w:val="continuous"/>
        </w:sectPr>
      </w:pPr>
    </w:p>
    <w:bookmarkStart w:id="83" w:name="page84"/>
    <w:bookmarkEnd w:id="83"/>
    <w:p>
      <w:pPr>
        <w:ind w:left="10020"/>
        <w:spacing w:after="0"/>
        <w:rPr>
          <w:sz w:val="20"/>
          <w:szCs w:val="20"/>
          <w:color w:val="auto"/>
        </w:rPr>
      </w:pPr>
      <w:r>
        <w:rPr>
          <w:rFonts w:ascii="Arial" w:cs="Arial" w:eastAsia="Arial" w:hAnsi="Arial"/>
          <w:sz w:val="19"/>
          <w:szCs w:val="19"/>
          <w:b w:val="1"/>
          <w:bCs w:val="1"/>
          <w:color w:val="auto"/>
        </w:rPr>
        <w:t>Exhibit 10.15</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w:t>
      </w:r>
    </w:p>
    <w:p>
      <w:pPr>
        <w:jc w:val="center"/>
        <w:spacing w:after="0"/>
        <w:rPr>
          <w:sz w:val="20"/>
          <w:szCs w:val="20"/>
          <w:color w:val="auto"/>
        </w:rPr>
      </w:pPr>
      <w:r>
        <w:rPr>
          <w:rFonts w:ascii="Arial" w:cs="Arial" w:eastAsia="Arial" w:hAnsi="Arial"/>
          <w:sz w:val="20"/>
          <w:szCs w:val="20"/>
          <w:b w:val="1"/>
          <w:bCs w:val="1"/>
          <w:color w:val="auto"/>
        </w:rPr>
        <w:t>LOCK-UP, VOTING AND STANDSTILL AGREEMENT</w:t>
      </w:r>
    </w:p>
    <w:p>
      <w:pPr>
        <w:spacing w:after="0" w:line="19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This AMENDMENT TO LOCK-UP, VOTING AND STANDSTILL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dated as of May 31, 2021, is entered into by and 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TERIAN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a Delaware corporation (f/k/a </w:t>
      </w:r>
      <w:r>
        <w:rPr>
          <w:rFonts w:ascii="Arial" w:cs="Arial" w:eastAsia="Arial" w:hAnsi="Arial"/>
          <w:sz w:val="20"/>
          <w:szCs w:val="20"/>
          <w:b w:val="1"/>
          <w:bCs w:val="1"/>
          <w:color w:val="auto"/>
        </w:rPr>
        <w:t>M</w:t>
      </w:r>
      <w:r>
        <w:rPr>
          <w:rFonts w:ascii="Arial" w:cs="Arial" w:eastAsia="Arial" w:hAnsi="Arial"/>
          <w:sz w:val="13"/>
          <w:szCs w:val="13"/>
          <w:b w:val="1"/>
          <w:bCs w:val="1"/>
          <w:color w:val="auto"/>
        </w:rPr>
        <w:t>OHAWK</w:t>
      </w:r>
      <w:r>
        <w:rPr>
          <w:rFonts w:ascii="Arial" w:cs="Arial" w:eastAsia="Arial" w:hAnsi="Arial"/>
          <w:sz w:val="20"/>
          <w:szCs w:val="20"/>
          <w:color w:val="auto"/>
        </w:rPr>
        <w:t xml:space="preserve"> </w:t>
      </w:r>
      <w:r>
        <w:rPr>
          <w:rFonts w:ascii="Arial" w:cs="Arial" w:eastAsia="Arial" w:hAnsi="Arial"/>
          <w:sz w:val="20"/>
          <w:szCs w:val="20"/>
          <w:b w:val="1"/>
          <w:bCs w:val="1"/>
          <w:color w:val="auto"/>
        </w:rPr>
        <w:t>G</w:t>
      </w:r>
      <w:r>
        <w:rPr>
          <w:rFonts w:ascii="Arial" w:cs="Arial" w:eastAsia="Arial" w:hAnsi="Arial"/>
          <w:sz w:val="13"/>
          <w:szCs w:val="13"/>
          <w:b w:val="1"/>
          <w:bCs w:val="1"/>
          <w:color w:val="auto"/>
        </w:rPr>
        <w:t>ROUP</w:t>
      </w:r>
      <w:r>
        <w:rPr>
          <w:rFonts w:ascii="Arial" w:cs="Arial" w:eastAsia="Arial" w:hAnsi="Arial"/>
          <w:sz w:val="20"/>
          <w:szCs w:val="20"/>
          <w:color w:val="auto"/>
        </w:rPr>
        <w:t xml:space="preserve"> </w:t>
      </w:r>
      <w:r>
        <w:rPr>
          <w:rFonts w:ascii="Arial" w:cs="Arial" w:eastAsia="Arial" w:hAnsi="Arial"/>
          <w:sz w:val="20"/>
          <w:szCs w:val="20"/>
          <w:b w:val="1"/>
          <w:bCs w:val="1"/>
          <w:color w:val="auto"/>
        </w:rPr>
        <w:t>H</w:t>
      </w:r>
      <w:r>
        <w:rPr>
          <w:rFonts w:ascii="Arial" w:cs="Arial" w:eastAsia="Arial" w:hAnsi="Arial"/>
          <w:sz w:val="13"/>
          <w:szCs w:val="13"/>
          <w:b w:val="1"/>
          <w:bCs w:val="1"/>
          <w:color w:val="auto"/>
        </w:rPr>
        <w:t>OLDINGS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H</w:t>
      </w:r>
      <w:r>
        <w:rPr>
          <w:rFonts w:ascii="Arial" w:cs="Arial" w:eastAsia="Arial" w:hAnsi="Arial"/>
          <w:sz w:val="13"/>
          <w:szCs w:val="13"/>
          <w:b w:val="1"/>
          <w:bCs w:val="1"/>
          <w:color w:val="auto"/>
        </w:rPr>
        <w:t>EALING</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OLUTIONS</w:t>
      </w:r>
      <w:r>
        <w:rPr>
          <w:rFonts w:ascii="Arial" w:cs="Arial" w:eastAsia="Arial" w:hAnsi="Arial"/>
          <w:sz w:val="20"/>
          <w:szCs w:val="20"/>
          <w:b w:val="1"/>
          <w:bCs w:val="1"/>
          <w:color w:val="auto"/>
        </w:rPr>
        <w:t xml:space="preserve"> LLC</w:t>
      </w:r>
      <w:r>
        <w:rPr>
          <w:rFonts w:ascii="Arial" w:cs="Arial" w:eastAsia="Arial" w:hAnsi="Arial"/>
          <w:sz w:val="20"/>
          <w:szCs w:val="20"/>
          <w:color w:val="auto"/>
        </w:rPr>
        <w:t>, a Delaware limited liability company (the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8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the Company and the Stockholder are parties to that certain Lock-Up, Voting and Standstill Agreement (the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2, 2021;</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WHEREAS, capitalized terms used and not defined herein shall have the meanings set forth in the Agreement;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WHEREAS, Section 10.3 of the Agreement provides that the Agreement may be amended with the written consent of the Parent and the holders of at least 75% of the Stockholder Shares; and</w:t>
      </w:r>
    </w:p>
    <w:p>
      <w:pPr>
        <w:spacing w:after="0" w:line="177"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WHEREAS, the Parties desire to amend the Agreement to extend the lock-up period provided for in the Agreement (such period commencing on the Closing Date and ending six months thereafter) such that it ends on December 1, 2021, only in respect of certain Subject Securities, along with such other amendments that are necessary or advisable in connection therewith.</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parties hereto agree as follows:</w:t>
      </w:r>
    </w:p>
    <w:p>
      <w:pPr>
        <w:spacing w:after="0" w:line="229" w:lineRule="exact"/>
        <w:rPr>
          <w:sz w:val="20"/>
          <w:szCs w:val="20"/>
          <w:color w:val="auto"/>
        </w:rPr>
      </w:pPr>
    </w:p>
    <w:p>
      <w:pPr>
        <w:jc w:val="both"/>
        <w:ind w:firstLine="872"/>
        <w:spacing w:after="0" w:line="238" w:lineRule="auto"/>
        <w:tabs>
          <w:tab w:leader="none" w:pos="1674" w:val="left"/>
        </w:tabs>
        <w:numPr>
          <w:ilvl w:val="0"/>
          <w:numId w:val="44"/>
        </w:numPr>
        <w:rPr>
          <w:rFonts w:ascii="Arial" w:cs="Arial" w:eastAsia="Arial" w:hAnsi="Arial"/>
          <w:sz w:val="22"/>
          <w:szCs w:val="22"/>
          <w:color w:val="auto"/>
        </w:rPr>
      </w:pPr>
      <w:r>
        <w:rPr>
          <w:rFonts w:ascii="Arial" w:cs="Arial" w:eastAsia="Arial" w:hAnsi="Arial"/>
          <w:sz w:val="20"/>
          <w:szCs w:val="20"/>
          <w:color w:val="auto"/>
        </w:rPr>
        <w:t>From and after August 2, 2021, the definition of “Existing Securities” is hereby amended, solely for the purposes of such term’s use in the definition of “Subject Securities” in Section 3.1 of the Agreement, to replace the reference to “1,387,759” with “693,879”.</w:t>
      </w:r>
    </w:p>
    <w:p>
      <w:pPr>
        <w:spacing w:after="0" w:line="211" w:lineRule="exact"/>
        <w:rPr>
          <w:rFonts w:ascii="Arial" w:cs="Arial" w:eastAsia="Arial" w:hAnsi="Arial"/>
          <w:sz w:val="22"/>
          <w:szCs w:val="22"/>
          <w:color w:val="auto"/>
        </w:rPr>
      </w:pPr>
    </w:p>
    <w:p>
      <w:pPr>
        <w:jc w:val="both"/>
        <w:ind w:firstLine="872"/>
        <w:spacing w:after="0" w:line="238" w:lineRule="auto"/>
        <w:tabs>
          <w:tab w:leader="none" w:pos="1674" w:val="left"/>
        </w:tabs>
        <w:numPr>
          <w:ilvl w:val="0"/>
          <w:numId w:val="44"/>
        </w:numPr>
        <w:rPr>
          <w:rFonts w:ascii="Arial" w:cs="Arial" w:eastAsia="Arial" w:hAnsi="Arial"/>
          <w:sz w:val="22"/>
          <w:szCs w:val="22"/>
          <w:color w:val="auto"/>
        </w:rPr>
      </w:pPr>
      <w:r>
        <w:rPr>
          <w:rFonts w:ascii="Arial" w:cs="Arial" w:eastAsia="Arial" w:hAnsi="Arial"/>
          <w:sz w:val="20"/>
          <w:szCs w:val="20"/>
          <w:color w:val="auto"/>
        </w:rPr>
        <w:t>Section 3.1 of the Agreement is hereby amended to replace the following language in the first sentence in such section “in each case at any time during the period commencing on the Closing Date and ending six months thereafter” with “in each case at any time during the period commencing on the Closing Date and ending on December 1, 2021”.</w:t>
      </w:r>
    </w:p>
    <w:p>
      <w:pPr>
        <w:spacing w:after="0" w:line="211" w:lineRule="exact"/>
        <w:rPr>
          <w:rFonts w:ascii="Arial" w:cs="Arial" w:eastAsia="Arial" w:hAnsi="Arial"/>
          <w:sz w:val="22"/>
          <w:szCs w:val="22"/>
          <w:color w:val="auto"/>
        </w:rPr>
      </w:pPr>
    </w:p>
    <w:p>
      <w:pPr>
        <w:ind w:right="20" w:firstLine="872"/>
        <w:spacing w:after="0" w:line="238" w:lineRule="auto"/>
        <w:tabs>
          <w:tab w:leader="none" w:pos="1674" w:val="left"/>
        </w:tabs>
        <w:numPr>
          <w:ilvl w:val="0"/>
          <w:numId w:val="44"/>
        </w:numPr>
        <w:rPr>
          <w:rFonts w:ascii="Arial" w:cs="Arial" w:eastAsia="Arial" w:hAnsi="Arial"/>
          <w:sz w:val="22"/>
          <w:szCs w:val="22"/>
          <w:color w:val="auto"/>
        </w:rPr>
      </w:pPr>
      <w:r>
        <w:rPr>
          <w:rFonts w:ascii="Arial" w:cs="Arial" w:eastAsia="Arial" w:hAnsi="Arial"/>
          <w:sz w:val="20"/>
          <w:szCs w:val="20"/>
          <w:color w:val="auto"/>
        </w:rPr>
        <w:t>Section 9 of the Agreement is hereby amended to replace the following language in such section “the date that is six (6) months after the date of this Agreement” with “December 1, 2021”.</w:t>
      </w:r>
    </w:p>
    <w:p>
      <w:pPr>
        <w:spacing w:after="0" w:line="209" w:lineRule="exact"/>
        <w:rPr>
          <w:rFonts w:ascii="Arial" w:cs="Arial" w:eastAsia="Arial" w:hAnsi="Arial"/>
          <w:sz w:val="22"/>
          <w:szCs w:val="22"/>
          <w:color w:val="auto"/>
        </w:rPr>
      </w:pPr>
    </w:p>
    <w:p>
      <w:pPr>
        <w:jc w:val="both"/>
        <w:ind w:firstLine="872"/>
        <w:spacing w:after="0" w:line="277" w:lineRule="auto"/>
        <w:tabs>
          <w:tab w:leader="none" w:pos="1674" w:val="left"/>
        </w:tabs>
        <w:numPr>
          <w:ilvl w:val="0"/>
          <w:numId w:val="44"/>
        </w:numPr>
        <w:rPr>
          <w:rFonts w:ascii="Arial" w:cs="Arial" w:eastAsia="Arial" w:hAnsi="Arial"/>
          <w:sz w:val="19"/>
          <w:szCs w:val="19"/>
          <w:color w:val="auto"/>
        </w:rPr>
      </w:pPr>
      <w:r>
        <w:rPr>
          <w:rFonts w:ascii="Arial" w:cs="Arial" w:eastAsia="Arial" w:hAnsi="Arial"/>
          <w:sz w:val="18"/>
          <w:szCs w:val="18"/>
          <w:color w:val="auto"/>
        </w:rPr>
        <w:t>Except to the extent amended by this Amendment, all of the provisions of the Agreement shall continue in full force and effect and shall remain enforceable and binding against all parties in accordance with their terms. If there is an inconsistency between the terms of the Agreement and the terms of this Amendment, the terms of this Amendment will prevail. After the date of this Amendment, all references in the Agreement to the “Agreement” shall mean the Agreement, as amended by this Amendment.</w:t>
      </w:r>
    </w:p>
    <w:p>
      <w:pPr>
        <w:spacing w:after="0" w:line="178" w:lineRule="exact"/>
        <w:rPr>
          <w:rFonts w:ascii="Arial" w:cs="Arial" w:eastAsia="Arial" w:hAnsi="Arial"/>
          <w:sz w:val="19"/>
          <w:szCs w:val="19"/>
          <w:color w:val="auto"/>
        </w:rPr>
      </w:pPr>
    </w:p>
    <w:p>
      <w:pPr>
        <w:ind w:left="1680" w:hanging="808"/>
        <w:spacing w:after="0"/>
        <w:tabs>
          <w:tab w:leader="none" w:pos="1680" w:val="left"/>
        </w:tabs>
        <w:numPr>
          <w:ilvl w:val="0"/>
          <w:numId w:val="44"/>
        </w:numPr>
        <w:rPr>
          <w:rFonts w:ascii="Arial" w:cs="Arial" w:eastAsia="Arial" w:hAnsi="Arial"/>
          <w:sz w:val="19"/>
          <w:szCs w:val="19"/>
          <w:color w:val="auto"/>
        </w:rPr>
      </w:pPr>
      <w:r>
        <w:rPr>
          <w:rFonts w:ascii="Arial" w:cs="Arial" w:eastAsia="Arial" w:hAnsi="Arial"/>
          <w:sz w:val="18"/>
          <w:szCs w:val="18"/>
          <w:color w:val="auto"/>
        </w:rPr>
        <w:t xml:space="preserve">The provisions of Sections 10.3, 10.6, 10.7, 10.8 and 10.9 of the Agreement are hereby incorporated herein, </w:t>
      </w:r>
      <w:r>
        <w:rPr>
          <w:rFonts w:ascii="Arial" w:cs="Arial" w:eastAsia="Arial" w:hAnsi="Arial"/>
          <w:sz w:val="18"/>
          <w:szCs w:val="18"/>
          <w:i w:val="1"/>
          <w:iCs w:val="1"/>
          <w:color w:val="auto"/>
        </w:rPr>
        <w:t>mutatis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i w:val="1"/>
          <w:iCs w:val="1"/>
          <w:color w:val="auto"/>
        </w:rPr>
        <w:t>mutandis.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LEGAL_US_W # 107573229.9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IN WITNESS WHEREOF, the undersigned have executed this Amendment to the Agreement as of the date first above written.</w:t>
      </w:r>
    </w:p>
    <w:p>
      <w:pPr>
        <w:spacing w:after="0" w:line="200" w:lineRule="exact"/>
        <w:rPr>
          <w:sz w:val="20"/>
          <w:szCs w:val="20"/>
          <w:color w:val="auto"/>
        </w:rPr>
      </w:pPr>
    </w:p>
    <w:p>
      <w:pPr>
        <w:spacing w:after="0" w:line="262" w:lineRule="exact"/>
        <w:rPr>
          <w:sz w:val="20"/>
          <w:szCs w:val="20"/>
          <w:color w:val="auto"/>
        </w:rPr>
      </w:pPr>
    </w:p>
    <w:p>
      <w:pPr>
        <w:ind w:left="4320"/>
        <w:spacing w:after="0"/>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w:t>
      </w: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ATERIAN, INC.</w:t>
      </w:r>
    </w:p>
    <w:p>
      <w:pPr>
        <w:spacing w:after="0" w:line="200" w:lineRule="exact"/>
        <w:rPr>
          <w:sz w:val="20"/>
          <w:szCs w:val="20"/>
          <w:color w:val="auto"/>
        </w:rPr>
      </w:pPr>
    </w:p>
    <w:p>
      <w:pPr>
        <w:spacing w:after="0" w:line="22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By:</w:t>
            </w:r>
          </w:p>
        </w:tc>
        <w:tc>
          <w:tcPr>
            <w:tcW w:w="234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/s/ Yaniv</w:t>
            </w:r>
          </w:p>
        </w:tc>
      </w:tr>
      <w:tr>
        <w:trPr>
          <w:trHeight w:val="210"/>
        </w:trPr>
        <w:tc>
          <w:tcPr>
            <w:tcW w:w="24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Sarig</w:t>
            </w:r>
          </w:p>
        </w:tc>
        <w:tc>
          <w:tcPr>
            <w:tcW w:w="23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33"/>
        </w:trPr>
        <w:tc>
          <w:tcPr>
            <w:tcW w:w="2480" w:type="dxa"/>
            <w:vAlign w:val="bottom"/>
          </w:tcPr>
          <w:p>
            <w:pPr>
              <w:spacing w:after="0"/>
              <w:rPr>
                <w:sz w:val="20"/>
                <w:szCs w:val="20"/>
                <w:color w:val="auto"/>
              </w:rPr>
            </w:pPr>
            <w:r>
              <w:rPr>
                <w:rFonts w:ascii="Arial" w:cs="Arial" w:eastAsia="Arial" w:hAnsi="Arial"/>
                <w:sz w:val="20"/>
                <w:szCs w:val="20"/>
                <w:color w:val="auto"/>
              </w:rPr>
              <w:t>Name:</w:t>
            </w:r>
          </w:p>
        </w:tc>
        <w:tc>
          <w:tcPr>
            <w:tcW w:w="234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20"/>
                <w:szCs w:val="20"/>
                <w:color w:val="auto"/>
                <w:w w:val="87"/>
              </w:rPr>
              <w:t>Yaniv Sarig</w:t>
            </w:r>
          </w:p>
        </w:tc>
      </w:tr>
      <w:tr>
        <w:trPr>
          <w:trHeight w:val="230"/>
        </w:trPr>
        <w:tc>
          <w:tcPr>
            <w:tcW w:w="2480" w:type="dxa"/>
            <w:vAlign w:val="bottom"/>
          </w:tcPr>
          <w:p>
            <w:pPr>
              <w:spacing w:after="0"/>
              <w:rPr>
                <w:sz w:val="20"/>
                <w:szCs w:val="20"/>
                <w:color w:val="auto"/>
              </w:rPr>
            </w:pPr>
            <w:r>
              <w:rPr>
                <w:rFonts w:ascii="Arial" w:cs="Arial" w:eastAsia="Arial" w:hAnsi="Arial"/>
                <w:sz w:val="20"/>
                <w:szCs w:val="20"/>
                <w:color w:val="auto"/>
              </w:rPr>
              <w:t>Its:</w:t>
            </w:r>
          </w:p>
        </w:tc>
        <w:tc>
          <w:tcPr>
            <w:tcW w:w="3500" w:type="dxa"/>
            <w:vAlign w:val="bottom"/>
            <w:gridSpan w:val="3"/>
          </w:tcPr>
          <w:p>
            <w:pPr>
              <w:ind w:left="2300"/>
              <w:spacing w:after="0"/>
              <w:rPr>
                <w:sz w:val="20"/>
                <w:szCs w:val="20"/>
                <w:color w:val="auto"/>
              </w:rPr>
            </w:pPr>
            <w:r>
              <w:rPr>
                <w:rFonts w:ascii="Arial" w:cs="Arial" w:eastAsia="Arial" w:hAnsi="Arial"/>
                <w:sz w:val="20"/>
                <w:szCs w:val="20"/>
                <w:color w:val="auto"/>
              </w:rPr>
              <w:t>Chief</w:t>
            </w:r>
          </w:p>
        </w:tc>
      </w:tr>
      <w:tr>
        <w:trPr>
          <w:trHeight w:val="250"/>
        </w:trPr>
        <w:tc>
          <w:tcPr>
            <w:tcW w:w="2480" w:type="dxa"/>
            <w:vAlign w:val="bottom"/>
          </w:tcPr>
          <w:p>
            <w:pPr>
              <w:spacing w:after="0"/>
              <w:rPr>
                <w:sz w:val="20"/>
                <w:szCs w:val="20"/>
                <w:color w:val="auto"/>
              </w:rPr>
            </w:pPr>
            <w:r>
              <w:rPr>
                <w:rFonts w:ascii="Arial" w:cs="Arial" w:eastAsia="Arial" w:hAnsi="Arial"/>
                <w:sz w:val="20"/>
                <w:szCs w:val="20"/>
                <w:color w:val="auto"/>
              </w:rPr>
              <w:t>Executive Officer</w:t>
            </w:r>
          </w:p>
        </w:tc>
        <w:tc>
          <w:tcPr>
            <w:tcW w:w="2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Amendment to Lock-Up, Voting and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00"/>
          </w:cols>
          <w:pgMar w:left="1200" w:top="771" w:right="399" w:bottom="144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t>IN WITNESS WHEREOF, the undersigned have executed this Amendment to the Agreement as of the date first above written.</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20"/>
          <w:szCs w:val="20"/>
          <w:b w:val="1"/>
          <w:bCs w:val="1"/>
          <w:u w:val="single" w:color="auto"/>
          <w:color w:val="auto"/>
        </w:rPr>
        <w:t>STOCKHOLDER</w:t>
      </w:r>
      <w:r>
        <w:rPr>
          <w:rFonts w:ascii="Arial" w:cs="Arial" w:eastAsia="Arial" w:hAnsi="Arial"/>
          <w:sz w:val="20"/>
          <w:szCs w:val="20"/>
          <w:b w:val="1"/>
          <w:bCs w:val="1"/>
          <w:color w:val="auto"/>
        </w:rPr>
        <w:t>:</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HEALING SOLUTIONS,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20"/>
                <w:szCs w:val="20"/>
                <w:color w:val="auto"/>
              </w:rPr>
              <w:t>By:</w:t>
            </w:r>
          </w:p>
        </w:tc>
        <w:tc>
          <w:tcPr>
            <w:tcW w:w="2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20"/>
                <w:szCs w:val="20"/>
                <w:color w:val="auto"/>
                <w:w w:val="79"/>
              </w:rPr>
              <w:t>/s/ Jason</w:t>
            </w:r>
          </w:p>
        </w:tc>
      </w:tr>
      <w:tr>
        <w:trPr>
          <w:trHeight w:val="210"/>
        </w:trPr>
        <w:tc>
          <w:tcPr>
            <w:tcW w:w="264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Hope</w:t>
            </w:r>
          </w:p>
        </w:tc>
        <w:tc>
          <w:tcPr>
            <w:tcW w:w="2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r>
      <w:tr>
        <w:trPr>
          <w:trHeight w:val="233"/>
        </w:trPr>
        <w:tc>
          <w:tcPr>
            <w:tcW w:w="2640" w:type="dxa"/>
            <w:vAlign w:val="bottom"/>
          </w:tcPr>
          <w:p>
            <w:pPr>
              <w:spacing w:after="0"/>
              <w:rPr>
                <w:sz w:val="20"/>
                <w:szCs w:val="20"/>
                <w:color w:val="auto"/>
              </w:rPr>
            </w:pPr>
            <w:r>
              <w:rPr>
                <w:rFonts w:ascii="Arial" w:cs="Arial" w:eastAsia="Arial" w:hAnsi="Arial"/>
                <w:sz w:val="20"/>
                <w:szCs w:val="20"/>
                <w:color w:val="auto"/>
              </w:rPr>
              <w:t>Name:</w:t>
            </w:r>
          </w:p>
        </w:tc>
        <w:tc>
          <w:tcPr>
            <w:tcW w:w="2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Jason Hope</w:t>
            </w:r>
          </w:p>
        </w:tc>
      </w:tr>
      <w:tr>
        <w:trPr>
          <w:trHeight w:val="250"/>
        </w:trPr>
        <w:tc>
          <w:tcPr>
            <w:tcW w:w="2640" w:type="dxa"/>
            <w:vAlign w:val="bottom"/>
          </w:tcPr>
          <w:p>
            <w:pPr>
              <w:spacing w:after="0"/>
              <w:rPr>
                <w:sz w:val="20"/>
                <w:szCs w:val="20"/>
                <w:color w:val="auto"/>
              </w:rPr>
            </w:pPr>
            <w:r>
              <w:rPr>
                <w:rFonts w:ascii="Arial" w:cs="Arial" w:eastAsia="Arial" w:hAnsi="Arial"/>
                <w:sz w:val="20"/>
                <w:szCs w:val="20"/>
                <w:color w:val="auto"/>
              </w:rPr>
              <w:t>Its:</w:t>
            </w:r>
          </w:p>
        </w:tc>
        <w:tc>
          <w:tcPr>
            <w:tcW w:w="3340" w:type="dxa"/>
            <w:vAlign w:val="bottom"/>
            <w:gridSpan w:val="3"/>
          </w:tcPr>
          <w:p>
            <w:pPr>
              <w:jc w:val="right"/>
              <w:ind w:right="500"/>
              <w:spacing w:after="0"/>
              <w:rPr>
                <w:sz w:val="20"/>
                <w:szCs w:val="20"/>
                <w:color w:val="auto"/>
              </w:rPr>
            </w:pPr>
            <w:r>
              <w:rPr>
                <w:rFonts w:ascii="Arial" w:cs="Arial" w:eastAsia="Arial" w:hAnsi="Arial"/>
                <w:sz w:val="20"/>
                <w:szCs w:val="20"/>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Amendment to Lock-Up, Voting and Standstill Agreement)</w:t>
      </w:r>
    </w:p>
    <w:p>
      <w:pPr>
        <w:sectPr>
          <w:pgSz w:w="11900" w:h="16838" w:orient="portrait"/>
          <w:cols w:equalWidth="0" w:num="1">
            <w:col w:w="11180"/>
          </w:cols>
          <w:pgMar w:left="320" w:top="339" w:right="39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10.16</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w:t>
      </w:r>
    </w:p>
    <w:p>
      <w:pPr>
        <w:jc w:val="center"/>
        <w:spacing w:after="0"/>
        <w:rPr>
          <w:sz w:val="20"/>
          <w:szCs w:val="20"/>
          <w:color w:val="auto"/>
        </w:rPr>
      </w:pPr>
      <w:r>
        <w:rPr>
          <w:rFonts w:ascii="Arial" w:cs="Arial" w:eastAsia="Arial" w:hAnsi="Arial"/>
          <w:sz w:val="20"/>
          <w:szCs w:val="20"/>
          <w:b w:val="1"/>
          <w:bCs w:val="1"/>
          <w:color w:val="auto"/>
        </w:rPr>
        <w:t>LOCK-UP, VOTING AND STANDSTILL AGREEMENT</w:t>
      </w:r>
    </w:p>
    <w:p>
      <w:pPr>
        <w:spacing w:after="0" w:line="19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color w:val="auto"/>
        </w:rPr>
        <w:t>This AMENDMENT TO LOCK-UP, VOTING AND STANDSTILL AGREEMENT (this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dated as of May 31, 2021, is entered into by and 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TERIAN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xml:space="preserve">, a Delaware corporation (f/k/a </w:t>
      </w:r>
      <w:r>
        <w:rPr>
          <w:rFonts w:ascii="Arial" w:cs="Arial" w:eastAsia="Arial" w:hAnsi="Arial"/>
          <w:sz w:val="20"/>
          <w:szCs w:val="20"/>
          <w:b w:val="1"/>
          <w:bCs w:val="1"/>
          <w:color w:val="auto"/>
        </w:rPr>
        <w:t>M</w:t>
      </w:r>
      <w:r>
        <w:rPr>
          <w:rFonts w:ascii="Arial" w:cs="Arial" w:eastAsia="Arial" w:hAnsi="Arial"/>
          <w:sz w:val="13"/>
          <w:szCs w:val="13"/>
          <w:b w:val="1"/>
          <w:bCs w:val="1"/>
          <w:color w:val="auto"/>
        </w:rPr>
        <w:t>OHAWK</w:t>
      </w:r>
      <w:r>
        <w:rPr>
          <w:rFonts w:ascii="Arial" w:cs="Arial" w:eastAsia="Arial" w:hAnsi="Arial"/>
          <w:sz w:val="20"/>
          <w:szCs w:val="20"/>
          <w:color w:val="auto"/>
        </w:rPr>
        <w:t xml:space="preserve"> </w:t>
      </w:r>
      <w:r>
        <w:rPr>
          <w:rFonts w:ascii="Arial" w:cs="Arial" w:eastAsia="Arial" w:hAnsi="Arial"/>
          <w:sz w:val="20"/>
          <w:szCs w:val="20"/>
          <w:b w:val="1"/>
          <w:bCs w:val="1"/>
          <w:color w:val="auto"/>
        </w:rPr>
        <w:t>G</w:t>
      </w:r>
      <w:r>
        <w:rPr>
          <w:rFonts w:ascii="Arial" w:cs="Arial" w:eastAsia="Arial" w:hAnsi="Arial"/>
          <w:sz w:val="13"/>
          <w:szCs w:val="13"/>
          <w:b w:val="1"/>
          <w:bCs w:val="1"/>
          <w:color w:val="auto"/>
        </w:rPr>
        <w:t>ROUP</w:t>
      </w:r>
      <w:r>
        <w:rPr>
          <w:rFonts w:ascii="Arial" w:cs="Arial" w:eastAsia="Arial" w:hAnsi="Arial"/>
          <w:sz w:val="20"/>
          <w:szCs w:val="20"/>
          <w:color w:val="auto"/>
        </w:rPr>
        <w:t xml:space="preserve"> </w:t>
      </w:r>
      <w:r>
        <w:rPr>
          <w:rFonts w:ascii="Arial" w:cs="Arial" w:eastAsia="Arial" w:hAnsi="Arial"/>
          <w:sz w:val="20"/>
          <w:szCs w:val="20"/>
          <w:b w:val="1"/>
          <w:bCs w:val="1"/>
          <w:color w:val="auto"/>
        </w:rPr>
        <w:t>H</w:t>
      </w:r>
      <w:r>
        <w:rPr>
          <w:rFonts w:ascii="Arial" w:cs="Arial" w:eastAsia="Arial" w:hAnsi="Arial"/>
          <w:sz w:val="13"/>
          <w:szCs w:val="13"/>
          <w:b w:val="1"/>
          <w:bCs w:val="1"/>
          <w:color w:val="auto"/>
        </w:rPr>
        <w:t>OLDINGS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w:t>
      </w:r>
      <w:r>
        <w:rPr>
          <w:rFonts w:ascii="Arial" w:cs="Arial" w:eastAsia="Arial" w:hAnsi="Arial"/>
          <w:sz w:val="20"/>
          <w:szCs w:val="20"/>
          <w:b w:val="1"/>
          <w:bCs w:val="1"/>
          <w:color w:val="auto"/>
        </w:rPr>
        <w:t>9830 M</w:t>
      </w:r>
      <w:r>
        <w:rPr>
          <w:rFonts w:ascii="Arial" w:cs="Arial" w:eastAsia="Arial" w:hAnsi="Arial"/>
          <w:sz w:val="13"/>
          <w:szCs w:val="13"/>
          <w:b w:val="1"/>
          <w:bCs w:val="1"/>
          <w:color w:val="auto"/>
        </w:rPr>
        <w:t>ACARTHUR</w:t>
      </w:r>
      <w:r>
        <w:rPr>
          <w:rFonts w:ascii="Arial" w:cs="Arial" w:eastAsia="Arial" w:hAnsi="Arial"/>
          <w:sz w:val="20"/>
          <w:szCs w:val="20"/>
          <w:b w:val="1"/>
          <w:bCs w:val="1"/>
          <w:color w:val="auto"/>
        </w:rPr>
        <w:t xml:space="preserve"> LLC</w:t>
      </w:r>
      <w:r>
        <w:rPr>
          <w:rFonts w:ascii="Arial" w:cs="Arial" w:eastAsia="Arial" w:hAnsi="Arial"/>
          <w:sz w:val="20"/>
          <w:szCs w:val="20"/>
          <w:color w:val="auto"/>
        </w:rPr>
        <w:t>, a Wyoming limited liability company (the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8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the Company and the Stockholder are parties to that certain Lock-Up, Voting and Standstill Agreement (the “</w:t>
      </w:r>
      <w:r>
        <w:rPr>
          <w:rFonts w:ascii="Arial" w:cs="Arial" w:eastAsia="Arial" w:hAnsi="Arial"/>
          <w:sz w:val="20"/>
          <w:szCs w:val="20"/>
          <w:b w:val="1"/>
          <w:bCs w:val="1"/>
          <w:color w:val="auto"/>
        </w:rPr>
        <w:t>Agreement</w:t>
      </w:r>
      <w:r>
        <w:rPr>
          <w:rFonts w:ascii="Arial" w:cs="Arial" w:eastAsia="Arial" w:hAnsi="Arial"/>
          <w:sz w:val="20"/>
          <w:szCs w:val="20"/>
          <w:color w:val="auto"/>
        </w:rPr>
        <w:t>”), dated as of December 1, 2020;</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WHEREAS, capitalized terms used and not defined herein shall have the meanings set forth in the Agreement;</w:t>
      </w:r>
    </w:p>
    <w:p>
      <w:pPr>
        <w:spacing w:after="0" w:line="21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WHEREAS, Section 10.3 of the Agreement provides that the Agreement may be amended with the written consent of the Parent and the holders of at least 75% of the Stockholder Shares; and</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WHEREAS, the Parties desire to amend the Agreement to extend the lock-up period provided for in the Agreement (such period commencing on the Closing Date and ending six months thereafter) such that it ends on December 1, 2021, along with such other amendments that are necessary or advisable in connection therewith.</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NOW, THEREFORE, the parties hereto agree as follows:</w:t>
      </w:r>
    </w:p>
    <w:p>
      <w:pPr>
        <w:spacing w:after="0" w:line="229" w:lineRule="exact"/>
        <w:rPr>
          <w:sz w:val="20"/>
          <w:szCs w:val="20"/>
          <w:color w:val="auto"/>
        </w:rPr>
      </w:pPr>
    </w:p>
    <w:p>
      <w:pPr>
        <w:ind w:firstLine="872"/>
        <w:spacing w:after="0" w:line="238" w:lineRule="auto"/>
        <w:tabs>
          <w:tab w:leader="none" w:pos="1674" w:val="left"/>
        </w:tabs>
        <w:numPr>
          <w:ilvl w:val="0"/>
          <w:numId w:val="45"/>
        </w:numPr>
        <w:rPr>
          <w:rFonts w:ascii="Arial" w:cs="Arial" w:eastAsia="Arial" w:hAnsi="Arial"/>
          <w:sz w:val="22"/>
          <w:szCs w:val="22"/>
          <w:color w:val="auto"/>
        </w:rPr>
      </w:pPr>
      <w:r>
        <w:rPr>
          <w:rFonts w:ascii="Arial" w:cs="Arial" w:eastAsia="Arial" w:hAnsi="Arial"/>
          <w:sz w:val="20"/>
          <w:szCs w:val="20"/>
          <w:color w:val="auto"/>
        </w:rPr>
        <w:t>The definition of “Existing Securities” is hereby amended, solely for the purposes of such term’s use in the definition of “Subject Securities” in Section 3.1 of the Agreement, to replace the reference to “4,056,000” with “800,000”.</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674" w:val="left"/>
        </w:tabs>
        <w:numPr>
          <w:ilvl w:val="0"/>
          <w:numId w:val="45"/>
        </w:numPr>
        <w:rPr>
          <w:rFonts w:ascii="Arial" w:cs="Arial" w:eastAsia="Arial" w:hAnsi="Arial"/>
          <w:sz w:val="22"/>
          <w:szCs w:val="22"/>
          <w:color w:val="auto"/>
        </w:rPr>
      </w:pPr>
      <w:r>
        <w:rPr>
          <w:rFonts w:ascii="Arial" w:cs="Arial" w:eastAsia="Arial" w:hAnsi="Arial"/>
          <w:sz w:val="20"/>
          <w:szCs w:val="20"/>
          <w:color w:val="auto"/>
        </w:rPr>
        <w:t>Section 3.1 of the Agreement is hereby amended to replace the following language in the first sentence in such section “in each case at any time during the period commencing on the Closing Date and ending six months thereafter” with “in each case at any time during the period commencing on the Closing Date and ending on December 1, 2021”.</w:t>
      </w:r>
    </w:p>
    <w:p>
      <w:pPr>
        <w:spacing w:after="0" w:line="211" w:lineRule="exact"/>
        <w:rPr>
          <w:rFonts w:ascii="Arial" w:cs="Arial" w:eastAsia="Arial" w:hAnsi="Arial"/>
          <w:sz w:val="22"/>
          <w:szCs w:val="22"/>
          <w:color w:val="auto"/>
        </w:rPr>
      </w:pPr>
    </w:p>
    <w:p>
      <w:pPr>
        <w:jc w:val="both"/>
        <w:ind w:firstLine="872"/>
        <w:spacing w:after="0" w:line="277" w:lineRule="auto"/>
        <w:tabs>
          <w:tab w:leader="none" w:pos="1674" w:val="left"/>
        </w:tabs>
        <w:numPr>
          <w:ilvl w:val="0"/>
          <w:numId w:val="45"/>
        </w:numPr>
        <w:rPr>
          <w:rFonts w:ascii="Arial" w:cs="Arial" w:eastAsia="Arial" w:hAnsi="Arial"/>
          <w:sz w:val="19"/>
          <w:szCs w:val="19"/>
          <w:color w:val="auto"/>
        </w:rPr>
      </w:pPr>
      <w:r>
        <w:rPr>
          <w:rFonts w:ascii="Arial" w:cs="Arial" w:eastAsia="Arial" w:hAnsi="Arial"/>
          <w:sz w:val="18"/>
          <w:szCs w:val="18"/>
          <w:color w:val="auto"/>
        </w:rPr>
        <w:t>Except to the extent amended by this Amendment, all of the provisions of the Agreement shall continue in full force and effect and shall remain enforceable and binding against all parties in accordance with their terms. If there is an inconsistency between the terms of the Agreement and the terms of this Amendment, the terms of this Amendment will prevail. After the date of this Amendment, all references in the Agreement to the “Agreement” shall mean the Agreement, as amended by this Amendment.</w:t>
      </w:r>
    </w:p>
    <w:p>
      <w:pPr>
        <w:spacing w:after="0" w:line="178" w:lineRule="exact"/>
        <w:rPr>
          <w:rFonts w:ascii="Arial" w:cs="Arial" w:eastAsia="Arial" w:hAnsi="Arial"/>
          <w:sz w:val="19"/>
          <w:szCs w:val="19"/>
          <w:color w:val="auto"/>
        </w:rPr>
      </w:pPr>
    </w:p>
    <w:p>
      <w:pPr>
        <w:ind w:left="1680" w:hanging="808"/>
        <w:spacing w:after="0"/>
        <w:tabs>
          <w:tab w:leader="none" w:pos="1680" w:val="left"/>
        </w:tabs>
        <w:numPr>
          <w:ilvl w:val="0"/>
          <w:numId w:val="45"/>
        </w:numPr>
        <w:rPr>
          <w:rFonts w:ascii="Arial" w:cs="Arial" w:eastAsia="Arial" w:hAnsi="Arial"/>
          <w:sz w:val="18"/>
          <w:szCs w:val="18"/>
          <w:color w:val="auto"/>
        </w:rPr>
      </w:pPr>
      <w:r>
        <w:rPr>
          <w:rFonts w:ascii="Arial" w:cs="Arial" w:eastAsia="Arial" w:hAnsi="Arial"/>
          <w:sz w:val="17"/>
          <w:szCs w:val="17"/>
          <w:color w:val="auto"/>
        </w:rPr>
        <w:t xml:space="preserve">The provisions of Sections 10.3, 10.6, 10.7 and 10.8 of the Agreement are hereby incorporated herein, </w:t>
      </w:r>
      <w:r>
        <w:rPr>
          <w:rFonts w:ascii="Arial" w:cs="Arial" w:eastAsia="Arial" w:hAnsi="Arial"/>
          <w:sz w:val="17"/>
          <w:szCs w:val="17"/>
          <w:i w:val="1"/>
          <w:iCs w:val="1"/>
          <w:color w:val="auto"/>
        </w:rPr>
        <w:t>mutatis mutandis.</w:t>
      </w:r>
    </w:p>
    <w:p>
      <w:pPr>
        <w:spacing w:after="0" w:line="238" w:lineRule="exact"/>
        <w:rPr>
          <w:rFonts w:ascii="Arial" w:cs="Arial" w:eastAsia="Arial" w:hAnsi="Arial"/>
          <w:sz w:val="18"/>
          <w:szCs w:val="18"/>
          <w:color w:val="auto"/>
        </w:rPr>
      </w:pPr>
    </w:p>
    <w:p>
      <w:pPr>
        <w:ind w:left="3100"/>
        <w:spacing w:after="0"/>
        <w:rPr>
          <w:rFonts w:ascii="Arial" w:cs="Arial" w:eastAsia="Arial" w:hAnsi="Arial"/>
          <w:sz w:val="18"/>
          <w:szCs w:val="18"/>
          <w:color w:val="auto"/>
        </w:rPr>
      </w:pPr>
      <w:r>
        <w:rPr>
          <w:rFonts w:ascii="Arial" w:cs="Arial" w:eastAsia="Arial" w:hAnsi="Arial"/>
          <w:sz w:val="20"/>
          <w:szCs w:val="20"/>
          <w:color w:val="auto"/>
        </w:rPr>
        <w:t>[REMAINDER OF PAGE INTENTIONALLY LEFT BLANK]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LEGAL_US_W # 107573229.9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394970</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IN WITNESS WHEREOF, the undersigned have executed this Amendment to the Agreement as of the date first above written.</w:t>
      </w:r>
    </w:p>
    <w:p>
      <w:pPr>
        <w:spacing w:after="0" w:line="200" w:lineRule="exact"/>
        <w:rPr>
          <w:sz w:val="20"/>
          <w:szCs w:val="20"/>
          <w:color w:val="auto"/>
        </w:rPr>
      </w:pPr>
    </w:p>
    <w:p>
      <w:pPr>
        <w:spacing w:after="0" w:line="262" w:lineRule="exact"/>
        <w:rPr>
          <w:sz w:val="20"/>
          <w:szCs w:val="20"/>
          <w:color w:val="auto"/>
        </w:rPr>
      </w:pPr>
    </w:p>
    <w:p>
      <w:pPr>
        <w:ind w:left="4320"/>
        <w:spacing w:after="0"/>
        <w:rPr>
          <w:sz w:val="20"/>
          <w:szCs w:val="20"/>
          <w:color w:val="auto"/>
        </w:rPr>
      </w:pPr>
      <w:r>
        <w:rPr>
          <w:rFonts w:ascii="Arial" w:cs="Arial" w:eastAsia="Arial" w:hAnsi="Arial"/>
          <w:sz w:val="20"/>
          <w:szCs w:val="20"/>
          <w:b w:val="1"/>
          <w:bCs w:val="1"/>
          <w:u w:val="single" w:color="auto"/>
          <w:color w:val="auto"/>
        </w:rPr>
        <w:t>COMPANY</w:t>
      </w:r>
      <w:r>
        <w:rPr>
          <w:rFonts w:ascii="Arial" w:cs="Arial" w:eastAsia="Arial" w:hAnsi="Arial"/>
          <w:sz w:val="20"/>
          <w:szCs w:val="20"/>
          <w:b w:val="1"/>
          <w:bCs w:val="1"/>
          <w:color w:val="auto"/>
        </w:rPr>
        <w:t>:</w:t>
      </w:r>
    </w:p>
    <w:p>
      <w:pPr>
        <w:spacing w:after="0" w:line="216"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ATERIAN, INC.</w:t>
      </w:r>
    </w:p>
    <w:p>
      <w:pPr>
        <w:spacing w:after="0" w:line="200" w:lineRule="exact"/>
        <w:rPr>
          <w:sz w:val="20"/>
          <w:szCs w:val="20"/>
          <w:color w:val="auto"/>
        </w:rPr>
      </w:pPr>
    </w:p>
    <w:p>
      <w:pPr>
        <w:spacing w:after="0" w:line="22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20"/>
                <w:szCs w:val="20"/>
                <w:color w:val="auto"/>
              </w:rPr>
              <w:t>By:</w:t>
            </w:r>
          </w:p>
        </w:tc>
        <w:tc>
          <w:tcPr>
            <w:tcW w:w="224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20"/>
                <w:szCs w:val="20"/>
                <w:color w:val="auto"/>
              </w:rPr>
              <w:t>/s/ Yaniv</w:t>
            </w:r>
          </w:p>
        </w:tc>
      </w:tr>
      <w:tr>
        <w:trPr>
          <w:trHeight w:val="209"/>
        </w:trPr>
        <w:tc>
          <w:tcPr>
            <w:tcW w:w="258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Sarig</w:t>
            </w:r>
          </w:p>
        </w:tc>
        <w:tc>
          <w:tcPr>
            <w:tcW w:w="2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r>
      <w:tr>
        <w:trPr>
          <w:trHeight w:val="233"/>
        </w:trPr>
        <w:tc>
          <w:tcPr>
            <w:tcW w:w="2580" w:type="dxa"/>
            <w:vAlign w:val="bottom"/>
          </w:tcPr>
          <w:p>
            <w:pPr>
              <w:spacing w:after="0"/>
              <w:rPr>
                <w:sz w:val="20"/>
                <w:szCs w:val="20"/>
                <w:color w:val="auto"/>
              </w:rPr>
            </w:pPr>
            <w:r>
              <w:rPr>
                <w:rFonts w:ascii="Arial" w:cs="Arial" w:eastAsia="Arial" w:hAnsi="Arial"/>
                <w:sz w:val="20"/>
                <w:szCs w:val="20"/>
                <w:color w:val="auto"/>
              </w:rPr>
              <w:t>Name:</w:t>
            </w:r>
          </w:p>
        </w:tc>
        <w:tc>
          <w:tcPr>
            <w:tcW w:w="2240" w:type="dxa"/>
            <w:vAlign w:val="bottom"/>
          </w:tcPr>
          <w:p>
            <w:pPr>
              <w:spacing w:after="0"/>
              <w:rPr>
                <w:sz w:val="20"/>
                <w:szCs w:val="20"/>
                <w:color w:val="auto"/>
              </w:rPr>
            </w:pPr>
          </w:p>
        </w:tc>
        <w:tc>
          <w:tcPr>
            <w:tcW w:w="1160" w:type="dxa"/>
            <w:vAlign w:val="bottom"/>
            <w:gridSpan w:val="2"/>
          </w:tcPr>
          <w:p>
            <w:pPr>
              <w:ind w:left="240"/>
              <w:spacing w:after="0"/>
              <w:rPr>
                <w:sz w:val="20"/>
                <w:szCs w:val="20"/>
                <w:color w:val="auto"/>
              </w:rPr>
            </w:pPr>
            <w:r>
              <w:rPr>
                <w:rFonts w:ascii="Arial" w:cs="Arial" w:eastAsia="Arial" w:hAnsi="Arial"/>
                <w:sz w:val="20"/>
                <w:szCs w:val="20"/>
                <w:color w:val="auto"/>
                <w:w w:val="87"/>
              </w:rPr>
              <w:t>Yaniv Sarig</w:t>
            </w:r>
          </w:p>
        </w:tc>
      </w:tr>
      <w:tr>
        <w:trPr>
          <w:trHeight w:val="229"/>
        </w:trPr>
        <w:tc>
          <w:tcPr>
            <w:tcW w:w="2580" w:type="dxa"/>
            <w:vAlign w:val="bottom"/>
          </w:tcPr>
          <w:p>
            <w:pPr>
              <w:spacing w:after="0"/>
              <w:rPr>
                <w:sz w:val="20"/>
                <w:szCs w:val="20"/>
                <w:color w:val="auto"/>
              </w:rPr>
            </w:pPr>
            <w:r>
              <w:rPr>
                <w:rFonts w:ascii="Arial" w:cs="Arial" w:eastAsia="Arial" w:hAnsi="Arial"/>
                <w:sz w:val="20"/>
                <w:szCs w:val="20"/>
                <w:color w:val="auto"/>
              </w:rPr>
              <w:t>Its:</w:t>
            </w:r>
          </w:p>
        </w:tc>
        <w:tc>
          <w:tcPr>
            <w:tcW w:w="3400" w:type="dxa"/>
            <w:vAlign w:val="bottom"/>
            <w:gridSpan w:val="3"/>
          </w:tcPr>
          <w:p>
            <w:pPr>
              <w:ind w:left="2200"/>
              <w:spacing w:after="0"/>
              <w:rPr>
                <w:sz w:val="20"/>
                <w:szCs w:val="20"/>
                <w:color w:val="auto"/>
              </w:rPr>
            </w:pPr>
            <w:r>
              <w:rPr>
                <w:rFonts w:ascii="Arial" w:cs="Arial" w:eastAsia="Arial" w:hAnsi="Arial"/>
                <w:sz w:val="20"/>
                <w:szCs w:val="20"/>
                <w:color w:val="auto"/>
              </w:rPr>
              <w:t>Chief</w:t>
            </w:r>
          </w:p>
        </w:tc>
      </w:tr>
      <w:tr>
        <w:trPr>
          <w:trHeight w:val="250"/>
        </w:trPr>
        <w:tc>
          <w:tcPr>
            <w:tcW w:w="2580" w:type="dxa"/>
            <w:vAlign w:val="bottom"/>
          </w:tcPr>
          <w:p>
            <w:pPr>
              <w:spacing w:after="0"/>
              <w:rPr>
                <w:sz w:val="20"/>
                <w:szCs w:val="20"/>
                <w:color w:val="auto"/>
              </w:rPr>
            </w:pPr>
            <w:r>
              <w:rPr>
                <w:rFonts w:ascii="Arial" w:cs="Arial" w:eastAsia="Arial" w:hAnsi="Arial"/>
                <w:sz w:val="20"/>
                <w:szCs w:val="20"/>
                <w:color w:val="auto"/>
              </w:rPr>
              <w:t>Executive Officer</w:t>
            </w:r>
          </w:p>
        </w:tc>
        <w:tc>
          <w:tcPr>
            <w:tcW w:w="2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(Signature Page to Amendment to Lock-Up, Voting and Standstill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207645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00"/>
          </w:cols>
          <w:pgMar w:left="1200" w:top="771" w:right="39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IN WITNESS WHEREOF, the undersigned have executed this Amendment to the Agreement as of the date first above written.</w:t>
      </w:r>
    </w:p>
    <w:p>
      <w:pPr>
        <w:spacing w:after="0" w:line="223" w:lineRule="exact"/>
        <w:rPr>
          <w:sz w:val="20"/>
          <w:szCs w:val="20"/>
          <w:color w:val="auto"/>
        </w:rPr>
      </w:pPr>
    </w:p>
    <w:p>
      <w:pPr>
        <w:ind w:left="5200"/>
        <w:spacing w:after="0"/>
        <w:rPr>
          <w:sz w:val="20"/>
          <w:szCs w:val="20"/>
          <w:color w:val="auto"/>
        </w:rPr>
      </w:pPr>
      <w:r>
        <w:rPr>
          <w:rFonts w:ascii="Arial" w:cs="Arial" w:eastAsia="Arial" w:hAnsi="Arial"/>
          <w:sz w:val="20"/>
          <w:szCs w:val="20"/>
          <w:b w:val="1"/>
          <w:bCs w:val="1"/>
          <w:u w:val="single" w:color="auto"/>
          <w:color w:val="auto"/>
        </w:rPr>
        <w:t>STOCKHOLDER</w:t>
      </w:r>
      <w:r>
        <w:rPr>
          <w:rFonts w:ascii="Arial" w:cs="Arial" w:eastAsia="Arial" w:hAnsi="Arial"/>
          <w:sz w:val="20"/>
          <w:szCs w:val="20"/>
          <w:b w:val="1"/>
          <w:bCs w:val="1"/>
          <w:color w:val="auto"/>
        </w:rPr>
        <w:t>:</w:t>
      </w: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9830 MACARTHUR LLC</w:t>
      </w:r>
    </w:p>
    <w:p>
      <w:pPr>
        <w:spacing w:after="0" w:line="216" w:lineRule="exact"/>
        <w:rPr>
          <w:sz w:val="20"/>
          <w:szCs w:val="20"/>
          <w:color w:val="auto"/>
        </w:rPr>
      </w:pPr>
    </w:p>
    <w:p>
      <w:pPr>
        <w:ind w:left="5200" w:right="80"/>
        <w:spacing w:after="0" w:line="267" w:lineRule="auto"/>
        <w:rPr>
          <w:sz w:val="20"/>
          <w:szCs w:val="20"/>
          <w:color w:val="auto"/>
        </w:rPr>
      </w:pPr>
      <w:r>
        <w:rPr>
          <w:rFonts w:ascii="Arial" w:cs="Arial" w:eastAsia="Arial" w:hAnsi="Arial"/>
          <w:sz w:val="20"/>
          <w:szCs w:val="20"/>
          <w:b w:val="1"/>
          <w:bCs w:val="1"/>
          <w:color w:val="auto"/>
        </w:rPr>
        <w:t>By its Manager: NIJOR CHILDREN’S IRREVOCABLE TRUST UA, DATED JANUARY 2, 2017</w:t>
      </w:r>
    </w:p>
    <w:p>
      <w:pPr>
        <w:spacing w:after="0" w:line="375"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20"/>
                <w:szCs w:val="20"/>
                <w:color w:val="auto"/>
              </w:rPr>
              <w:t>By:</w:t>
            </w:r>
          </w:p>
        </w:tc>
        <w:tc>
          <w:tcPr>
            <w:tcW w:w="176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20"/>
                <w:szCs w:val="20"/>
                <w:color w:val="auto"/>
              </w:rPr>
              <w:t>s/ Jelena</w:t>
            </w:r>
          </w:p>
        </w:tc>
        <w:tc>
          <w:tcPr>
            <w:tcW w:w="0" w:type="dxa"/>
            <w:vAlign w:val="bottom"/>
          </w:tcPr>
          <w:p>
            <w:pPr>
              <w:spacing w:after="0"/>
              <w:rPr>
                <w:sz w:val="1"/>
                <w:szCs w:val="1"/>
                <w:color w:val="auto"/>
              </w:rPr>
            </w:pPr>
          </w:p>
        </w:tc>
      </w:tr>
      <w:tr>
        <w:trPr>
          <w:trHeight w:val="209"/>
        </w:trPr>
        <w:tc>
          <w:tcPr>
            <w:tcW w:w="3060" w:type="dxa"/>
            <w:vAlign w:val="bottom"/>
            <w:tcBorders>
              <w:bottom w:val="single" w:sz="8" w:color="auto"/>
            </w:tcBorders>
          </w:tcPr>
          <w:p>
            <w:pPr>
              <w:spacing w:after="0" w:line="209" w:lineRule="exact"/>
              <w:rPr>
                <w:sz w:val="20"/>
                <w:szCs w:val="20"/>
                <w:color w:val="auto"/>
              </w:rPr>
            </w:pPr>
            <w:r>
              <w:rPr>
                <w:rFonts w:ascii="Arial" w:cs="Arial" w:eastAsia="Arial" w:hAnsi="Arial"/>
                <w:sz w:val="20"/>
                <w:szCs w:val="20"/>
                <w:color w:val="auto"/>
              </w:rPr>
              <w:t>Puzovic</w:t>
            </w:r>
          </w:p>
        </w:tc>
        <w:tc>
          <w:tcPr>
            <w:tcW w:w="17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060" w:type="dxa"/>
            <w:vAlign w:val="bottom"/>
          </w:tcPr>
          <w:p>
            <w:pPr>
              <w:spacing w:after="0"/>
              <w:rPr>
                <w:sz w:val="20"/>
                <w:szCs w:val="20"/>
                <w:color w:val="auto"/>
              </w:rPr>
            </w:pPr>
            <w:r>
              <w:rPr>
                <w:rFonts w:ascii="Arial" w:cs="Arial" w:eastAsia="Arial" w:hAnsi="Arial"/>
                <w:sz w:val="20"/>
                <w:szCs w:val="20"/>
                <w:color w:val="auto"/>
              </w:rPr>
              <w:t>Name:</w:t>
            </w:r>
          </w:p>
        </w:tc>
        <w:tc>
          <w:tcPr>
            <w:tcW w:w="176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20"/>
                <w:szCs w:val="20"/>
                <w:color w:val="auto"/>
                <w:w w:val="81"/>
              </w:rPr>
              <w:t>Jelena</w:t>
            </w:r>
          </w:p>
        </w:tc>
        <w:tc>
          <w:tcPr>
            <w:tcW w:w="0" w:type="dxa"/>
            <w:vAlign w:val="bottom"/>
          </w:tcPr>
          <w:p>
            <w:pPr>
              <w:spacing w:after="0"/>
              <w:rPr>
                <w:sz w:val="1"/>
                <w:szCs w:val="1"/>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20"/>
                <w:szCs w:val="20"/>
                <w:color w:val="auto"/>
              </w:rPr>
              <w:t>Puzovic</w:t>
            </w: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20"/>
                <w:szCs w:val="20"/>
                <w:color w:val="auto"/>
              </w:rPr>
              <w:t>Its:</w:t>
            </w:r>
          </w:p>
        </w:tc>
        <w:tc>
          <w:tcPr>
            <w:tcW w:w="2940" w:type="dxa"/>
            <w:vAlign w:val="bottom"/>
            <w:gridSpan w:val="3"/>
          </w:tcPr>
          <w:p>
            <w:pPr>
              <w:jc w:val="center"/>
              <w:ind w:left="1501"/>
              <w:spacing w:after="0"/>
              <w:rPr>
                <w:sz w:val="20"/>
                <w:szCs w:val="20"/>
                <w:color w:val="auto"/>
              </w:rPr>
            </w:pPr>
            <w:r>
              <w:rPr>
                <w:rFonts w:ascii="Arial" w:cs="Arial" w:eastAsia="Arial" w:hAnsi="Arial"/>
                <w:sz w:val="20"/>
                <w:szCs w:val="20"/>
                <w:color w:val="auto"/>
                <w:w w:val="89"/>
              </w:rPr>
              <w:t>Trustee of the</w:t>
            </w: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Nijor Children’s Irrevocable Trust</w:t>
            </w:r>
          </w:p>
        </w:tc>
        <w:tc>
          <w:tcPr>
            <w:tcW w:w="2940" w:type="dxa"/>
            <w:vAlign w:val="bottom"/>
            <w:gridSpan w:val="3"/>
            <w:vMerge w:val="restart"/>
          </w:tcPr>
          <w:p>
            <w:pPr>
              <w:ind w:left="1460"/>
              <w:spacing w:after="0"/>
              <w:rPr>
                <w:sz w:val="20"/>
                <w:szCs w:val="20"/>
                <w:color w:val="auto"/>
              </w:rPr>
            </w:pPr>
            <w:r>
              <w:rPr>
                <w:rFonts w:ascii="Arial" w:cs="Arial" w:eastAsia="Arial" w:hAnsi="Arial"/>
                <w:sz w:val="20"/>
                <w:szCs w:val="20"/>
                <w:color w:val="auto"/>
                <w:w w:val="88"/>
              </w:rPr>
              <w:t>UA, dated January</w:t>
            </w:r>
          </w:p>
        </w:tc>
        <w:tc>
          <w:tcPr>
            <w:tcW w:w="0" w:type="dxa"/>
            <w:vAlign w:val="bottom"/>
          </w:tcPr>
          <w:p>
            <w:pPr>
              <w:spacing w:after="0"/>
              <w:rPr>
                <w:sz w:val="1"/>
                <w:szCs w:val="1"/>
                <w:color w:val="auto"/>
              </w:rPr>
            </w:pPr>
          </w:p>
        </w:tc>
      </w:tr>
      <w:tr>
        <w:trPr>
          <w:trHeight w:val="229"/>
        </w:trPr>
        <w:tc>
          <w:tcPr>
            <w:tcW w:w="3060" w:type="dxa"/>
            <w:vAlign w:val="bottom"/>
            <w:vMerge w:val="restart"/>
          </w:tcPr>
          <w:p>
            <w:pPr>
              <w:spacing w:after="0"/>
              <w:rPr>
                <w:sz w:val="20"/>
                <w:szCs w:val="20"/>
                <w:color w:val="auto"/>
              </w:rPr>
            </w:pPr>
            <w:r>
              <w:rPr>
                <w:rFonts w:ascii="Arial" w:cs="Arial" w:eastAsia="Arial" w:hAnsi="Arial"/>
                <w:sz w:val="20"/>
                <w:szCs w:val="20"/>
                <w:color w:val="auto"/>
              </w:rPr>
              <w:t>2, 2017, as Manager of 9830</w:t>
            </w:r>
          </w:p>
        </w:tc>
        <w:tc>
          <w:tcPr>
            <w:tcW w:w="2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vMerge w:val="continue"/>
          </w:tcPr>
          <w:p>
            <w:pPr>
              <w:spacing w:after="0"/>
              <w:rPr>
                <w:sz w:val="19"/>
                <w:szCs w:val="19"/>
                <w:color w:val="auto"/>
              </w:rPr>
            </w:pPr>
          </w:p>
        </w:tc>
        <w:tc>
          <w:tcPr>
            <w:tcW w:w="2940" w:type="dxa"/>
            <w:vAlign w:val="bottom"/>
            <w:gridSpan w:val="3"/>
            <w:vMerge w:val="restart"/>
          </w:tcPr>
          <w:p>
            <w:pPr>
              <w:ind w:left="1460"/>
              <w:spacing w:after="0"/>
              <w:rPr>
                <w:sz w:val="20"/>
                <w:szCs w:val="20"/>
                <w:color w:val="auto"/>
              </w:rPr>
            </w:pPr>
            <w:r>
              <w:rPr>
                <w:rFonts w:ascii="Arial" w:cs="Arial" w:eastAsia="Arial" w:hAnsi="Arial"/>
                <w:sz w:val="20"/>
                <w:szCs w:val="20"/>
                <w:color w:val="auto"/>
              </w:rPr>
              <w:t>Macarthur LLC</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19"/>
                <w:szCs w:val="19"/>
                <w:color w:val="auto"/>
              </w:rPr>
            </w:pPr>
          </w:p>
        </w:tc>
        <w:tc>
          <w:tcPr>
            <w:tcW w:w="29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Amendment to Lock-Up, Voting and Standstill Agreement)</w:t>
      </w:r>
    </w:p>
    <w:p>
      <w:pPr>
        <w:sectPr>
          <w:pgSz w:w="11900" w:h="16838" w:orient="portrait"/>
          <w:cols w:equalWidth="0" w:num="1">
            <w:col w:w="11200"/>
          </w:cols>
          <w:pgMar w:left="320" w:top="339" w:right="37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LOCK-UP AGREEMENT</w:t>
      </w:r>
    </w:p>
    <w:p>
      <w:pPr>
        <w:spacing w:after="0" w:line="32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OCK</w:t>
      </w:r>
      <w:r>
        <w:rPr>
          <w:rFonts w:ascii="Arial" w:cs="Arial" w:eastAsia="Arial" w:hAnsi="Arial"/>
          <w:sz w:val="20"/>
          <w:szCs w:val="20"/>
          <w:b w:val="1"/>
          <w:bCs w:val="1"/>
          <w:color w:val="auto"/>
        </w:rPr>
        <w:t>-U</w:t>
      </w:r>
      <w:r>
        <w:rPr>
          <w:rFonts w:ascii="Arial" w:cs="Arial" w:eastAsia="Arial" w:hAnsi="Arial"/>
          <w:sz w:val="13"/>
          <w:szCs w:val="13"/>
          <w:b w:val="1"/>
          <w:bCs w:val="1"/>
          <w:color w:val="auto"/>
        </w:rPr>
        <w:t>P</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(as amended, restated, supplemented or otherwise modified in accordance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10.3</w:t>
      </w:r>
      <w:r>
        <w:rPr>
          <w:rFonts w:ascii="Arial" w:cs="Arial" w:eastAsia="Arial" w:hAnsi="Arial"/>
          <w:sz w:val="20"/>
          <w:szCs w:val="20"/>
          <w:color w:val="auto"/>
        </w:rPr>
        <w:t>, this</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made and entered into as of May 31, 2021 by and 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TERIAN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Yaniv Sarig (the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all of the shares of the Company’s common stock, $0.0001 par value per share (the “</w:t>
      </w:r>
      <w:r>
        <w:rPr>
          <w:rFonts w:ascii="Arial" w:cs="Arial" w:eastAsia="Arial" w:hAnsi="Arial"/>
          <w:sz w:val="20"/>
          <w:szCs w:val="20"/>
          <w:b w:val="1"/>
          <w:bCs w:val="1"/>
          <w:color w:val="auto"/>
        </w:rPr>
        <w:t>Common Stock</w:t>
      </w:r>
      <w:r>
        <w:rPr>
          <w:rFonts w:ascii="Arial" w:cs="Arial" w:eastAsia="Arial" w:hAnsi="Arial"/>
          <w:sz w:val="20"/>
          <w:szCs w:val="20"/>
          <w:color w:val="auto"/>
        </w:rPr>
        <w:t>”)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is the Beneficial Owner of as of the date hereof, or which the Stockholder becomes the Beneficial Owner of after the date hereof, are collectively referred to herein as the “</w:t>
      </w:r>
      <w:r>
        <w:rPr>
          <w:rFonts w:ascii="Arial" w:cs="Arial" w:eastAsia="Arial" w:hAnsi="Arial"/>
          <w:sz w:val="20"/>
          <w:szCs w:val="20"/>
          <w:b w:val="1"/>
          <w:bCs w:val="1"/>
          <w:color w:val="auto"/>
        </w:rPr>
        <w:t>Stockholder Securities</w:t>
      </w:r>
      <w:r>
        <w:rPr>
          <w:rFonts w:ascii="Arial" w:cs="Arial" w:eastAsia="Arial" w:hAnsi="Arial"/>
          <w:sz w:val="20"/>
          <w:szCs w:val="20"/>
          <w:color w:val="auto"/>
        </w:rPr>
        <w:t>”; and</w:t>
      </w:r>
    </w:p>
    <w:p>
      <w:pPr>
        <w:spacing w:after="0" w:line="191"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the Company has requested that the Stockholder enter into this Agreement, and the Stockholder desires to enter into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w:t>
      </w:r>
    </w:p>
    <w:p>
      <w:pPr>
        <w:spacing w:after="0" w:line="177" w:lineRule="exact"/>
        <w:rPr>
          <w:sz w:val="20"/>
          <w:szCs w:val="20"/>
          <w:color w:val="auto"/>
        </w:rPr>
      </w:pPr>
    </w:p>
    <w:p>
      <w:pPr>
        <w:jc w:val="both"/>
        <w:ind w:firstLine="864"/>
        <w:spacing w:after="0" w:line="323"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color w:val="auto"/>
        </w:rPr>
        <w: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HEREFORE</w:t>
      </w:r>
      <w:r>
        <w:rPr>
          <w:rFonts w:ascii="Arial" w:cs="Arial" w:eastAsia="Arial" w:hAnsi="Arial"/>
          <w:sz w:val="18"/>
          <w:szCs w:val="18"/>
          <w:color w:val="auto"/>
        </w:rPr>
        <w:t>, in consideration of the foregoing premises and the mutual covenants and agreements set forth herein,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good and valuable consideration, the receipt and sufficiency of which are hereby acknowledged, the parties hereto agree as follows: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800" w:hanging="792"/>
        <w:spacing w:after="0"/>
        <w:tabs>
          <w:tab w:leader="none" w:pos="8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r>
        <w:rPr>
          <w:rFonts w:ascii="Arial" w:cs="Arial" w:eastAsia="Arial" w:hAnsi="Arial"/>
          <w:sz w:val="20"/>
          <w:szCs w:val="20"/>
          <w:color w:val="auto"/>
        </w:rPr>
        <w:t>.</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b w:val="1"/>
          <w:bCs w:val="1"/>
          <w:color w:val="auto"/>
        </w:rPr>
        <w:t>Defined Terms</w:t>
      </w:r>
      <w:r>
        <w:rPr>
          <w:rFonts w:ascii="Arial" w:cs="Arial" w:eastAsia="Arial" w:hAnsi="Arial"/>
          <w:sz w:val="18"/>
          <w:szCs w:val="18"/>
          <w:color w:val="auto"/>
        </w:rPr>
        <w:t>. As used in this Agreement, the following terms shall have the following meanings:</w:t>
      </w:r>
    </w:p>
    <w:p>
      <w:pPr>
        <w:spacing w:after="0" w:line="216" w:lineRule="exact"/>
        <w:rPr>
          <w:sz w:val="20"/>
          <w:szCs w:val="20"/>
          <w:color w:val="auto"/>
        </w:rPr>
      </w:pPr>
    </w:p>
    <w:p>
      <w:pPr>
        <w:ind w:firstLine="8"/>
        <w:spacing w:after="0" w:line="267" w:lineRule="auto"/>
        <w:tabs>
          <w:tab w:leader="none" w:pos="879"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and “</w:t>
      </w:r>
      <w:r>
        <w:rPr>
          <w:rFonts w:ascii="Arial" w:cs="Arial" w:eastAsia="Arial" w:hAnsi="Arial"/>
          <w:sz w:val="20"/>
          <w:szCs w:val="20"/>
          <w:b w:val="1"/>
          <w:bCs w:val="1"/>
          <w:color w:val="auto"/>
        </w:rPr>
        <w:t>Associate</w:t>
      </w:r>
      <w:r>
        <w:rPr>
          <w:rFonts w:ascii="Arial" w:cs="Arial" w:eastAsia="Arial" w:hAnsi="Arial"/>
          <w:sz w:val="20"/>
          <w:szCs w:val="20"/>
          <w:color w:val="auto"/>
        </w:rPr>
        <w:t>” shall have the respective meanings ascribed to such terms in Rule 12b-2 of the General Rules and Regulations under the Exchange Act.</w:t>
      </w:r>
    </w:p>
    <w:p>
      <w:pPr>
        <w:spacing w:after="0" w:line="163" w:lineRule="exact"/>
        <w:rPr>
          <w:rFonts w:ascii="Arial" w:cs="Arial" w:eastAsia="Arial" w:hAnsi="Arial"/>
          <w:sz w:val="20"/>
          <w:szCs w:val="20"/>
          <w:b w:val="1"/>
          <w:bCs w:val="1"/>
          <w:color w:val="auto"/>
        </w:rPr>
      </w:pPr>
    </w:p>
    <w:p>
      <w:pPr>
        <w:jc w:val="both"/>
        <w:ind w:firstLine="8"/>
        <w:spacing w:after="0" w:line="253" w:lineRule="auto"/>
        <w:tabs>
          <w:tab w:leader="none" w:pos="890"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A Person shall be deemed the “</w:t>
      </w:r>
      <w:r>
        <w:rPr>
          <w:rFonts w:ascii="Arial" w:cs="Arial" w:eastAsia="Arial" w:hAnsi="Arial"/>
          <w:sz w:val="20"/>
          <w:szCs w:val="20"/>
          <w:b w:val="1"/>
          <w:bCs w:val="1"/>
          <w:color w:val="auto"/>
        </w:rPr>
        <w:t>Beneficial Owner</w:t>
      </w:r>
      <w:r>
        <w:rPr>
          <w:rFonts w:ascii="Arial" w:cs="Arial" w:eastAsia="Arial" w:hAnsi="Arial"/>
          <w:sz w:val="20"/>
          <w:szCs w:val="20"/>
          <w:color w:val="auto"/>
        </w:rPr>
        <w:t>” or to have “</w:t>
      </w:r>
      <w:r>
        <w:rPr>
          <w:rFonts w:ascii="Arial" w:cs="Arial" w:eastAsia="Arial" w:hAnsi="Arial"/>
          <w:sz w:val="20"/>
          <w:szCs w:val="20"/>
          <w:b w:val="1"/>
          <w:bCs w:val="1"/>
          <w:color w:val="auto"/>
        </w:rPr>
        <w:t>Beneficial Ownership</w:t>
      </w:r>
      <w:r>
        <w:rPr>
          <w:rFonts w:ascii="Arial" w:cs="Arial" w:eastAsia="Arial" w:hAnsi="Arial"/>
          <w:sz w:val="20"/>
          <w:szCs w:val="20"/>
          <w:color w:val="auto"/>
        </w:rPr>
        <w:t>” of and shall be deemed to “beneficially own” any securities which such Person or any of such Person’s Affiliates or Associates is deemed to beneficially own, within the meaning of Rules 13d-3 and 13d-5 of the General Rules and Regulations under the Exchange Act.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Notwithstanding anything in this definition of Beneficial Ownership to the contrary, the phrase, “then outstanding,” when used with reference to a Person’s Beneficial Ownership of securities of the Company, shall mean the number of such securities then issued and outstanding together with the number of such securities not then actually issued and outstanding which such Person would be deemed the Beneficial Owner hereunder.</w:t>
      </w:r>
    </w:p>
    <w:p>
      <w:pPr>
        <w:spacing w:after="0" w:line="185" w:lineRule="exact"/>
        <w:rPr>
          <w:sz w:val="20"/>
          <w:szCs w:val="20"/>
          <w:color w:val="auto"/>
        </w:rPr>
      </w:pPr>
    </w:p>
    <w:p>
      <w:pPr>
        <w:ind w:firstLine="8"/>
        <w:spacing w:after="0" w:line="267" w:lineRule="auto"/>
        <w:tabs>
          <w:tab w:leader="none" w:pos="868"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Saturday, Sunday or any other day on which banks in New York are required or authorized to be closed.</w:t>
      </w:r>
    </w:p>
    <w:p>
      <w:pPr>
        <w:spacing w:after="0" w:line="163" w:lineRule="exact"/>
        <w:rPr>
          <w:rFonts w:ascii="Arial" w:cs="Arial" w:eastAsia="Arial" w:hAnsi="Arial"/>
          <w:sz w:val="20"/>
          <w:szCs w:val="20"/>
          <w:b w:val="1"/>
          <w:bCs w:val="1"/>
          <w:color w:val="auto"/>
        </w:rPr>
      </w:pPr>
    </w:p>
    <w:p>
      <w:pPr>
        <w:jc w:val="both"/>
        <w:ind w:firstLine="8"/>
        <w:spacing w:after="0" w:line="294" w:lineRule="auto"/>
        <w:tabs>
          <w:tab w:leader="none" w:pos="89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tribunal, arbitrator, authority, agency, commission, bureau, board, department, official, body or other instrumentality of the United States, any foreign country, or any domestic or foreign state, province, county, city, other political subdivision or any other similar body or organization exercising governmental or quasi-governmental power or authority.</w:t>
      </w:r>
    </w:p>
    <w:p>
      <w:pPr>
        <w:spacing w:after="0" w:line="143" w:lineRule="exact"/>
        <w:rPr>
          <w:rFonts w:ascii="Arial" w:cs="Arial" w:eastAsia="Arial" w:hAnsi="Arial"/>
          <w:sz w:val="18"/>
          <w:szCs w:val="18"/>
          <w:b w:val="1"/>
          <w:bCs w:val="1"/>
          <w:color w:val="auto"/>
        </w:rPr>
      </w:pPr>
    </w:p>
    <w:p>
      <w:pPr>
        <w:ind w:firstLine="8"/>
        <w:spacing w:after="0" w:line="267" w:lineRule="auto"/>
        <w:tabs>
          <w:tab w:leader="none" w:pos="868" w:val="left"/>
        </w:tabs>
        <w:numPr>
          <w:ilvl w:val="0"/>
          <w:numId w:val="48"/>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Law</w:t>
      </w:r>
      <w:r>
        <w:rPr>
          <w:rFonts w:ascii="Arial" w:cs="Arial" w:eastAsia="Arial" w:hAnsi="Arial"/>
          <w:sz w:val="20"/>
          <w:szCs w:val="20"/>
          <w:color w:val="auto"/>
        </w:rPr>
        <w:t>” means the common law of any state or other jurisdiction, or any provision of any foreign, federal, state or local law, statute, code, rule, regulation, Order, certification standard, accreditation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0" w:name="page91"/>
    <w:bookmarkEnd w:id="90"/>
    <w:p>
      <w:pPr>
        <w:spacing w:after="0" w:line="260" w:lineRule="auto"/>
        <w:rPr>
          <w:sz w:val="20"/>
          <w:szCs w:val="20"/>
          <w:color w:val="auto"/>
        </w:rPr>
      </w:pPr>
      <w:r>
        <w:rPr>
          <w:rFonts w:ascii="Arial" w:cs="Arial" w:eastAsia="Arial" w:hAnsi="Arial"/>
          <w:sz w:val="20"/>
          <w:szCs w:val="20"/>
          <w:color w:val="auto"/>
        </w:rPr>
        <w:t>standard, Permit, judgment, regulatory code of practice, statutory guidance, injunction, decree or other decision of any court or other tribunal or Governmental Authority.</w:t>
      </w:r>
    </w:p>
    <w:p>
      <w:pPr>
        <w:spacing w:after="0" w:line="171" w:lineRule="exact"/>
        <w:rPr>
          <w:sz w:val="20"/>
          <w:szCs w:val="20"/>
          <w:color w:val="auto"/>
        </w:rPr>
      </w:pPr>
    </w:p>
    <w:p>
      <w:pPr>
        <w:ind w:firstLine="8"/>
        <w:spacing w:after="0" w:line="267" w:lineRule="auto"/>
        <w:tabs>
          <w:tab w:leader="none" w:pos="846"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Order</w:t>
      </w:r>
      <w:r>
        <w:rPr>
          <w:rFonts w:ascii="Arial" w:cs="Arial" w:eastAsia="Arial" w:hAnsi="Arial"/>
          <w:sz w:val="20"/>
          <w:szCs w:val="20"/>
          <w:color w:val="auto"/>
        </w:rPr>
        <w:t>” means any order, judgment, ruling, injunction, award, stipulation, assessment, decree or writ, whether preliminary or final, of any Governmental Authority.</w:t>
      </w:r>
    </w:p>
    <w:p>
      <w:pPr>
        <w:spacing w:after="0" w:line="163" w:lineRule="exact"/>
        <w:rPr>
          <w:rFonts w:ascii="Arial" w:cs="Arial" w:eastAsia="Arial" w:hAnsi="Arial"/>
          <w:sz w:val="20"/>
          <w:szCs w:val="20"/>
          <w:b w:val="1"/>
          <w:bCs w:val="1"/>
          <w:color w:val="auto"/>
        </w:rPr>
      </w:pPr>
    </w:p>
    <w:p>
      <w:pPr>
        <w:ind w:right="20" w:firstLine="8"/>
        <w:spacing w:after="0" w:line="267" w:lineRule="auto"/>
        <w:tabs>
          <w:tab w:leader="none" w:pos="879"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w:t>
      </w:r>
      <w:r>
        <w:rPr>
          <w:rFonts w:ascii="Arial" w:cs="Arial" w:eastAsia="Arial" w:hAnsi="Arial"/>
          <w:sz w:val="20"/>
          <w:szCs w:val="20"/>
          <w:color w:val="auto"/>
        </w:rPr>
        <w:t>” means permits, licenses, registrations, consents, certificates, grants, waivers, qualifications, approvals and all other authorizations by or of Governmental Authorities.</w:t>
      </w:r>
    </w:p>
    <w:p>
      <w:pPr>
        <w:spacing w:after="0" w:line="163" w:lineRule="exact"/>
        <w:rPr>
          <w:rFonts w:ascii="Arial" w:cs="Arial" w:eastAsia="Arial" w:hAnsi="Arial"/>
          <w:sz w:val="20"/>
          <w:szCs w:val="20"/>
          <w:b w:val="1"/>
          <w:bCs w:val="1"/>
          <w:color w:val="auto"/>
        </w:rPr>
      </w:pPr>
    </w:p>
    <w:p>
      <w:pPr>
        <w:ind w:firstLine="8"/>
        <w:spacing w:after="0" w:line="267" w:lineRule="auto"/>
        <w:tabs>
          <w:tab w:leader="none" w:pos="890"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sole proprietorship, partnership, limited liability company, joint venture, trust, unincorporated association, corporation, firm or other entity or any Governmental Authority.</w:t>
      </w:r>
    </w:p>
    <w:p>
      <w:pPr>
        <w:spacing w:after="0" w:line="163" w:lineRule="exact"/>
        <w:rPr>
          <w:rFonts w:ascii="Arial" w:cs="Arial" w:eastAsia="Arial" w:hAnsi="Arial"/>
          <w:sz w:val="20"/>
          <w:szCs w:val="20"/>
          <w:b w:val="1"/>
          <w:bCs w:val="1"/>
          <w:color w:val="auto"/>
        </w:rPr>
      </w:pPr>
    </w:p>
    <w:p>
      <w:pPr>
        <w:jc w:val="both"/>
        <w:ind w:firstLine="8"/>
        <w:spacing w:after="0" w:line="253" w:lineRule="auto"/>
        <w:tabs>
          <w:tab w:leader="none" w:pos="835" w:val="left"/>
        </w:tabs>
        <w:numPr>
          <w:ilvl w:val="0"/>
          <w:numId w:val="49"/>
        </w:numPr>
        <w:rPr>
          <w:rFonts w:ascii="Arial" w:cs="Arial" w:eastAsia="Arial" w:hAnsi="Arial"/>
          <w:sz w:val="20"/>
          <w:szCs w:val="20"/>
          <w:b w:val="1"/>
          <w:bCs w:val="1"/>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Registration Statement</w:t>
      </w:r>
      <w:r>
        <w:rPr>
          <w:rFonts w:ascii="Arial" w:cs="Arial" w:eastAsia="Arial" w:hAnsi="Arial"/>
          <w:sz w:val="20"/>
          <w:szCs w:val="20"/>
          <w:color w:val="auto"/>
        </w:rPr>
        <w:t>” means any registration statement of the Company filed under the Securities Act of 1933, as amended, that covers the resale of any shares of Common Stock, including any and all amendments (pre- or post- effective date), supplements, exhibits and material incorporated by reference in such Registration Statement.</w:t>
      </w:r>
    </w:p>
    <w:p>
      <w:pPr>
        <w:spacing w:after="0" w:line="177"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1.2 Capitalized Terms</w:t>
      </w:r>
      <w:r>
        <w:rPr>
          <w:rFonts w:ascii="Arial" w:cs="Arial" w:eastAsia="Arial" w:hAnsi="Arial"/>
          <w:sz w:val="20"/>
          <w:szCs w:val="20"/>
          <w:color w:val="auto"/>
        </w:rPr>
        <w:t>. All other capitalized terms used herein but not defined shall have the meanings ascribed to such terms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Agreement.</w:t>
      </w:r>
    </w:p>
    <w:p>
      <w:pPr>
        <w:spacing w:after="0" w:line="163" w:lineRule="exact"/>
        <w:rPr>
          <w:sz w:val="20"/>
          <w:szCs w:val="20"/>
          <w:color w:val="auto"/>
        </w:rPr>
      </w:pPr>
    </w:p>
    <w:p>
      <w:pPr>
        <w:ind w:left="800" w:hanging="792"/>
        <w:spacing w:after="0"/>
        <w:tabs>
          <w:tab w:leader="none" w:pos="8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ESERVED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OCK</w:t>
      </w:r>
      <w:r>
        <w:rPr>
          <w:rFonts w:ascii="Arial" w:cs="Arial" w:eastAsia="Arial" w:hAnsi="Arial"/>
          <w:sz w:val="20"/>
          <w:szCs w:val="20"/>
          <w:b w:val="1"/>
          <w:bCs w:val="1"/>
          <w:color w:val="auto"/>
        </w:rPr>
        <w:t>-U</w:t>
      </w:r>
      <w:r>
        <w:rPr>
          <w:rFonts w:ascii="Arial" w:cs="Arial" w:eastAsia="Arial" w:hAnsi="Arial"/>
          <w:sz w:val="13"/>
          <w:szCs w:val="13"/>
          <w:b w:val="1"/>
          <w:bCs w:val="1"/>
          <w:color w:val="auto"/>
        </w:rPr>
        <w:t>P</w:t>
      </w:r>
      <w:r>
        <w:rPr>
          <w:rFonts w:ascii="Arial" w:cs="Arial" w:eastAsia="Arial" w:hAnsi="Arial"/>
          <w:sz w:val="20"/>
          <w:szCs w:val="20"/>
          <w:color w:val="auto"/>
        </w:rPr>
        <w:t>.</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Stockholder hereby agrees that, in exchange for the payment of $500.00 from the Company, the receipt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by the Stockholder, the Stockholder shall not, and shall not authorize, permit or direct any Affiliate or Associate to, directly or indirectly, (a) sell, pledge, assign, transfer, hypothecate or otherwise dispose of (each a “</w:t>
      </w:r>
      <w:r>
        <w:rPr>
          <w:rFonts w:ascii="Arial" w:cs="Arial" w:eastAsia="Arial" w:hAnsi="Arial"/>
          <w:sz w:val="18"/>
          <w:szCs w:val="18"/>
          <w:b w:val="1"/>
          <w:bCs w:val="1"/>
          <w:color w:val="auto"/>
        </w:rPr>
        <w:t>Transfer</w:t>
      </w:r>
      <w:r>
        <w:rPr>
          <w:rFonts w:ascii="Arial" w:cs="Arial" w:eastAsia="Arial" w:hAnsi="Arial"/>
          <w:sz w:val="18"/>
          <w:szCs w:val="18"/>
          <w:color w:val="auto"/>
        </w:rPr>
        <w:t>”) any Subject Securities, (b) enter into any swap, hedge, or other agreement or arrangement that transfers to another, in whole or in part, any of the economic consequences of ownership of any Common Stock Beneficially Owned by the Stockholder and its Affiliates and Associates, whether any such transaction is to be settled by delivery of Common Stock or such other securities, in cash or otherwise; (c) engage in any short-selling of any Common Stock Beneficially Owned by Stockholder and its Affiliates and Associates; or (d) publicly announce any intention to do any of the foregoing, in each case at any time during the period commencing on the date hereof and ending on January 1, 2022. For purposes of this Agreement, the term “</w:t>
      </w:r>
      <w:r>
        <w:rPr>
          <w:rFonts w:ascii="Arial" w:cs="Arial" w:eastAsia="Arial" w:hAnsi="Arial"/>
          <w:sz w:val="18"/>
          <w:szCs w:val="18"/>
          <w:b w:val="1"/>
          <w:bCs w:val="1"/>
          <w:color w:val="auto"/>
        </w:rPr>
        <w:t>Subject Securities</w:t>
      </w:r>
      <w:r>
        <w:rPr>
          <w:rFonts w:ascii="Arial" w:cs="Arial" w:eastAsia="Arial" w:hAnsi="Arial"/>
          <w:sz w:val="18"/>
          <w:szCs w:val="18"/>
          <w:color w:val="auto"/>
        </w:rPr>
        <w:t>” means the Stockholder Securities, including any equity securities issued or issuable directly or indirectly with respect to such Stockholder Securities by way of any stock dividend or stock split or in connection with a combination of shares, recapitalization, reclassification, merger, amalgamation, arrangement, consolidation or other reorganization.</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Notwithstanding anything to the contrary in this Agreement, Stockholder may Transfer shares of Common Stock or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convertible into or exchangeable or exercisable for Common Stock: (a) as a bona fide gift or gifts; (b) by will or intestacy; (c) to any trust, partnership or limited liability company for the direct or indirect benefit of the Stockholder’s equityholders or the immediate family of the Stockholder’s equityholders; (d) to a member of the Stockholder’s equityholders’ immediate family, (e) if such Transfer occurs by operation of law; or (f) to a nominee or custodian of the Stockholder’s equityholder or a person or entity to whom a Transfer would be permissible under clauses (a) through (f)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(i) in case of any such Transfer, it shall be a condition to the Transfer that such donee or transferee execute an agreement stating that such donee or transferee is receiving and holding the Common Stock subject to the lock-up provisions contained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(ii) any such Transfer shall not involve a disposition for value, and (iii) the Company shall not have any obligation to file, amend or update any resale prospectus or prospectus supplement that includes the Subject Securities for purposes of reflecting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1" w:name="page92"/>
    <w:bookmarkEnd w:id="91"/>
    <w:p>
      <w:pPr>
        <w:jc w:val="both"/>
        <w:spacing w:after="0" w:line="260"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Failure by Stockholder to provide the Company with reasonable evidence of compliance with the lock-up provisions contained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of this Agreement within two Business Days of any written request by the Company therefor may result in the withdrawal of any legal opinion rendered by the Company’s legal counsel respecting the lawful sale of the Subject Securities, and if any of the Subject Securities then being sold by any Stockholder are being sold in reliance on a Registration Statement, at the option of the Company, such shares of Common Stock may be withdrawn from the Registration Statement. In any such event, “stop transfer” instructions shall be provided to the Company’s transfer agent regarding the Subject Securities.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color w:val="auto"/>
        </w:rPr>
        <w:t>Notwithstanding anything to the contrary set forth herein, the Company may, in its sole discretion and in good faith,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and from time to time waive any of the conditions or restrictions contained herein to increase the liquidity of Common Stock or if such waiver would otherwise be in the best interests of the development of the public trading market for the Common Stock.</w:t>
      </w:r>
    </w:p>
    <w:p>
      <w:pPr>
        <w:spacing w:after="0" w:line="162" w:lineRule="exact"/>
        <w:rPr>
          <w:sz w:val="20"/>
          <w:szCs w:val="20"/>
          <w:color w:val="auto"/>
        </w:rPr>
      </w:pPr>
    </w:p>
    <w:p>
      <w:pPr>
        <w:ind w:left="800" w:hanging="792"/>
        <w:spacing w:after="0"/>
        <w:tabs>
          <w:tab w:leader="none" w:pos="80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ESERVED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ESERVED</w:t>
      </w:r>
      <w:r>
        <w:rPr>
          <w:rFonts w:ascii="Arial" w:cs="Arial" w:eastAsia="Arial" w:hAnsi="Arial"/>
          <w:sz w:val="20"/>
          <w:szCs w:val="20"/>
          <w:color w:val="auto"/>
        </w:rPr>
        <w:t>.</w:t>
      </w:r>
    </w:p>
    <w:p>
      <w:pPr>
        <w:spacing w:after="0" w:line="215" w:lineRule="exact"/>
        <w:rPr>
          <w:rFonts w:ascii="Arial" w:cs="Arial" w:eastAsia="Arial" w:hAnsi="Arial"/>
          <w:sz w:val="20"/>
          <w:szCs w:val="20"/>
          <w:b w:val="1"/>
          <w:bCs w:val="1"/>
          <w:color w:val="auto"/>
        </w:rPr>
      </w:pPr>
    </w:p>
    <w:p>
      <w:pPr>
        <w:ind w:left="800" w:hanging="792"/>
        <w:spacing w:after="0"/>
        <w:tabs>
          <w:tab w:leader="none" w:pos="80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EPRESENTATIONS AND</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ARRANTIES</w:t>
      </w:r>
      <w:r>
        <w:rPr>
          <w:rFonts w:ascii="Arial" w:cs="Arial" w:eastAsia="Arial" w:hAnsi="Arial"/>
          <w:sz w:val="20"/>
          <w:szCs w:val="20"/>
          <w:b w:val="1"/>
          <w:bCs w:val="1"/>
          <w:color w:val="auto"/>
        </w:rPr>
        <w:t>.</w:t>
      </w:r>
    </w:p>
    <w:p>
      <w:pPr>
        <w:spacing w:after="0" w:line="216"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6"/>
          <w:szCs w:val="16"/>
          <w:color w:val="auto"/>
        </w:rPr>
        <w:t>Each party hereto represents and warrants to the other as follows:</w:t>
      </w:r>
    </w:p>
    <w:p>
      <w:pPr>
        <w:spacing w:after="0" w:line="222" w:lineRule="exact"/>
        <w:rPr>
          <w:sz w:val="20"/>
          <w:szCs w:val="20"/>
          <w:color w:val="auto"/>
        </w:rPr>
      </w:pPr>
    </w:p>
    <w:p>
      <w:pPr>
        <w:jc w:val="both"/>
        <w:ind w:firstLine="8"/>
        <w:spacing w:after="0" w:line="246" w:lineRule="auto"/>
        <w:tabs>
          <w:tab w:leader="none" w:pos="879" w:val="left"/>
        </w:tabs>
        <w:numPr>
          <w:ilvl w:val="0"/>
          <w:numId w:val="52"/>
        </w:numPr>
        <w:rPr>
          <w:rFonts w:ascii="Arial" w:cs="Arial" w:eastAsia="Arial" w:hAnsi="Arial"/>
          <w:sz w:val="20"/>
          <w:szCs w:val="20"/>
          <w:b w:val="1"/>
          <w:bCs w:val="1"/>
          <w:color w:val="auto"/>
        </w:rPr>
      </w:pPr>
      <w:r>
        <w:rPr>
          <w:rFonts w:ascii="Arial" w:cs="Arial" w:eastAsia="Arial" w:hAnsi="Arial"/>
          <w:sz w:val="20"/>
          <w:szCs w:val="20"/>
          <w:u w:val="single" w:color="auto"/>
          <w:color w:val="auto"/>
        </w:rPr>
        <w:t>Authorization</w:t>
      </w:r>
      <w:r>
        <w:rPr>
          <w:rFonts w:ascii="Arial" w:cs="Arial" w:eastAsia="Arial" w:hAnsi="Arial"/>
          <w:sz w:val="20"/>
          <w:szCs w:val="20"/>
          <w:color w:val="auto"/>
        </w:rPr>
        <w:t>. Such party has the requisite power, authority and legal capacity to execute, deliver and perform and to consummate the transactions contemplated by this Agreement. This Agreement constitutes a legal, valid and binding obligation of such party, enforceable against such party in accordance with its terms, except as such enforcement may be limited by any applicable bankruptcy, insolvency, moratorium or similar law affecting creditors’ rights generally.</w:t>
      </w:r>
    </w:p>
    <w:p>
      <w:pPr>
        <w:spacing w:after="0" w:line="191" w:lineRule="exact"/>
        <w:rPr>
          <w:rFonts w:ascii="Arial" w:cs="Arial" w:eastAsia="Arial" w:hAnsi="Arial"/>
          <w:sz w:val="20"/>
          <w:szCs w:val="20"/>
          <w:b w:val="1"/>
          <w:bCs w:val="1"/>
          <w:color w:val="auto"/>
        </w:rPr>
      </w:pPr>
    </w:p>
    <w:p>
      <w:pPr>
        <w:ind w:firstLine="8"/>
        <w:spacing w:after="0" w:line="260" w:lineRule="auto"/>
        <w:tabs>
          <w:tab w:leader="none" w:pos="890" w:val="left"/>
        </w:tabs>
        <w:numPr>
          <w:ilvl w:val="0"/>
          <w:numId w:val="52"/>
        </w:numPr>
        <w:rPr>
          <w:rFonts w:ascii="Arial" w:cs="Arial" w:eastAsia="Arial" w:hAnsi="Arial"/>
          <w:sz w:val="20"/>
          <w:szCs w:val="20"/>
          <w:b w:val="1"/>
          <w:bCs w:val="1"/>
          <w:color w:val="auto"/>
        </w:rPr>
      </w:pPr>
      <w:r>
        <w:rPr>
          <w:rFonts w:ascii="Arial" w:cs="Arial" w:eastAsia="Arial" w:hAnsi="Arial"/>
          <w:sz w:val="20"/>
          <w:szCs w:val="20"/>
          <w:u w:val="single" w:color="auto"/>
          <w:color w:val="auto"/>
        </w:rPr>
        <w:t>No Consents</w:t>
      </w:r>
      <w:r>
        <w:rPr>
          <w:rFonts w:ascii="Arial" w:cs="Arial" w:eastAsia="Arial" w:hAnsi="Arial"/>
          <w:sz w:val="20"/>
          <w:szCs w:val="20"/>
          <w:color w:val="auto"/>
        </w:rPr>
        <w:t>. No consent of any Governmental Authority or other Person is required to be obtained by such party in connection with the execution and delivery by such party of this Agreement.</w:t>
      </w:r>
    </w:p>
    <w:p>
      <w:pPr>
        <w:spacing w:after="0" w:line="171" w:lineRule="exact"/>
        <w:rPr>
          <w:sz w:val="20"/>
          <w:szCs w:val="20"/>
          <w:color w:val="auto"/>
        </w:rPr>
      </w:pPr>
    </w:p>
    <w:p>
      <w:pPr>
        <w:spacing w:after="0" w:line="323"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The Stockholder represents and warrants to the Company that as of the date hereof, the Stockholder and its Affiliates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Associates collectively Beneficially Own 250,894 shares of Common Stock and have no other interest in the capital stock of the Company.</w:t>
      </w:r>
    </w:p>
    <w:p>
      <w:pPr>
        <w:spacing w:after="0" w:line="118" w:lineRule="exact"/>
        <w:rPr>
          <w:sz w:val="20"/>
          <w:szCs w:val="20"/>
          <w:color w:val="auto"/>
        </w:rPr>
      </w:pPr>
    </w:p>
    <w:p>
      <w:pPr>
        <w:ind w:left="800" w:hanging="792"/>
        <w:spacing w:after="0"/>
        <w:tabs>
          <w:tab w:leader="none" w:pos="80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EGEND</w:t>
      </w:r>
      <w:r>
        <w:rPr>
          <w:rFonts w:ascii="Arial" w:cs="Arial" w:eastAsia="Arial" w:hAnsi="Arial"/>
          <w:sz w:val="20"/>
          <w:szCs w:val="20"/>
          <w:color w:val="auto"/>
        </w:rPr>
        <w:t>.</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7.1 </w:t>
      </w:r>
      <w:r>
        <w:rPr>
          <w:rFonts w:ascii="Arial" w:cs="Arial" w:eastAsia="Arial" w:hAnsi="Arial"/>
          <w:sz w:val="20"/>
          <w:szCs w:val="20"/>
          <w:color w:val="auto"/>
        </w:rPr>
        <w:t>Concurrently with the execution of this Agreement there shall be imprinted or otherwise placed on the book-entry statements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representing the Subject Securities the following restrictive legend (the “</w:t>
      </w:r>
      <w:r>
        <w:rPr>
          <w:rFonts w:ascii="Arial" w:cs="Arial" w:eastAsia="Arial" w:hAnsi="Arial"/>
          <w:sz w:val="20"/>
          <w:szCs w:val="20"/>
          <w:b w:val="1"/>
          <w:bCs w:val="1"/>
          <w:color w:val="auto"/>
        </w:rPr>
        <w:t>Legend</w:t>
      </w:r>
      <w:r>
        <w:rPr>
          <w:rFonts w:ascii="Arial" w:cs="Arial" w:eastAsia="Arial" w:hAnsi="Arial"/>
          <w:sz w:val="20"/>
          <w:szCs w:val="20"/>
          <w:color w:val="auto"/>
        </w:rPr>
        <w:t>”):</w:t>
      </w:r>
    </w:p>
    <w:p>
      <w:pPr>
        <w:spacing w:after="0" w:line="169" w:lineRule="exact"/>
        <w:rPr>
          <w:sz w:val="20"/>
          <w:szCs w:val="20"/>
          <w:color w:val="auto"/>
        </w:rPr>
      </w:pPr>
    </w:p>
    <w:p>
      <w:pPr>
        <w:jc w:val="both"/>
        <w:ind w:left="1740" w:right="860"/>
        <w:spacing w:after="0" w:line="242" w:lineRule="auto"/>
        <w:rPr>
          <w:sz w:val="20"/>
          <w:szCs w:val="20"/>
          <w:color w:val="auto"/>
        </w:rPr>
      </w:pPr>
      <w:r>
        <w:rPr>
          <w:rFonts w:ascii="Arial" w:cs="Arial" w:eastAsia="Arial" w:hAnsi="Arial"/>
          <w:sz w:val="20"/>
          <w:szCs w:val="20"/>
          <w:color w:val="auto"/>
        </w:rPr>
        <w:t>“THE SHARES REPRESENTED BY THIS CERTIFICATE ARE SUBJECT TO THE TERMS AND CONDITIONS OF A LOCK-UP AGREEMENT WHICH PLACES CERTAIN RESTRICTIONS ON THE TRANSFER AND VOTING OF THE SHARES REPRESENTED HEREBY. ANY PERSON ACCEPTING ANY INTEREST IN SUCH SHARES SHALL BE DEEMED TO AGREE TO AND SHALL BECOME BOUND BY ALL THE PROVISIONS OF SUCH AGREEMENT. A COPY OF SUCH LOCK-UP AGREEMENT WILL BE FURNISHED TO THE RECORD HOLDER OF THIS CERTIFICATE WITHOUT CHARGE UPON WRITTEN REQUEST TO THE COMPANY AT ITS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p>
      <w:pPr>
        <w:jc w:val="both"/>
        <w:ind w:right="20"/>
        <w:spacing w:after="0" w:line="285"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The Stockholder agrees that, during the term of this Agreement, it will not remove, and will not permit to be removed (upon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of transfer, reissuance of otherwise), the Legend from any such book-entry statements and will place or cause to be placed the Legend on any new book-entry statements issued to represent Subject Securities theretofore represented by a book-entry statements carrying the Legend. The Stockholder will not request that any of the Subject Securities be converted from book-entry format to certificated shares.</w:t>
      </w:r>
    </w:p>
    <w:p>
      <w:pPr>
        <w:spacing w:after="0" w:line="151" w:lineRule="exact"/>
        <w:rPr>
          <w:sz w:val="20"/>
          <w:szCs w:val="20"/>
          <w:color w:val="auto"/>
        </w:rPr>
      </w:pPr>
    </w:p>
    <w:p>
      <w:pPr>
        <w:jc w:val="both"/>
        <w:ind w:firstLine="8"/>
        <w:spacing w:after="0" w:line="246" w:lineRule="auto"/>
        <w:tabs>
          <w:tab w:leader="none" w:pos="796"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The provisions of this Agreement shall be binding upon the successors in interest to any of the Subject</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The Company shall not permit the transfer of any of the Subject Securities on its books or issue a new certificate representing any of the Subject Securities unless and until the Person to whom such security is to be transferred shall have executed a written agreement, substantially in the form of this Agreement, pursuant to which such Person becomes a party to this Agreement and agrees to be bound by all the provisions hereof as if such Person were the Stockholder hereunder.</w:t>
      </w:r>
    </w:p>
    <w:p>
      <w:pPr>
        <w:spacing w:after="0" w:line="184" w:lineRule="exact"/>
        <w:rPr>
          <w:rFonts w:ascii="Arial" w:cs="Arial" w:eastAsia="Arial" w:hAnsi="Arial"/>
          <w:sz w:val="20"/>
          <w:szCs w:val="20"/>
          <w:b w:val="1"/>
          <w:bCs w:val="1"/>
          <w:color w:val="auto"/>
        </w:rPr>
      </w:pPr>
    </w:p>
    <w:p>
      <w:pPr>
        <w:jc w:val="both"/>
        <w:ind w:firstLine="8"/>
        <w:spacing w:after="0" w:line="258" w:lineRule="auto"/>
        <w:tabs>
          <w:tab w:leader="none" w:pos="796"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continue in full force and effect from the date hereof through the earliest of the following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dates, on which date it shall terminate in its entirety on the earlier of: (a) January 1, 2022 and (b) the date of the closing of a sale, lease, or other disposition of all or substantially all of the Company’s assets or the Company’s merger into or consolidation with any other corporation or other entity, or any other corporate reorganization, in which the holders of the Company’s outstanding voting stock immediately prior to such transaction own, immediately after such transaction, securities representing less than 50% of the voting power of the corporation or other entity surviving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clause “(b)” shall not apply to a merger effected exclusively for the purpose of changing the domicile of the Company; and (c) the date as of which this Agreement is terminated by the written consent of the Company and the holders of at least 75% of the Subject Securities.</w:t>
      </w:r>
    </w:p>
    <w:p>
      <w:pPr>
        <w:spacing w:after="0" w:line="173" w:lineRule="exact"/>
        <w:rPr>
          <w:rFonts w:ascii="Arial" w:cs="Arial" w:eastAsia="Arial" w:hAnsi="Arial"/>
          <w:sz w:val="19"/>
          <w:szCs w:val="19"/>
          <w:b w:val="1"/>
          <w:bCs w:val="1"/>
          <w:color w:val="auto"/>
        </w:rPr>
      </w:pPr>
    </w:p>
    <w:p>
      <w:pPr>
        <w:ind w:left="900" w:hanging="892"/>
        <w:spacing w:after="0"/>
        <w:tabs>
          <w:tab w:leader="none" w:pos="90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ISCELLANEOUS</w:t>
      </w:r>
      <w:r>
        <w:rPr>
          <w:rFonts w:ascii="Arial" w:cs="Arial" w:eastAsia="Arial" w:hAnsi="Arial"/>
          <w:sz w:val="20"/>
          <w:szCs w:val="20"/>
          <w:b w:val="1"/>
          <w:bCs w:val="1"/>
          <w:color w:val="auto"/>
        </w:rPr>
        <w:t>.</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b w:val="1"/>
          <w:bCs w:val="1"/>
          <w:color w:val="auto"/>
        </w:rPr>
        <w:t xml:space="preserve">10.1 Specific Performance. </w:t>
      </w:r>
      <w:r>
        <w:rPr>
          <w:rFonts w:ascii="Arial" w:cs="Arial" w:eastAsia="Arial" w:hAnsi="Arial"/>
          <w:sz w:val="19"/>
          <w:szCs w:val="19"/>
          <w:color w:val="auto"/>
        </w:rPr>
        <w:t>The parties hereto agree that irreparable damage would occur in the event that any of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were not performed in accordance with their specific terms or were otherwise breached. Accordingly, each of the parties hereto shall be entitled to enforce specifically the provisions of this Agreement, including obtaining an injunction or injunctions to prevent breaches or threatened breaches of this Agreement, in any court designated to resolve disputes concerning this Agreement (or, if such court lacks subject matter jurisdiction, in any appropriate state or federal court), this being in addition to any other remedy to which such party is entitled at law or in equity. Each party hereto further agrees not to assert and waives (a) any defense in any action for specific performance that a remedy at Law would be adequate and (b) any requirement under any Law to post security or provide indemnity as a prerequisite to obtaining equitable relief.</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10.2 Expenses</w:t>
      </w:r>
      <w:r>
        <w:rPr>
          <w:rFonts w:ascii="Arial" w:cs="Arial" w:eastAsia="Arial" w:hAnsi="Arial"/>
          <w:sz w:val="20"/>
          <w:szCs w:val="20"/>
          <w:color w:val="auto"/>
        </w:rPr>
        <w:t>. If any action at law or in equity is necessary to enforce or interpret the terms of this Agreement, the prevailing party</w:t>
      </w:r>
      <w:r>
        <w:rPr>
          <w:rFonts w:ascii="Arial" w:cs="Arial" w:eastAsia="Arial" w:hAnsi="Arial"/>
          <w:sz w:val="20"/>
          <w:szCs w:val="20"/>
          <w:b w:val="1"/>
          <w:bCs w:val="1"/>
          <w:color w:val="auto"/>
        </w:rPr>
        <w:t xml:space="preserve"> </w:t>
      </w:r>
      <w:r>
        <w:rPr>
          <w:rFonts w:ascii="Arial" w:cs="Arial" w:eastAsia="Arial" w:hAnsi="Arial"/>
          <w:sz w:val="20"/>
          <w:szCs w:val="20"/>
          <w:color w:val="auto"/>
        </w:rPr>
        <w:t>hereto shall be entitled to reasonable attorneys’ fees, costs and necessary disbursements in addition to any other relief to which such party may be entitled.</w:t>
      </w:r>
    </w:p>
    <w:p>
      <w:pPr>
        <w:spacing w:after="0" w:line="177" w:lineRule="exact"/>
        <w:rPr>
          <w:sz w:val="20"/>
          <w:szCs w:val="20"/>
          <w:color w:val="auto"/>
        </w:rPr>
      </w:pPr>
    </w:p>
    <w:p>
      <w:pPr>
        <w:jc w:val="both"/>
        <w:ind w:left="1740"/>
        <w:spacing w:after="0" w:line="275" w:lineRule="auto"/>
        <w:rPr>
          <w:sz w:val="20"/>
          <w:szCs w:val="20"/>
          <w:color w:val="auto"/>
        </w:rPr>
      </w:pPr>
      <w:r>
        <w:rPr>
          <w:rFonts w:ascii="Arial" w:cs="Arial" w:eastAsia="Arial" w:hAnsi="Arial"/>
          <w:sz w:val="18"/>
          <w:szCs w:val="18"/>
          <w:b w:val="1"/>
          <w:bCs w:val="1"/>
          <w:color w:val="auto"/>
        </w:rPr>
        <w:t xml:space="preserve">10.3 Amendment and Waiver. </w:t>
      </w:r>
      <w:r>
        <w:rPr>
          <w:rFonts w:ascii="Arial" w:cs="Arial" w:eastAsia="Arial" w:hAnsi="Arial"/>
          <w:sz w:val="18"/>
          <w:szCs w:val="18"/>
          <w:color w:val="auto"/>
        </w:rPr>
        <w:t>Any provision of this Agreement may be amended and the observance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may be waived (either generally or in a particular instance and either retroactively or prospectively) only with the written consent of the Company and the holders of at least 75% of the Subject Securities. No failure or delay of any party hereto to exercise any right or remedy given to such party under this Agreement or otherwise available to such party or to insist upon strict compliance by any other party with its obligations hereunder and no single or partial exercise of any such right or power shall constitute a waiver of any party hereto’s right to demand exact compliance with the terms hereof. Any written waiver shall be limited to those items specifically waived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3" w:name="page94"/>
    <w:bookmarkEnd w:id="93"/>
    <w:p>
      <w:pPr>
        <w:ind w:left="1740"/>
        <w:spacing w:after="0" w:line="260" w:lineRule="auto"/>
        <w:rPr>
          <w:sz w:val="20"/>
          <w:szCs w:val="20"/>
          <w:color w:val="auto"/>
        </w:rPr>
      </w:pPr>
      <w:r>
        <w:rPr>
          <w:rFonts w:ascii="Arial" w:cs="Arial" w:eastAsia="Arial" w:hAnsi="Arial"/>
          <w:sz w:val="20"/>
          <w:szCs w:val="20"/>
          <w:color w:val="auto"/>
        </w:rPr>
        <w:t>shall not be deemed to waive any future breaches or violations or other non-specified breaches or violations unless, and to the extent, expressly set forth therein.</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 xml:space="preserve">10.4 Notices. </w:t>
      </w:r>
      <w:r>
        <w:rPr>
          <w:rFonts w:ascii="Arial" w:cs="Arial" w:eastAsia="Arial" w:hAnsi="Arial"/>
          <w:sz w:val="18"/>
          <w:szCs w:val="18"/>
          <w:color w:val="auto"/>
        </w:rPr>
        <w:t>All notices and other communications made pursuant to or under this Agreement shall be in writing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duly given or made (a) when personally delivered, (b) as of the date transmitted when transmitted by electronic mail,</w:t>
      </w:r>
    </w:p>
    <w:p>
      <w:pPr>
        <w:spacing w:after="0" w:line="1" w:lineRule="exact"/>
        <w:rPr>
          <w:sz w:val="20"/>
          <w:szCs w:val="20"/>
          <w:color w:val="auto"/>
        </w:rPr>
      </w:pPr>
    </w:p>
    <w:p>
      <w:pPr>
        <w:jc w:val="both"/>
        <w:ind w:firstLine="8"/>
        <w:spacing w:after="0" w:line="241" w:lineRule="auto"/>
        <w:tabs>
          <w:tab w:leader="none" w:pos="273" w:val="left"/>
        </w:tabs>
        <w:numPr>
          <w:ilvl w:val="0"/>
          <w:numId w:val="55"/>
        </w:numPr>
        <w:rPr>
          <w:rFonts w:ascii="Arial" w:cs="Arial" w:eastAsia="Arial" w:hAnsi="Arial"/>
          <w:sz w:val="20"/>
          <w:szCs w:val="20"/>
          <w:color w:val="auto"/>
        </w:rPr>
      </w:pPr>
      <w:r>
        <w:rPr>
          <w:rFonts w:ascii="Arial" w:cs="Arial" w:eastAsia="Arial" w:hAnsi="Arial"/>
          <w:sz w:val="20"/>
          <w:szCs w:val="20"/>
          <w:color w:val="auto"/>
        </w:rPr>
        <w:t xml:space="preserve">one Business Day after deposit with a nationally recognized overnight courier service, or (d) three Business Days after the mailing if sent by registered or certified mail, postage prepaid, return receipt requested. All notices and other communications under this Agreement shall be delivered to the addresses set forth on the signature page hereto, or such other address as such party may have given to the other parties by notice pursuant to this </w:t>
      </w:r>
      <w:r>
        <w:rPr>
          <w:rFonts w:ascii="Arial" w:cs="Arial" w:eastAsia="Arial" w:hAnsi="Arial"/>
          <w:sz w:val="20"/>
          <w:szCs w:val="20"/>
          <w:u w:val="single" w:color="auto"/>
          <w:color w:val="auto"/>
        </w:rPr>
        <w:t>Section 10.4</w:t>
      </w:r>
      <w:r>
        <w:rPr>
          <w:rFonts w:ascii="Arial" w:cs="Arial" w:eastAsia="Arial" w:hAnsi="Arial"/>
          <w:sz w:val="20"/>
          <w:szCs w:val="20"/>
          <w:color w:val="auto"/>
        </w:rPr>
        <w:t>.</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10.5 Severability. </w:t>
      </w:r>
      <w:r>
        <w:rPr>
          <w:rFonts w:ascii="Arial" w:cs="Arial" w:eastAsia="Arial" w:hAnsi="Arial"/>
          <w:sz w:val="20"/>
          <w:szCs w:val="20"/>
          <w:color w:val="auto"/>
        </w:rPr>
        <w:t>If any term or provision of this Agreement is held invalid, illegal or unenforceable in any respect under any</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the validity, legality and enforceability of all other terms and provisions of this Agreement will not in any way be affected or impaired. Upon such determination that any term or other provision is invalid, illegal or incapable of being enforced, the parties hereto shall negotiate in good faith to modify this Agreement so as to effect the original intent of the parties hereto as closely as possible in a mutually acceptable manner in order that the transactions contemplated by this Agreement be consummated as originally contemplated to the greatest extent possible.</w:t>
      </w:r>
    </w:p>
    <w:p>
      <w:pPr>
        <w:spacing w:after="0" w:line="184"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10.6 Governing Law</w:t>
      </w:r>
      <w:r>
        <w:rPr>
          <w:rFonts w:ascii="Arial" w:cs="Arial" w:eastAsia="Arial" w:hAnsi="Arial"/>
          <w:sz w:val="19"/>
          <w:szCs w:val="19"/>
          <w:color w:val="auto"/>
        </w:rPr>
        <w:t>. This Agreement shall be construed and enforced in accordance with, and all questions concerning the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construction, validity, interpretation, inducement to enter and/or performance of this Agreement (whether related to breach of contract, tortious conduct or otherwise and whether now existing or hereafter arising) shall be governed by, the internal laws of the State of Delaware, without giving effect to any law that would cause the laws of any jurisdiction other than the State of Delaware to be applied.</w:t>
      </w:r>
    </w:p>
    <w:p>
      <w:pPr>
        <w:spacing w:after="0" w:line="169"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10.7</w:t>
      </w:r>
      <w:r>
        <w:rPr>
          <w:sz w:val="20"/>
          <w:szCs w:val="20"/>
          <w:color w:val="auto"/>
        </w:rPr>
        <w:tab/>
      </w:r>
      <w:r>
        <w:rPr>
          <w:rFonts w:ascii="Arial" w:cs="Arial" w:eastAsia="Arial" w:hAnsi="Arial"/>
          <w:sz w:val="16"/>
          <w:szCs w:val="16"/>
          <w:b w:val="1"/>
          <w:bCs w:val="1"/>
          <w:color w:val="auto"/>
        </w:rPr>
        <w:t>Consent to Jurisdiction; Service of Process; Waiver of Jury Trial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8"/>
        <w:spacing w:after="0" w:line="271" w:lineRule="auto"/>
        <w:tabs>
          <w:tab w:leader="none" w:pos="879"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Each party hereto agrees that any proceeding arising out of or relating to this Agreement shall be brought exclusively in any state or federal court located in New York County, State of New York and each of the parties hereto hereby submits to the exclusive jurisdiction of such courts for itself and with respect to its property, generally and unconditionally, for the purpose of any such proceeding. A final judgment in any such proceeding may be enforced in other jurisdictions by suit on the judgment or in any other manner provided by Law. Each party hereto agrees not to commence any proceeding arising out of or relating to this Agreement, except in the courts described above (other than actions in any court of competent jurisdiction to enforce any judgment, decree or award rendered by any such court in New York as described above), irrevocably and unconditionally waives any objection to the laying of venue of any proceeding arising out of or relating to this Agreement in any such court, and hereby irrevocably and unconditionally waives and agrees not to plead or claim in any such court that any such proceeding brought in any such court has been brought in an inconvenient forum or does not have jurisdiction over any party hereto. Each party hereto agrees that service of any process, summons, notice or document by U.S. registered mail to such party’s respective address set forth herein shall be effective service of process for any such proceeding.</w:t>
      </w:r>
    </w:p>
    <w:p>
      <w:pPr>
        <w:spacing w:after="0" w:line="169" w:lineRule="exact"/>
        <w:rPr>
          <w:rFonts w:ascii="Arial" w:cs="Arial" w:eastAsia="Arial" w:hAnsi="Arial"/>
          <w:sz w:val="18"/>
          <w:szCs w:val="18"/>
          <w:b w:val="1"/>
          <w:bCs w:val="1"/>
          <w:color w:val="auto"/>
        </w:rPr>
      </w:pPr>
    </w:p>
    <w:p>
      <w:pPr>
        <w:jc w:val="both"/>
        <w:ind w:firstLine="8"/>
        <w:spacing w:after="0" w:line="257" w:lineRule="auto"/>
        <w:tabs>
          <w:tab w:leader="none" w:pos="890"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EACH PARTY HERETO HEREBY IRREVOCABLY WAIVES ALL RIGHT TO TRIAL BY JURY IN ANY PROCEEDING OR COUNTERCLAIM (WHETHER BASED ON CONTRACT, TORT, STATUTE OR OTHERWISE) ARISING OUT OF OR RELATING TO THIS AGREEMENT OR THE ACTIONS OF SUCH PARTY IN THE NEGOTIATION, ADMINISTRATION, PERFORMANCE AND ENFORCEMENT HEREOF. EACH PARTY HERETO FURTHER WAIVES ANY RIGHT TO SEEK TO CONSOLIDATE ANY PROCEEDING IN WHICH A JURY TRIAL HAS BEEN WAIVED WITH ANY OTHER PROCEEDING IN WHICH A JURY TRIAL CANNOT OR HAS NOT BEEN WAIVED. EACH PARTY HERETO CERTIFIES AND ACKNOWLEDGES THAT (I) NO REPRESENTATIVE, AGENT OR ATTORNEY OF ANY OTHER PARTY HERETO HAS REPRESENTED OR WARRANTED, EXPRESSLY OR OTHERWISE, THAT SUCH OTHER PARTY WOULD NOT,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318135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0"/>
          <w:szCs w:val="20"/>
          <w:color w:val="auto"/>
        </w:rPr>
        <w:t>THE EVENT OF LITIGATION, SEEK TO ENFORCE THE FOREGOING WAIVER, (II) EACH PARTY HERETO UNDERSTANDS AND HAS CONSIDERED THE IMPLICATIONS OF THIS WAIVER, (III) EACH PARTY HERETO MAKES THIS WAIVER VOLUNTARILY AND (IV) EACH PARTY HERETO HAS BEEN INDUCED TO ENTER INTO THIS AGREEMENT BY, AMONG OTHER THINGS, THE MUTUAL WAIVERS AND CERTIFICATIONS IN THIS SECTION 10.7.</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10.8 Entire Agreement. </w:t>
      </w:r>
      <w:r>
        <w:rPr>
          <w:rFonts w:ascii="Arial" w:cs="Arial" w:eastAsia="Arial" w:hAnsi="Arial"/>
          <w:sz w:val="20"/>
          <w:szCs w:val="20"/>
          <w:color w:val="auto"/>
        </w:rPr>
        <w:t>This Agreement sets forth the entire understanding and agreement between the parties hereto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subject matter hereof.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10.9 Counterparts. </w:t>
      </w:r>
      <w:r>
        <w:rPr>
          <w:rFonts w:ascii="Arial" w:cs="Arial" w:eastAsia="Arial" w:hAnsi="Arial"/>
          <w:sz w:val="20"/>
          <w:szCs w:val="20"/>
          <w:color w:val="auto"/>
        </w:rPr>
        <w:t>This Agreement may be executed in multiple counterparts, each of which shall be deemed to be an original but</w:t>
      </w:r>
      <w:r>
        <w:rPr>
          <w:rFonts w:ascii="Arial" w:cs="Arial" w:eastAsia="Arial" w:hAnsi="Arial"/>
          <w:sz w:val="20"/>
          <w:szCs w:val="20"/>
          <w:b w:val="1"/>
          <w:bCs w:val="1"/>
          <w:color w:val="auto"/>
        </w:rPr>
        <w:t xml:space="preserve"> </w:t>
      </w:r>
      <w:r>
        <w:rPr>
          <w:rFonts w:ascii="Arial" w:cs="Arial" w:eastAsia="Arial" w:hAnsi="Arial"/>
          <w:sz w:val="20"/>
          <w:szCs w:val="20"/>
          <w:color w:val="auto"/>
        </w:rPr>
        <w:t>all of which shall constitute one and the same agreement. This Agreement may be executed by facsimile or electronic (.pdf) signature and a facsimile or electronic (.pdf) signature shall constitute an original for all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The remainder of this page is intentionally left blank.</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OCK</w:t>
      </w:r>
      <w:r>
        <w:rPr>
          <w:rFonts w:ascii="Arial" w:cs="Arial" w:eastAsia="Arial" w:hAnsi="Arial"/>
          <w:sz w:val="18"/>
          <w:szCs w:val="18"/>
          <w:b w:val="1"/>
          <w:bCs w:val="1"/>
          <w:color w:val="auto"/>
        </w:rPr>
        <w:t>-U</w:t>
      </w:r>
      <w:r>
        <w:rPr>
          <w:rFonts w:ascii="Arial" w:cs="Arial" w:eastAsia="Arial" w:hAnsi="Arial"/>
          <w:sz w:val="12"/>
          <w:szCs w:val="12"/>
          <w:b w:val="1"/>
          <w:bCs w:val="1"/>
          <w:color w:val="auto"/>
        </w:rPr>
        <w:t>P</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ectPr>
          <w:pgSz w:w="11900" w:h="16838" w:orient="portrait"/>
          <w:cols w:equalWidth="0" w:num="1">
            <w:col w:w="9259"/>
          </w:cols>
          <w:pgMar w:left="1200" w:top="549" w:right="1440" w:bottom="1440" w:gutter="0" w:footer="0" w:header="0"/>
        </w:sectPr>
      </w:pPr>
    </w:p>
    <w:p>
      <w:pPr>
        <w:spacing w:after="0" w:line="239"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COMPANY:</w:t>
      </w:r>
    </w:p>
    <w:p>
      <w:pPr>
        <w:spacing w:after="0" w:line="229" w:lineRule="exact"/>
        <w:rPr>
          <w:sz w:val="20"/>
          <w:szCs w:val="20"/>
          <w:color w:val="auto"/>
        </w:rPr>
      </w:pPr>
    </w:p>
    <w:p>
      <w:pPr>
        <w:ind w:left="34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TERIAN</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5"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-14605</wp:posOffset>
            </wp:positionV>
            <wp:extent cx="20764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2076450" cy="8255"/>
                    </a:xfrm>
                    <a:prstGeom prst="rect">
                      <a:avLst/>
                    </a:prstGeom>
                    <a:noFill/>
                  </pic:spPr>
                </pic:pic>
              </a:graphicData>
            </a:graphic>
          </wp:anchor>
        </w:drawing>
      </w:r>
    </w:p>
    <w:p>
      <w:pPr>
        <w:ind w:left="3440"/>
        <w:spacing w:after="0"/>
        <w:rPr>
          <w:sz w:val="20"/>
          <w:szCs w:val="20"/>
          <w:color w:val="auto"/>
        </w:rPr>
      </w:pPr>
      <w:r>
        <w:rPr>
          <w:rFonts w:ascii="Arial" w:cs="Arial" w:eastAsia="Arial" w:hAnsi="Arial"/>
          <w:sz w:val="20"/>
          <w:szCs w:val="20"/>
          <w:b w:val="1"/>
          <w:bCs w:val="1"/>
          <w:color w:val="auto"/>
        </w:rPr>
        <w:t>Arturo Rodriguez</w:t>
      </w:r>
    </w:p>
    <w:p>
      <w:pPr>
        <w:ind w:left="344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Address: 37 E 18th St., 7th Floor</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New York, NY 10003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85090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59"/>
          </w:cols>
          <w:pgMar w:left="1200" w:top="549" w:right="1440"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parties hereto have executed this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OCK</w:t>
      </w:r>
      <w:r>
        <w:rPr>
          <w:rFonts w:ascii="Arial" w:cs="Arial" w:eastAsia="Arial" w:hAnsi="Arial"/>
          <w:sz w:val="18"/>
          <w:szCs w:val="18"/>
          <w:b w:val="1"/>
          <w:bCs w:val="1"/>
          <w:color w:val="auto"/>
        </w:rPr>
        <w:t>-U</w:t>
      </w:r>
      <w:r>
        <w:rPr>
          <w:rFonts w:ascii="Arial" w:cs="Arial" w:eastAsia="Arial" w:hAnsi="Arial"/>
          <w:sz w:val="12"/>
          <w:szCs w:val="12"/>
          <w:b w:val="1"/>
          <w:bCs w:val="1"/>
          <w:color w:val="auto"/>
        </w:rPr>
        <w:t>P</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first written above.</w:t>
      </w:r>
    </w:p>
    <w:p>
      <w:pPr>
        <w:sectPr>
          <w:pgSz w:w="11900" w:h="16838" w:orient="portrait"/>
          <w:cols w:equalWidth="0" w:num="1">
            <w:col w:w="10139"/>
          </w:cols>
          <w:pgMar w:left="320" w:top="333" w:right="1440" w:bottom="1440" w:gutter="0" w:footer="0" w:header="0"/>
        </w:sectPr>
      </w:pPr>
    </w:p>
    <w:p>
      <w:pPr>
        <w:spacing w:after="0" w:line="23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-14605</wp:posOffset>
            </wp:positionV>
            <wp:extent cx="2091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b w:val="1"/>
          <w:bCs w:val="1"/>
          <w:color w:val="auto"/>
        </w:rPr>
        <w:t>YANIV SARIG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139"/>
          </w:cols>
          <w:pgMar w:left="320" w:top="333" w:right="1440"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Yaniv Sarig, certify that:</w:t>
      </w:r>
    </w:p>
    <w:p>
      <w:pPr>
        <w:spacing w:after="0" w:line="77" w:lineRule="exact"/>
        <w:rPr>
          <w:sz w:val="20"/>
          <w:szCs w:val="20"/>
          <w:color w:val="auto"/>
        </w:rPr>
      </w:pPr>
    </w:p>
    <w:p>
      <w:pPr>
        <w:ind w:left="740" w:hanging="181"/>
        <w:spacing w:after="0"/>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Yaniv Sarig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Yaniv Sarig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Arturo Rodriguez, certify that:</w:t>
      </w:r>
    </w:p>
    <w:p>
      <w:pPr>
        <w:spacing w:after="0" w:line="77" w:lineRule="exact"/>
        <w:rPr>
          <w:sz w:val="20"/>
          <w:szCs w:val="20"/>
          <w:color w:val="auto"/>
        </w:rPr>
      </w:pPr>
    </w:p>
    <w:p>
      <w:pPr>
        <w:ind w:left="740" w:hanging="181"/>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Mohawk Group Holdings, Inc.;</w:t>
      </w:r>
    </w:p>
    <w:p>
      <w:pPr>
        <w:spacing w:after="0" w:line="90" w:lineRule="exact"/>
        <w:rPr>
          <w:rFonts w:ascii="Arial" w:cs="Arial" w:eastAsia="Arial" w:hAnsi="Arial"/>
          <w:sz w:val="18"/>
          <w:szCs w:val="18"/>
          <w:color w:val="auto"/>
        </w:rPr>
      </w:pPr>
    </w:p>
    <w:p>
      <w:pPr>
        <w:ind w:left="560" w:right="40" w:hanging="1"/>
        <w:spacing w:after="0" w:line="263" w:lineRule="auto"/>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8"/>
          <w:szCs w:val="18"/>
          <w:color w:val="auto"/>
        </w:rPr>
      </w:pPr>
    </w:p>
    <w:p>
      <w:pPr>
        <w:ind w:left="560" w:right="260" w:hanging="1"/>
        <w:spacing w:after="0" w:line="306" w:lineRule="auto"/>
        <w:tabs>
          <w:tab w:leader="none" w:pos="7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60" w:right="220" w:hanging="1"/>
        <w:spacing w:after="0" w:line="277" w:lineRule="auto"/>
        <w:tabs>
          <w:tab w:leader="none" w:pos="7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5" w:lineRule="exact"/>
        <w:rPr>
          <w:rFonts w:ascii="Arial" w:cs="Arial" w:eastAsia="Arial" w:hAnsi="Arial"/>
          <w:sz w:val="18"/>
          <w:szCs w:val="18"/>
          <w:color w:val="auto"/>
        </w:rPr>
      </w:pPr>
    </w:p>
    <w:p>
      <w:pPr>
        <w:ind w:left="1120" w:right="320" w:hanging="7"/>
        <w:spacing w:after="0" w:line="263"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20" w:right="240" w:hanging="7"/>
        <w:spacing w:after="0" w:line="325"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20" w:right="100" w:hanging="7"/>
        <w:spacing w:after="0" w:line="263"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560" w:right="180" w:hanging="1"/>
        <w:spacing w:after="0" w:line="325" w:lineRule="auto"/>
        <w:tabs>
          <w:tab w:leader="none" w:pos="73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120" w:right="480" w:hanging="7"/>
        <w:spacing w:after="0" w:line="325" w:lineRule="auto"/>
        <w:tabs>
          <w:tab w:leader="none" w:pos="12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20" w:right="160" w:hanging="7"/>
        <w:spacing w:after="0" w:line="277"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Arturo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31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Arturo Rodriguez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99" w:name="page100"/>
    <w:bookmarkEnd w:id="99"/>
    <w:p>
      <w:pPr>
        <w:ind w:left="9520"/>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551"/>
        <w:spacing w:after="0" w:line="263" w:lineRule="auto"/>
        <w:rPr>
          <w:sz w:val="20"/>
          <w:szCs w:val="20"/>
          <w:color w:val="auto"/>
        </w:rPr>
      </w:pPr>
      <w:r>
        <w:rPr>
          <w:rFonts w:ascii="Arial" w:cs="Arial" w:eastAsia="Arial" w:hAnsi="Arial"/>
          <w:sz w:val="18"/>
          <w:szCs w:val="18"/>
          <w:color w:val="auto"/>
        </w:rPr>
        <w:t>In connection with the Quarterly Report on Form 10-Q of Mohawk Group Holdings, Inc. (the “Company”) for the period ended June 30, 2021 as filed with the Securities and Exchange Commission on the date hereof (the “Report”), the undersigned hereby certify, pursuant to 18 U.S.C. Section 1350, as adopted pursuant to Section 906 of the Sarbanes-Oxley Act of 2002, to their knowledge that:</w:t>
      </w:r>
    </w:p>
    <w:p>
      <w:pPr>
        <w:spacing w:after="0" w:line="35" w:lineRule="exact"/>
        <w:rPr>
          <w:sz w:val="20"/>
          <w:szCs w:val="20"/>
          <w:color w:val="auto"/>
        </w:rPr>
      </w:pPr>
    </w:p>
    <w:p>
      <w:pPr>
        <w:ind w:left="820" w:hanging="261"/>
        <w:spacing w:after="0"/>
        <w:tabs>
          <w:tab w:leader="none" w:pos="8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560" w:right="680" w:hanging="1"/>
        <w:spacing w:after="0" w:line="277" w:lineRule="auto"/>
        <w:tabs>
          <w:tab w:leader="none" w:pos="8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c>
          <w:tcPr>
            <w:tcW w:w="200" w:type="dxa"/>
            <w:vAlign w:val="bottom"/>
          </w:tcPr>
          <w:p>
            <w:pPr>
              <w:spacing w:after="0"/>
              <w:rPr>
                <w:sz w:val="21"/>
                <w:szCs w:val="21"/>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 Arturo Rodriguez</w:t>
            </w: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Yaniv Sarig</w:t>
            </w:r>
          </w:p>
        </w:tc>
        <w:tc>
          <w:tcPr>
            <w:tcW w:w="4000" w:type="dxa"/>
            <w:vAlign w:val="bottom"/>
          </w:tcPr>
          <w:p>
            <w:pPr>
              <w:spacing w:after="0"/>
              <w:rPr>
                <w:sz w:val="20"/>
                <w:szCs w:val="20"/>
                <w:color w:val="auto"/>
              </w:rPr>
            </w:pPr>
            <w:r>
              <w:rPr>
                <w:rFonts w:ascii="Arial" w:cs="Arial" w:eastAsia="Arial" w:hAnsi="Arial"/>
                <w:sz w:val="18"/>
                <w:szCs w:val="18"/>
                <w:color w:val="auto"/>
              </w:rPr>
              <w:t>Arturo Rodriguez</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40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August 9, 2021</w:t>
            </w:r>
          </w:p>
        </w:tc>
        <w:tc>
          <w:tcPr>
            <w:tcW w:w="4000" w:type="dxa"/>
            <w:vAlign w:val="bottom"/>
          </w:tcPr>
          <w:p>
            <w:pPr>
              <w:spacing w:after="0"/>
              <w:rPr>
                <w:sz w:val="20"/>
                <w:szCs w:val="20"/>
                <w:color w:val="auto"/>
              </w:rPr>
            </w:pPr>
            <w:r>
              <w:rPr>
                <w:rFonts w:ascii="Arial" w:cs="Arial" w:eastAsia="Arial" w:hAnsi="Arial"/>
                <w:sz w:val="18"/>
                <w:szCs w:val="18"/>
                <w:color w:val="auto"/>
              </w:rPr>
              <w:t>August 9, 2021</w:t>
            </w:r>
          </w:p>
        </w:tc>
      </w:tr>
    </w:tbl>
    <w:p>
      <w:pPr>
        <w:spacing w:after="0" w:line="175" w:lineRule="exact"/>
        <w:rPr>
          <w:sz w:val="20"/>
          <w:szCs w:val="20"/>
          <w:color w:val="auto"/>
        </w:rPr>
      </w:pPr>
    </w:p>
    <w:p>
      <w:pPr>
        <w:ind w:right="240" w:firstLine="55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551"/>
        <w:spacing w:after="0" w:line="259" w:lineRule="auto"/>
        <w:rPr>
          <w:sz w:val="20"/>
          <w:szCs w:val="20"/>
          <w:color w:val="auto"/>
        </w:rPr>
      </w:pPr>
      <w:r>
        <w:rPr>
          <w:rFonts w:ascii="Arial" w:cs="Arial" w:eastAsia="Arial" w:hAnsi="Arial"/>
          <w:sz w:val="18"/>
          <w:szCs w:val="18"/>
          <w:color w:val="auto"/>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2"/>
    </w:lvl>
  </w:abstractNum>
  <w:abstractNum w:abstractNumId="5">
    <w:nsid w:val="22221A70"/>
    <w:multiLevelType w:val="hybridMultilevel"/>
    <w:lvl w:ilvl="0">
      <w:lvlJc w:val="left"/>
      <w:lvlText w:val="%1."/>
      <w:numFmt w:val="decimal"/>
      <w:start w:val="3"/>
    </w:lvl>
  </w:abstractNum>
  <w:abstractNum w:abstractNumId="6">
    <w:nsid w:val="4516DDE9"/>
    <w:multiLevelType w:val="hybridMultilevel"/>
    <w:lvl w:ilvl="0">
      <w:lvlJc w:val="left"/>
      <w:lvlText w:val="%1."/>
      <w:numFmt w:val="decimal"/>
      <w:start w:val="4"/>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1)"/>
      <w:numFmt w:val="lowerRoman"/>
      <w:start w:val="4"/>
    </w:lvl>
  </w:abstractNum>
  <w:abstractNum w:abstractNumId="10">
    <w:nsid w:val="5577F8E1"/>
    <w:multiLevelType w:val="hybridMultilevel"/>
    <w:lvl w:ilvl="0">
      <w:lvlJc w:val="left"/>
      <w:lvlText w:val="(%1)"/>
      <w:numFmt w:val="lowerLetter"/>
      <w:start w:val="35"/>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Roman"/>
      <w:start w:val="1"/>
    </w:lvl>
  </w:abstractNum>
  <w:abstractNum w:abstractNumId="13">
    <w:nsid w:val="3804823E"/>
    <w:multiLevelType w:val="hybridMultilevel"/>
    <w:lvl w:ilvl="0">
      <w:lvlJc w:val="left"/>
      <w:lvlText w:val="%1."/>
      <w:numFmt w:val="decimal"/>
      <w:start w:val="8"/>
    </w:lvl>
  </w:abstractNum>
  <w:abstractNum w:abstractNumId="14">
    <w:nsid w:val="77465F01"/>
    <w:multiLevelType w:val="hybridMultilevel"/>
    <w:lvl w:ilvl="0">
      <w:lvlJc w:val="left"/>
      <w:lvlText w:val="%1."/>
      <w:numFmt w:val="decimal"/>
      <w:start w:val="9"/>
    </w:lvl>
  </w:abstractNum>
  <w:abstractNum w:abstractNumId="15">
    <w:nsid w:val="7724C67E"/>
    <w:multiLevelType w:val="hybridMultilevel"/>
    <w:lvl w:ilvl="0">
      <w:lvlJc w:val="left"/>
      <w:lvlText w:val="(%1)"/>
      <w:numFmt w:val="decimal"/>
      <w:start w:val="4"/>
    </w:lvl>
  </w:abstractNum>
  <w:abstractNum w:abstractNumId="16">
    <w:nsid w:val="5C482A97"/>
    <w:multiLevelType w:val="hybridMultilevel"/>
    <w:lvl w:ilvl="0">
      <w:lvlJc w:val="left"/>
      <w:lvlText w:val="%1."/>
      <w:numFmt w:val="decimal"/>
      <w:start w:val="10"/>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lowerRoman"/>
      <w:start w:val="1"/>
    </w:lvl>
  </w:abstractNum>
  <w:abstractNum w:abstractNumId="20">
    <w:nsid w:val="2D517796"/>
    <w:multiLevelType w:val="hybridMultilevel"/>
    <w:lvl w:ilvl="0">
      <w:lvlJc w:val="left"/>
      <w:lvlText w:val="%1."/>
      <w:numFmt w:val="lowerRoman"/>
      <w:start w:val="2"/>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lowerRoman"/>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1)"/>
      <w:numFmt w:val="lowerRoman"/>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3"/>
    </w:lvl>
  </w:abstractNum>
  <w:abstractNum w:abstractNumId="36">
    <w:nsid w:val="7644A45C"/>
    <w:multiLevelType w:val="hybridMultilevel"/>
    <w:lvl w:ilvl="0">
      <w:lvlJc w:val="left"/>
      <w:lvlText w:val="(%1)"/>
      <w:numFmt w:val="lowerLetter"/>
      <w:start w:val="6"/>
    </w:lvl>
  </w:abstractNum>
  <w:abstractNum w:abstractNumId="37">
    <w:nsid w:val="32FFF902"/>
    <w:multiLevelType w:val="hybridMultilevel"/>
    <w:lvl w:ilvl="0">
      <w:lvlJc w:val="left"/>
      <w:lvlText w:val="%1."/>
      <w:numFmt w:val="decimal"/>
      <w:start w:val="2"/>
    </w:lvl>
  </w:abstractNum>
  <w:abstractNum w:abstractNumId="38">
    <w:nsid w:val="684A481A"/>
    <w:multiLevelType w:val="hybridMultilevel"/>
    <w:lvl w:ilvl="0">
      <w:lvlJc w:val="left"/>
      <w:lvlText w:val="%1."/>
      <w:numFmt w:val="decimal"/>
      <w:start w:val="4"/>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decimal"/>
      <w:start w:val="7"/>
    </w:lvl>
  </w:abstractNum>
  <w:abstractNum w:abstractNumId="41">
    <w:nsid w:val="3DC240FB"/>
    <w:multiLevelType w:val="hybridMultilevel"/>
    <w:lvl w:ilvl="0">
      <w:lvlJc w:val="left"/>
      <w:lvlText w:val="%1."/>
      <w:numFmt w:val="decimal"/>
      <w:start w:val="8"/>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3"/>
    </w:lvl>
  </w:abstractNum>
  <w:abstractNum w:abstractNumId="48">
    <w:nsid w:val="374A3FE6"/>
    <w:multiLevelType w:val="hybridMultilevel"/>
    <w:lvl w:ilvl="0">
      <w:lvlJc w:val="left"/>
      <w:lvlText w:val="(%1)"/>
      <w:numFmt w:val="lowerLetter"/>
      <w:start w:val="6"/>
    </w:lvl>
  </w:abstractNum>
  <w:abstractNum w:abstractNumId="49">
    <w:nsid w:val="4F4EF005"/>
    <w:multiLevelType w:val="hybridMultilevel"/>
    <w:lvl w:ilvl="0">
      <w:lvlJc w:val="left"/>
      <w:lvlText w:val="%1."/>
      <w:numFmt w:val="decimal"/>
      <w:start w:val="2"/>
    </w:lvl>
  </w:abstractNum>
  <w:abstractNum w:abstractNumId="50">
    <w:nsid w:val="23F9C13C"/>
    <w:multiLevelType w:val="hybridMultilevel"/>
    <w:lvl w:ilvl="0">
      <w:lvlJc w:val="left"/>
      <w:lvlText w:val="%1."/>
      <w:numFmt w:val="decimal"/>
      <w:start w:val="4"/>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decimal"/>
      <w:start w:val="7"/>
    </w:lvl>
  </w:abstractNum>
  <w:abstractNum w:abstractNumId="53">
    <w:nsid w:val="39386575"/>
    <w:multiLevelType w:val="hybridMultilevel"/>
    <w:lvl w:ilvl="0">
      <w:lvlJc w:val="left"/>
      <w:lvlText w:val="%1."/>
      <w:numFmt w:val="decimal"/>
      <w:start w:val="8"/>
    </w:lvl>
  </w:abstractNum>
  <w:abstractNum w:abstractNumId="54">
    <w:nsid w:val="1CF10FD8"/>
    <w:multiLevelType w:val="hybridMultilevel"/>
    <w:lvl w:ilvl="0">
      <w:lvlJc w:val="left"/>
      <w:lvlText w:val="(%1)"/>
      <w:numFmt w:val="lowerLetter"/>
      <w:start w:val="3"/>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48"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14" Type="http://schemas.openxmlformats.org/officeDocument/2006/relationships/hyperlink" Target="http://www.sec.gov/Archives/edgar/data/0001757715/000119312521156839/d404633dex21.htm" TargetMode="External"/><Relationship Id="rId115" Type="http://schemas.openxmlformats.org/officeDocument/2006/relationships/hyperlink" Target="http://www.sec.gov/Archives/edgar/data/0001757715/000119312521156839/d404633dex22.htm" TargetMode="External"/><Relationship Id="rId116" Type="http://schemas.openxmlformats.org/officeDocument/2006/relationships/hyperlink" Target="http://www.sec.gov/Archives/edgar/data/1757715/000119312519173667/d826688dex31.htm" TargetMode="External"/><Relationship Id="rId117" Type="http://schemas.openxmlformats.org/officeDocument/2006/relationships/hyperlink" Target="http://www.sec.gov/Archives/edgar/data/1757715/000119312521142247/d180974dex31.htm" TargetMode="External"/><Relationship Id="rId118" Type="http://schemas.openxmlformats.org/officeDocument/2006/relationships/hyperlink" Target="http://www.sec.gov/Archives/edgar/data/1757715/000119312521142247/d180974dex32.htm" TargetMode="External"/><Relationship Id="rId119" Type="http://schemas.openxmlformats.org/officeDocument/2006/relationships/hyperlink" Target="http://www.sec.gov/Archives/edgar/data/1757715/000119312521142247/d180974dex33.htm" TargetMode="External"/><Relationship Id="rId120" Type="http://schemas.openxmlformats.org/officeDocument/2006/relationships/hyperlink" Target="http://www.sec.gov/Archives/edgar/data/1757715/000119312519157090/d639806dex41.htm" TargetMode="External"/><Relationship Id="rId121" Type="http://schemas.openxmlformats.org/officeDocument/2006/relationships/hyperlink" Target="http://www.sec.gov/Archives/edgar/data/1757715/000119312519144273/d639806dex42.htm" TargetMode="External"/><Relationship Id="rId122" Type="http://schemas.openxmlformats.org/officeDocument/2006/relationships/hyperlink" Target="http://www.sec.gov/Archives/edgar/data/1757715/000119312519144273/d639806dex44.htm" TargetMode="External"/><Relationship Id="rId123" Type="http://schemas.openxmlformats.org/officeDocument/2006/relationships/hyperlink" Target="http://www.sec.gov/Archives/edgar/data/1757715/000119312519144273/d639806dex45.htm" TargetMode="External"/><Relationship Id="rId124" Type="http://schemas.openxmlformats.org/officeDocument/2006/relationships/hyperlink" Target="http://www.sec.gov/Archives/edgar/data/1757715/000119312519144273/d639806dex46.htm" TargetMode="External"/><Relationship Id="rId125" Type="http://schemas.openxmlformats.org/officeDocument/2006/relationships/hyperlink" Target="http://www.sec.gov/Archives/edgar/data/1757715/000156459020052585/mwk-ex47_108.htm" TargetMode="External"/><Relationship Id="rId126" Type="http://schemas.openxmlformats.org/officeDocument/2006/relationships/hyperlink" Target="http://www.sec.gov/Archives/edgar/data/0001757715/000119312521026328/d101467dex42.htm" TargetMode="External"/><Relationship Id="rId127" Type="http://schemas.openxmlformats.org/officeDocument/2006/relationships/hyperlink" Target="http://www.sec.gov/Archives/edgar/data/0001757715/000119312521026328/d101467dex44.htm" TargetMode="External"/><Relationship Id="rId128" Type="http://schemas.openxmlformats.org/officeDocument/2006/relationships/hyperlink" Target="http://www.sec.gov/Archives/edgar/data/0001757715/000119312521033476/d111753dex41.htm" TargetMode="External"/><Relationship Id="rId129" Type="http://schemas.openxmlformats.org/officeDocument/2006/relationships/hyperlink" Target="http://www.sec.gov/Archives/edgar/data/0001757715/000119312521033476/d111753dex42.htm" TargetMode="External"/><Relationship Id="rId132" Type="http://schemas.openxmlformats.org/officeDocument/2006/relationships/hyperlink" Target="http://www.sec.gov/Archives/edgar/data/0001757715/000119312521033476/d111753dex45.htm" TargetMode="External"/><Relationship Id="rId133" Type="http://schemas.openxmlformats.org/officeDocument/2006/relationships/hyperlink" Target="http://www.sec.gov/Archives/edgar/data/1757715/000119312521111063/d149534dex41.htm" TargetMode="External"/><Relationship Id="rId134" Type="http://schemas.openxmlformats.org/officeDocument/2006/relationships/hyperlink" Target="http://www.sec.gov/Archives/edgar/data/1757715/000119312521111063/d149534dex42.htm" TargetMode="External"/><Relationship Id="rId135" Type="http://schemas.openxmlformats.org/officeDocument/2006/relationships/hyperlink" Target="http://www.sec.gov/Archives/edgar/data/1757715/000119312521111063/d149534dex43.htm" TargetMode="External"/><Relationship Id="rId136" Type="http://schemas.openxmlformats.org/officeDocument/2006/relationships/hyperlink" Target="http://www.sec.gov/Archives/edgar/data/1757715/000119312521111063/d149534dex44.htm" TargetMode="External"/><Relationship Id="rId137" Type="http://schemas.openxmlformats.org/officeDocument/2006/relationships/hyperlink" Target="http://www.sec.gov/Archives/edgar/data/1757715/000119312521111063/d149534dex45.htm" TargetMode="External"/><Relationship Id="rId138" Type="http://schemas.openxmlformats.org/officeDocument/2006/relationships/hyperlink" Target="http://www.sec.gov/Archives/edgar/data/0001757715/000119312521111063/d149534dex101.htm" TargetMode="External"/><Relationship Id="rId139" Type="http://schemas.openxmlformats.org/officeDocument/2006/relationships/hyperlink" Target="http://www.sec.gov/Archives/edgar/data/0001757715/000119312521111063/d149534dex102.htm" TargetMode="External"/><Relationship Id="rId140" Type="http://schemas.openxmlformats.org/officeDocument/2006/relationships/hyperlink" Target="http://www.sec.gov/Archives/edgar/data/0001757715/000119312521111063/d149534dex103.htm" TargetMode="External"/><Relationship Id="rId141" Type="http://schemas.openxmlformats.org/officeDocument/2006/relationships/hyperlink" Target="http://www.sec.gov/Archives/edgar/data/1757715/000119312521156839/d404633dex101.htm" TargetMode="External"/><Relationship Id="rId142" Type="http://schemas.openxmlformats.org/officeDocument/2006/relationships/hyperlink" Target="http://www.sec.gov/Archives/edgar/data/1757715/000119312521156839/d404633dex102.htm" TargetMode="External"/><Relationship Id="rId143" Type="http://schemas.openxmlformats.org/officeDocument/2006/relationships/hyperlink" Target="http://www.sec.gov/Archives/edgar/data/1757715/000119312521156839/d404633dex103.htm" TargetMode="External"/><Relationship Id="rId144" Type="http://schemas.openxmlformats.org/officeDocument/2006/relationships/hyperlink" Target="http://www.sec.gov/Archives/edgar/data/1757715/000119312521156839/d404633dex104.htm" TargetMode="External"/><Relationship Id="rId145" Type="http://schemas.openxmlformats.org/officeDocument/2006/relationships/hyperlink" Target="http://www.sec.gov/Archives/edgar/data/1757715/000119312521156839/d404633dex105.htm" TargetMode="External"/><Relationship Id="rId146" Type="http://schemas.openxmlformats.org/officeDocument/2006/relationships/hyperlink" Target="http://www.sec.gov/Archives/edgar/data/1757715/000119312521156839/d404633dex106.htm" TargetMode="External"/><Relationship Id="rId147" Type="http://schemas.openxmlformats.org/officeDocument/2006/relationships/hyperlink" Target="http://www.sec.gov/Archives/edgar/data/1757715/000119312521156839/d404633dex107.htm" TargetMode="External"/><Relationship Id="rId149" Type="http://schemas.openxmlformats.org/officeDocument/2006/relationships/hyperlink" Target="http://www.sec.gov/Archives/edgar/data/1757715/000119312521192126/d127095dex101.htm" TargetMode="External"/><Relationship Id="rId150" Type="http://schemas.openxmlformats.org/officeDocument/2006/relationships/hyperlink" Target="http://www.sec.gov/Archives/edgar/data/1757715/000119312521192126/d12709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2021-08-09T07:05:16Z</dcterms:created>
  <dcterms:modified xsi:type="dcterms:W3CDTF">2021-08-09T07:05:16Z</dcterms:modified>
</cp:coreProperties>
</file>