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172085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189865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4100" w:right="2680" w:hanging="4092"/>
        <w:spacing w:after="0" w:line="264" w:lineRule="auto"/>
        <w:tabs>
          <w:tab w:leader="none" w:pos="6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year-ended December 31, 2023</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19" w:lineRule="exact"/>
        <w:rPr>
          <w:sz w:val="24"/>
          <w:szCs w:val="24"/>
          <w:color w:val="auto"/>
        </w:rPr>
      </w:pPr>
    </w:p>
    <w:p>
      <w:pPr>
        <w:ind w:left="660" w:right="500" w:hanging="652"/>
        <w:spacing w:after="0" w:line="264" w:lineRule="auto"/>
        <w:tabs>
          <w:tab w:leader="none" w:pos="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001-38937</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Aterian,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43180</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2320" w:type="dxa"/>
        <w:tblCellMar>
          <w:top w:w="0" w:type="dxa"/>
          <w:left w:w="0" w:type="dxa"/>
          <w:bottom w:w="0" w:type="dxa"/>
          <w:right w:w="0" w:type="dxa"/>
        </w:tblCellMar>
      </w:tblPr>
      <w:tr>
        <w:trPr>
          <w:trHeight w:val="202"/>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83-1739858</w:t>
            </w:r>
          </w:p>
        </w:tc>
      </w:tr>
      <w:tr>
        <w:trPr>
          <w:trHeight w:val="203"/>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440" w:type="dxa"/>
            <w:vAlign w:val="bottom"/>
          </w:tcPr>
          <w:p>
            <w:pPr>
              <w:jc w:val="center"/>
              <w:ind w:right="12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920" w:type="dxa"/>
            <w:vAlign w:val="bottom"/>
          </w:tcPr>
          <w:p>
            <w:pPr>
              <w:jc w:val="center"/>
              <w:ind w:left="1219"/>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350 Springfield Avenue, Suite 200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Summit, NJ 07901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(347) 676-1681</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178435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0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ATER</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right="268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6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69"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ind w:right="20"/>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common stock on the Nasdaq Capital Market on June 30, 2023 (the last trading day of the registrant’s second fiscal quarter of 2023), was approximately $37.0 million. The number of shares of Registrant’s Common Stock outstanding as of March 14, 2024 was 92,063,605.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9"/>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3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6"/>
              </w:rPr>
              <w:t>Business</w:t>
            </w:r>
          </w:p>
        </w:tc>
        <w:tc>
          <w:tcPr>
            <w:tcW w:w="8120" w:type="dxa"/>
            <w:vAlign w:val="bottom"/>
            <w:gridSpan w:val="21"/>
          </w:tcPr>
          <w:p>
            <w:pPr>
              <w:spacing w:after="0"/>
              <w:rPr>
                <w:sz w:val="16"/>
                <w:szCs w:val="16"/>
                <w:color w:val="auto"/>
              </w:rPr>
            </w:pPr>
          </w:p>
        </w:tc>
        <w:tc>
          <w:tcPr>
            <w:tcW w:w="11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6720" w:type="dxa"/>
            <w:vAlign w:val="bottom"/>
            <w:gridSpan w:val="12"/>
          </w:tcPr>
          <w:p>
            <w:pPr>
              <w:spacing w:after="0"/>
              <w:rPr>
                <w:sz w:val="17"/>
                <w:szCs w:val="17"/>
                <w:color w:val="auto"/>
              </w:rPr>
            </w:pPr>
          </w:p>
        </w:tc>
        <w:tc>
          <w:tcPr>
            <w:tcW w:w="960" w:type="dxa"/>
            <w:vAlign w:val="bottom"/>
            <w:gridSpan w:val="3"/>
          </w:tcPr>
          <w:p>
            <w:pPr>
              <w:spacing w:after="0"/>
              <w:rPr>
                <w:sz w:val="17"/>
                <w:szCs w:val="17"/>
                <w:color w:val="auto"/>
              </w:rPr>
            </w:pPr>
          </w:p>
        </w:tc>
        <w:tc>
          <w:tcPr>
            <w:tcW w:w="16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7760" w:type="dxa"/>
            <w:vAlign w:val="bottom"/>
            <w:gridSpan w:val="18"/>
          </w:tcPr>
          <w:p>
            <w:pPr>
              <w:spacing w:after="0"/>
              <w:rPr>
                <w:sz w:val="17"/>
                <w:szCs w:val="17"/>
                <w:color w:val="auto"/>
              </w:rPr>
            </w:pPr>
          </w:p>
        </w:tc>
        <w:tc>
          <w:tcPr>
            <w:tcW w:w="960" w:type="dxa"/>
            <w:vAlign w:val="bottom"/>
            <w:gridSpan w:val="3"/>
          </w:tcPr>
          <w:p>
            <w:pPr>
              <w:spacing w:after="0"/>
              <w:rPr>
                <w:sz w:val="17"/>
                <w:szCs w:val="17"/>
                <w:color w:val="auto"/>
              </w:rPr>
            </w:pPr>
          </w:p>
        </w:tc>
        <w:tc>
          <w:tcPr>
            <w:tcW w:w="16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420" w:type="dxa"/>
            <w:vAlign w:val="bottom"/>
            <w:gridSpan w:val="16"/>
          </w:tcPr>
          <w:p>
            <w:pPr>
              <w:spacing w:after="0"/>
              <w:rPr>
                <w:sz w:val="17"/>
                <w:szCs w:val="17"/>
                <w:color w:val="auto"/>
              </w:rPr>
            </w:pPr>
          </w:p>
        </w:tc>
        <w:tc>
          <w:tcPr>
            <w:tcW w:w="960" w:type="dxa"/>
            <w:vAlign w:val="bottom"/>
            <w:gridSpan w:val="3"/>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680" w:type="dxa"/>
            <w:vAlign w:val="bottom"/>
          </w:tcPr>
          <w:p>
            <w:pPr>
              <w:spacing w:after="0"/>
              <w:rPr>
                <w:sz w:val="16"/>
                <w:szCs w:val="16"/>
                <w:color w:val="auto"/>
              </w:rPr>
            </w:pPr>
          </w:p>
        </w:tc>
        <w:tc>
          <w:tcPr>
            <w:tcW w:w="1120" w:type="dxa"/>
            <w:vAlign w:val="bottom"/>
            <w:gridSpan w:val="5"/>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80" w:type="dxa"/>
            <w:vAlign w:val="bottom"/>
          </w:tcPr>
          <w:p>
            <w:pPr>
              <w:spacing w:after="0"/>
              <w:rPr>
                <w:sz w:val="17"/>
                <w:szCs w:val="17"/>
                <w:color w:val="auto"/>
              </w:rPr>
            </w:pPr>
          </w:p>
        </w:tc>
        <w:tc>
          <w:tcPr>
            <w:tcW w:w="11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300" w:type="dxa"/>
            <w:vAlign w:val="bottom"/>
            <w:gridSpan w:val="4"/>
          </w:tcPr>
          <w:p>
            <w:pPr>
              <w:spacing w:after="0"/>
              <w:rPr>
                <w:sz w:val="17"/>
                <w:szCs w:val="17"/>
                <w:color w:val="auto"/>
              </w:rPr>
            </w:pPr>
          </w:p>
        </w:tc>
        <w:tc>
          <w:tcPr>
            <w:tcW w:w="960" w:type="dxa"/>
            <w:vAlign w:val="bottom"/>
            <w:gridSpan w:val="3"/>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12</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400" w:type="dxa"/>
            <w:vAlign w:val="bottom"/>
            <w:gridSpan w:val="7"/>
          </w:tcPr>
          <w:p>
            <w:pPr>
              <w:spacing w:after="0"/>
              <w:rPr>
                <w:sz w:val="17"/>
                <w:szCs w:val="17"/>
                <w:color w:val="auto"/>
              </w:rPr>
            </w:pPr>
          </w:p>
        </w:tc>
        <w:tc>
          <w:tcPr>
            <w:tcW w:w="960" w:type="dxa"/>
            <w:vAlign w:val="bottom"/>
            <w:gridSpan w:val="3"/>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25</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F-1</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F-29</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F-29</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17"/>
                <w:szCs w:val="17"/>
                <w:color w:val="auto"/>
              </w:rPr>
            </w:pPr>
          </w:p>
        </w:tc>
        <w:tc>
          <w:tcPr>
            <w:tcW w:w="70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F-29</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F-29</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660" w:type="dxa"/>
            <w:vAlign w:val="bottom"/>
            <w:gridSpan w:val="8"/>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Borders>
              <w:bottom w:val="single" w:sz="8" w:color="0000EE"/>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w w:val="93"/>
              </w:rPr>
              <w:t>F-30</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F-35</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48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F-37</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32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F-37</w:t>
            </w:r>
          </w:p>
        </w:tc>
        <w:tc>
          <w:tcPr>
            <w:tcW w:w="0" w:type="dxa"/>
            <w:vAlign w:val="bottom"/>
          </w:tcPr>
          <w:p>
            <w:pPr>
              <w:spacing w:after="0"/>
              <w:rPr>
                <w:sz w:val="1"/>
                <w:szCs w:val="1"/>
                <w:color w:val="auto"/>
              </w:rPr>
            </w:pPr>
          </w:p>
        </w:tc>
      </w:tr>
      <w:tr>
        <w:trPr>
          <w:trHeight w:val="4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60" w:type="dxa"/>
            <w:vAlign w:val="bottom"/>
            <w:gridSpan w:val="2"/>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86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Borders>
              <w:bottom w:val="single" w:sz="8" w:color="0000EE"/>
            </w:tcBorders>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w w:val="93"/>
              </w:rPr>
              <w:t>F-38</w:t>
            </w:r>
          </w:p>
        </w:tc>
        <w:tc>
          <w:tcPr>
            <w:tcW w:w="0" w:type="dxa"/>
            <w:vAlign w:val="bottom"/>
          </w:tcPr>
          <w:p>
            <w:pPr>
              <w:spacing w:after="0"/>
              <w:rPr>
                <w:sz w:val="1"/>
                <w:szCs w:val="1"/>
                <w:color w:val="auto"/>
              </w:rPr>
            </w:pPr>
          </w:p>
        </w:tc>
      </w:tr>
      <w:tr>
        <w:trPr>
          <w:trHeight w:val="196"/>
        </w:trPr>
        <w:tc>
          <w:tcPr>
            <w:tcW w:w="13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780" w:type="dxa"/>
            <w:vAlign w:val="bottom"/>
          </w:tcPr>
          <w:p>
            <w:pPr>
              <w:spacing w:after="0"/>
              <w:rPr>
                <w:sz w:val="17"/>
                <w:szCs w:val="17"/>
                <w:color w:val="auto"/>
              </w:rPr>
            </w:pPr>
          </w:p>
        </w:tc>
        <w:tc>
          <w:tcPr>
            <w:tcW w:w="34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w w:val="93"/>
              </w:rPr>
              <w:t>F-38</w:t>
            </w:r>
          </w:p>
        </w:tc>
        <w:tc>
          <w:tcPr>
            <w:tcW w:w="0" w:type="dxa"/>
            <w:vAlign w:val="bottom"/>
          </w:tcPr>
          <w:p>
            <w:pPr>
              <w:spacing w:after="0"/>
              <w:rPr>
                <w:sz w:val="1"/>
                <w:szCs w:val="1"/>
                <w:color w:val="auto"/>
              </w:rPr>
            </w:pPr>
          </w:p>
        </w:tc>
      </w:tr>
      <w:tr>
        <w:trPr>
          <w:trHeight w:val="810"/>
        </w:trPr>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(this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target,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contemplates,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of these words or other similar terms or expressions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 our expectations, strategy, plans, or intentions.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We have based the forward-looking statements contained in this Annual Report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of this Annual Report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Moreover, we operate in a highly competitive, dynamic and challenging environment. New risks and uncertainties emerge from time to time, and it is not possible for us to predict all risks and uncertainties that could have an impact on the forward-looking statements contained in this Annual Report.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new information or the occurrence of unanticipated events, except as required by law.</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the sections contained within this Annual Report entitled “Management’s Discussion and Analysis of Financial Condition and Results of Operations” and “Risk Factors”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Aterian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Aterian, Inc. (“Aterian”, the “Company”, “we”, “us”, and “our”)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wellness products and essential oils.</w:t>
      </w:r>
    </w:p>
    <w:p>
      <w:pPr>
        <w:spacing w:after="0" w:line="176"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Our primary brands include Squatty Potty; hOmeLabs; Mueller; Pursteam; Healing Solutions; and Photo Paper Direct. We generate revenue primarily through the online sales of our various consumer products with substantially all of our sales being made through the Amazon U.S. marketplace.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sells a wide-range of products across multiple categories, including home and kitchen appliances, kitchenware, cooling and air quality appliances such as dehumidifiers, health and beauty products, essential oils and more. These products are sold under the Company’s owned brands, which were either incubated or acquired. Our primary brands include Squatty Potty; hOmeLabs; Mueller; Pursteam; Healing Solutions; and Photo Paper Direct " (PPD)". We generate revenue primarily through the online sales of our various consumer products with substantially all of our sales being made through the Amazon U.S. marketplace.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we pursue growth from our existing product portfolio and from new product launches, we also intend to pursue growth through strategic acquisitions of brands that we believe will integrate well with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trade secrets, trademarks, employee and third-party nondisclosure agreements and licensing arrangements (including open source software) to protect our intellectual property. We generally do not pursue patent applications as a means of protecting our intellectual property. We have applied to register or have registered certain of our trademarks in the U.S. and other jurisdictions, and we will pursue additional trademark registrations to the extent we believe they would be beneficial and cost-effective.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the use of technology allows us to automate and ingest data to create efficiencies within our sales and marketing and our supply chain. This ability to leverage technology is important for our business considering that predominately all our net revenue is generated via e-commerce marketplaces. Historically, we developed the majority of our technology internally. However, in February 2024, we announced that we have shifted our technology platform away from a fully internally developed model to an integrated third-party, best-of-breed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are mainly individual online consumers who purchase our products primarily on Amazon US, and to a lesser extent on our owned and operated websites and other marketplaces, such as Walmart. In 2022 and 2023, approximately 89% and 88% of our revenue was through the Amazon sales platform,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sales and marketing strategy and approach is focused on online channels and e-commerce platforms. Currently our primary focus on advertising spend is online across Amazon, Google and Facebook.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Manufacturing &amp; Logistics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we purchased the substantial majority of our finished products from suppliers in China. We do not maintain long-term purchase contracts with suppliers and operate mainly on a purchase order basis. We negotiate purchases from our foreign suppliers in U.S. dollars. We purchased our inventory from approximately 59 suppliers, four of which represented more than 10% of purchases during the year-ended December 31, 2023. While we believe the loss of any one supplier would not have a long-term material adverse effect on our business due to the availability of other suppliers, the loss of a supplier could, in the short term, materially and adversely impact our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raw materials used by our third-party suppliers to manufacture our products are plastic, glass, steel, copper, aluminum and packaging materials. We believe adequate quantities of raw materials are available from various suppliers.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combination of Amazon warehouses, other third-party warehouse and logistics partners to fulfill direct-to-consumer orders, through agreements or terms of services. In addition to fulfillment by Amazon warehouses, we use geographically distributed third-party warehouses in the U.S. to deliver orders within one to two days through ground shipment to most customers.</w:t>
      </w:r>
    </w:p>
    <w:p>
      <w:pPr>
        <w:sectPr>
          <w:pgSz w:w="11900" w:h="16838" w:orient="portrait"/>
          <w:cols w:equalWidth="0" w:num="1">
            <w:col w:w="11240"/>
          </w:cols>
          <w:pgMar w:left="320" w:top="121"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consumer goods and e-commerce markets are highly competitive and dynamic. We compete primarily against numerous third-party brands and sellers on marketplaces for each of our products. Competition is based on price, product features and quality, strong ratings and reviews, effective marketing, visibility and location on the online shelf and supply chain excellence, which is mostly the ability to deliver products to customers in one to two days. In certain instances, we compete directly with our third party suppliers who sell their own brands directly to customers, including with respect to certain of our material products such as dehumidifiers.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a variety of U.S. federal, state and local laws and international laws, including but not limited to those governing the processing of payments, consumer protection, the privacy of consumer information and other laws regarding unfair and deceptive trade practices. We are also subject to various environmental laws, rules and regulations, such as California’s Proposition 65.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products sold by us are also subject to regulation by U.S. governmental agencies, including the U.S. Consumer Product Safety Commission, the Federal Trade Commission, United States Food and Drug Administration, the U.S. Environmental Protection Agency, the U.S. Department of Energy and similar state and international regulatory authorities, such as the California Energy Commission. We do not estimate any significant capital expenditures for environmental control matters either in the current fiscal year or in the near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regulations relating to our supply chain. For example, the California Transparency in Supply Chains Act requires retail sellers that do business in California to disclose their efforts to eradicate slavery and human trafficking in their supply chains. As part of our vendor qualification process, we review suppliers’ operations for compliance with applicable labor and workplace standards and other applicable laws, including laws prohibiting child labor, forced labor and unsafe working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products are currently manufactured in China. The enactment of new legislation, executive actions, or changes in current laws related to international trade affecting trade agreements, changes in tariffs, trade barriers, price and exchange controls and other regulatory requirements or changes in sourcing patterns could adversely affect the Company’s operations and result in additional expenses.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not suffered any material restrictions from doing business in the past due to government regulations, significant impediments may arise in the future as we expand product offerings.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dispose of or donate obsolete inventory in compliance with applicable laws and regulations.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human capital objectives we focus on in managing our business include attracting, developing, and retaining key personnel. We believe our management team has the experience necessary to effectively implement our growth strategy and continue to drive stockholder value. We provide competitive compensation, which includes a focus on stock-based compensation, and benefits to attract and retain key personnel, while also providing a safe, inclusive and respectful workplace. As of December 31, 2023, we had 114 full-time employees, and 52 independent contractors. As of December 31, 2023, our employees and contractors are based in offices, shared workspaces and remote work locations in the U.S., China, the U.K., the Philippines, and in Poland. We also contract with 21 consultants, in Ukraine, Serbia, Israel, and Costa 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will result in the termination of approximately 21 employees and 27 contractors globally. The Company expects to substantially complete this reduction by the end of the first quarter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corporate website is located at https://ir.aterian.io. The Company files reports and other information with the SEC pursuant to the information requirements of the Securities Exchange Act of 1934, as amended (the “Exchange Act”). The Company makes available free of charge, on or through its website, the Company’s annual, quarterly and current reports, and any amendments to those reports, as soon as reasonably practicable after electronically filing such reports with the SEC. Information contained on the Company’s website is not part of this Annual Report on Form 10-K or any other report filed with the SEC. Readers may also read and copy any document the Company files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operated at a loss and we may never achieve or sustain profitability or positive cash flows. Further we and our independent registered public accounting firm have expressed substantial doubt about our ability to continue as a going concern.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after tax losses for the years-ended December 31, 2022 and 2023, respectively. In addition, our costs have increased historically and may increase further in future periods, which could negatively affect our future operating results and ability to achieve and sustain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profitability. Even if we do, there can be no assurance that we will be able to maintain or increase profitability on a quarterly or annual basis. Failure to achieve or sustain profitability could have a material adverse effect on our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growth strategy has resulted in operating losses and negative cash flows from operations that raised substantial doubt about our ability to continue as a going concern. Our independent registered public accounting firm included an explanatory paragraph in its report on our financial statements as of and for the year-ended December 31, 2023,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delay the development of our software,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are unable to compete effectively, our market share and revenue could be diminished which may delay or otherwise hinder our efforts to achieve or maintain profitability.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our products will continue to compete favorably or that we will be successful in the face of increasing competition and from new products and enhancements introduced by existing competitors or new companies entering the markets in which we operate. We sell our products primarily on marketplaces and primarily on Amazon in the U.S. Unlike traditional brick and mortar retailers, the customer who is shopping on marketplaces has a significant number of competing products to select from as there are limited barriers to entry. In addition, the Internet facilitates competitive entry and comparison shopping, which enhances the ability of new and existing businesses to compete against us. A number of our current and potential competitors have greater resources, longer histories, and/or greater brand recognition. As a result, they may be able to secure better terms from vendors and devote more resources to technology, infrastructure, fulfillment, and marketing than we may be able to. In addition, some of our competitors aggressively discount their products in order to gain market share, which has resulted in pricing pressures, reduced profit margins and lost market share. Further, social proof for products sold on marketplaces in the form of product ratings and reviews is highly important to our success. In certain instances, we have been unable to maintain such social proof, and we may be unable to maintain such social proof in the future, or competitors may be able to attain better social proof for their products which could have a material impact on our operating results.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significant products in our portfolio such as certain of the dehumidifiers we sell, we compete directly with our contract manufacturer who sells its own competing private label products on the marketplaces we sell and who has a lower cost structure and significantly better R&amp;D capabilities. These manufacturers could take aggressive actions against us including limiting the availability of productive capacity or limiting our access to newer, more innovative models, which we have experienced from time to time. For other certain products, due to our inventory long position and other factors we continued to sell our older versions of SKUs rather than order newer versions with innovations that some of our competitors are currently selling, which has had and may continue to have a material impact on our business. In the interim we have lost and may continue to lose market share for such SKUs.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competition, our product offerings, whether in new or existing markets, may not be successful, we may fail to gain or may lose business, and we may be required to increase our marketing spending or lower prices, either of which could materially impact our operating results.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projections are highly subjective in nature and our future financial results could vary significantly from our projections and also from quarter-to-quarter.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provide financial projections to our shareholders, lenders, investment community, and other stakeholders and these projections are highly subjective. Our quarterly revenue and other operating results have varied in the past and are likely to continue to vary significantly from quarter-to-quarter in the future. It is difficult for us to accurately predict the demand for many of our products, or the amount and timing of our future revenue and operating results. Our projections are based on management’s best estimate of sales using historical sales data and other relevant information available at the time. These projections are highly subjective since product sales can fluctuate substantially. Additionally, changes in consumer demand, affected by competitors, transportation, supplier lead times, costs and availability, raw material costs and availability, and other factors could make our inventory management and sales forecasting more difficult. Further, we base our expense levels and investment plans on sales estimates. A significant portion of our expenses and investments are fixed, and we are not able to adjust our spending quickly if our sales are less than expected. Due to these and other factors described elsewhere in this section, our future operating results could vary materially from our projections and from quarter-to-quarter. Further, we believe that quarter-to-quarter comparisons of our operating results are not necessarily meaningful. Moreover, our operating results may not meet the expectations of our equity research analysts or investors. If this occurs, the trading price of our common stock could fall substantially, either suddenly or over time.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sensitive to the strength of the United States consumer market to a meaningful extent and changes in consumer spending and economic conditions could adversely affect our business.</w:t>
      </w:r>
    </w:p>
    <w:p>
      <w:pPr>
        <w:sectPr>
          <w:pgSz w:w="11900" w:h="16838" w:orient="portrait"/>
          <w:cols w:equalWidth="0" w:num="1">
            <w:col w:w="11240"/>
          </w:cols>
          <w:pgMar w:left="320" w:top="121" w:right="339" w:bottom="111"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The strength of the U.S. economy has a significant impact on our performance. We are dependent on discretionary spending, which is affected by, among other things, unemployment rates, economic and political conditions worldwide, consumer confidence, energy and gasoline prices, interest and mortgage rates, the level of consumer debt and taxation, and financial markets, which are all outside of our control. A continuing softening of demand, whether caused by changes in customer preferences or a weakening of the U.S. or global economies, may result in decreased revenue. We believe we have sustained a decline in the sales of our products in part due to the factors mentioned above, and any continued economic downturn or uncertainties in the U.S or in other parts of the world could materially and adversely affect our business, operating results, financial condition, and cash flows.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is highly seasonal and dependent on weather conditions, which could result in significant variations in our inventory levels, financial condition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Weather and other conditions can materially impact the demand for our products. Demand for our air quality products primarily occurs during the summer months and demand for our essential oils, kitchen appliances and accessories primarily occurs during the fall and holiday season. Natural disasters (such as wildfires, hurricanes and ice storms), public health crises (such as pandemics and epidemics), or an unusually mild or short summer season may result in unanticipated material fluctuations in consumer demand. These factors could have a material adverse effect on our business, operating results, financial condition, and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effectively, our operating results, financial condition, and cash flows could be adversely affected.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past, we have not always accurately forecasted consumer demand for our products resulting in inventory shortages, excess inventory write offs and lower gross margins. We are exposed to significant inventory risks that have or may adversely affect our operating results, financial condition, and cash flows as a result of seasonality, new product launches, rapid changes in product cycles and pricing, defective merchandise, shrinkage, changes in customer demand and consumer spending patterns, changes in consumer tastes with respect to our products, spoilage, adverse actions taken by marketplaces to remove our products, and other factors. Demand for products can change significantly between the time inventory is ordered and the date of sale. In addition, when we begin selling a new product, it may be difficult to establish vendor relationships, determine appropriate product or component selection, and accurately forecast demand. We carry a broad selection of products and at times we are unable to sell our products in sufficient quantities or to meet demand during the relevant selling seasons. Any one of the inventory risk factors set forth above may adversely affect our operating results, financial condition, and cash flows.</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costs of raw materials, energy, labor, transportation and platform fees charged by marketplaces may adversely affect our business, operating results, financial condition,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Significant increases in the cost and/or reductions in the availability of raw materials, energy, labor, transportation, and increases in tariffs and platform fees charged by marketplaces have negatively impacted our business, operating results, financial condition, and cash flows and may continue to negatively impact such items in the future. Our contract manufacturers purchase significant amounts of metals, plastics and other materials to manufacture our products. In addition, they also purchase significant amounts of electricity to supply the energy required in their production processes. Global political instabilities may result in higher metal, plastic, electric, transportation and product costs, or could impair our ability to obtain products at marketable rates or at all. We are heavily dependent on inbound sea, rail and truck freight. Disruptions in the global supply chain and freight networks, has, and may continue to limit inbound and outbound shipment capacity and increase our cost of goods sold and certain operating expenses. Further, the marketplaces on which we sell our products charge fees for selling, storage, advertising and fulfillment, all of which have historically increased and we expect will continue to increase. The cost of raw materials, energy, labor, transportation, and the platform fees charged by marketplaces in the aggregate, represents a significant portion of our cost of goods sold and certain other operating expenses, which are not within our control and we have had limited success passing these on to customers. Our business, operating results, financial condition, and cash flows could be adversely affected by future increases in any of these costs. Additionally, the loss or disruption of essential manufacturing and supply elements such as raw materials or other finished product components, restricted transportation or increased freight costs, reduced workforce, or other manufacturing and distribution disruption could adversely impact our ability to meet our customers’ needs. Furthermore, it is not practical for us to mitigate our exposure to, nor are we able to accurately project the possible effect of foreign currency exchange rate fluctuations on our operating results due to our constantly changing exposure to various foreign currencies and the difficulty in predicting fluctuations in foreign currency exchange rates relative to the U.S. Dollar.</w:t>
      </w:r>
    </w:p>
    <w:p>
      <w:pPr>
        <w:spacing w:after="0" w:line="1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all of our products, most of which are located in Asia, and any inability or delay in obtaining products from such suppliers could have a material adverse effect on our business, operating results, financial condition, and cash flow.</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dependent on third-party suppliers such as contract manufacturers and third-party logistics providers and carriers for the manufacturing and distribution of our products and any disruption to our supply chain, even for a relatively short period of time, could cause a loss of revenue, which could adversely affect our business, operating results, financial condition, and cash flows. Our ability to select reliable suppliers that provide timely deliveries of quality products will impact our success in meeting customer demand. Further, for a number of our significant products, we only have a single-source of supply (such as for certain dehumidifiers) and in general we do not have contracts with our contract manufacturers covering costs and production that we believe we can enforce without undue effort or cost. Any supplier’s inability or unwillingness to timely deliver products that meet desired specifications or any unanticipated changes in suppliers could be disruptive and costly and it is unlikely that we will be able to effect alternative arrangements on a timely basis, or in the case of manufacturing certain of our significant products, at all. Any significant failure by us to obtain quality products, in sufficient quantities, on a timely basis, and at an affordable cost or any significant delays or interruptions of supply would have a material adverse effect on our business, operating results, financial condition, and cash flows.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most of our product suppliers are based in China, our business is subject to additional risks including, among others: currency fluctuations; labor unrest; potential political, economic and social instability; restrictions on transfers of funds; import duties and quotas; changes in domestic and international customs and tariffs, including embargoes and customs restrictions; uncertainties involving the costs to transport and warehouse products due to the dynamic nature of the global supply chain; unexpected changes in regulatory environments; regulatory issues involved in dealing with foreign suppliers and in exporting and importing products. The foregoing factors could have a material adverse effect on our business, operating results, financial condition, and cash flows.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majority of our revenue results from sales of products on Amazon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U.S. Marketplace and any change, limitation, or restriction on our ability to operate on Amazon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platform could have a material adverse impact on our business, operating results, financial condition,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substantial percentage of our revenue is from sales of products on Amazon’s U.S. marketplace and we are subject to Amazon’s terms of service (“ToS”) and various other Amazon seller policies. Amazon has the right to terminate or suspend our ability to sell on its platform at any time and for any reason. Amazon may also take other actions against us such as suspending or terminating our seller accounts or product listings and withholding payments owed to us indefinitely. From time to time in the past, we have experienced such adverse actions for products we have launched and products we have acquired and we can provide no assurance that we will be able to comply with Amazon's ToS. Further, in the event any of our seller accounts or product listings are suspended, or our product listings are required to be changed, for noncompliance or any other reason, our reinstatement efforts may take significant time and attention or could fail, which could have a material adverse effect on our business, operating results, financial condition, and cash flows. In addition, Amazon has made, and we expect will continue to make, changes to its platform that could require us to change the manner in which we operate, limit our ability to successfully market existing products and to launch new products or increase our costs to operate. Such changes and the efforts required to maintain compliance therewith could have an adverse effect on our business, operating results, financial condition, and cash flows. Examples of past changes from Amazon have included platform fee increases (i.e., storage, advertising, fulfillment and selling commissions), inventory warehouse limitations, restrictions on certain marketing activities and changes to listing requirements that limit the variations of products that can be included in a single listing. Any change, limitation or restriction on our ability to sell on Amazon’s platform, even if temporary, could have a material impact on our business, operating results, financial condition, and cash flows. We also rely on services provided by Amazon’s fulfillment platform, including its Prime badge program, in which Amazon guarantees expedited shipping of products we sell to the consumer, an important factor in the consumer’s buying decision. Further, Amazon allows us to fulfill from our own third-party warehouses directly to customers under the same Prime badge guarantee. Amazon may at any time decide to discontinue allowing us to fulfill sales of our products directly from our warehouse network or limit our ability to advertise on our product listings that such products will receive expedited shipping under its Prime badge program. Any such inability or limitation, could have a</w:t>
      </w:r>
    </w:p>
    <w:p>
      <w:pPr>
        <w:sectPr>
          <w:pgSz w:w="11900" w:h="16838" w:orient="portrait"/>
          <w:cols w:equalWidth="0" w:num="1">
            <w:col w:w="11240"/>
          </w:cols>
          <w:pgMar w:left="320" w:top="121" w:right="339" w:bottom="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material impact on our business, results of operations, financial condition, and cash flows. We have historically experienced Amazon’s removal of the Prime badge guarantee from certain of our seller accounts and in those cases we have had limited success having the Prime badge guarantee reinstated in a timely manner or at 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various restrictions and covenants that could limit our operating flexibility and we may be unable to refinance or repay our Credit Facility. We also rely on credit export insurance for our vendors in China, the unavailability of which could have a material adverse impact on our business, operating results, financial condition, and cash flows.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2021, we obtained a revolving credit facility from Midcap Funding IV Trust (the “Credit Facility”). Our Credit Facility contains covenants and other restrictions that, among other things, requires us to satisfy certain liquidity and borrowing availability tests, restricts our ability to execute M&amp;A transactions and to incur additional indebtedness. These restrictions and covenants, and those in other future financing arrangements, may limit our ability to respond to market conditions, to provide for capital investment needs or to take advantage of business opportunities.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February 23, 2024, the Company amended the Credit Facility to extend the term to December 2026 and provide us with access to $17 million in current commitments which can be increased, subject to certain conditions, to $30.0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be available to repay or refinance our Credit Facility. Further, at any time, if we violate the terms of the Credit Facility, we may not be able to obtain a waiver from our lender under satisfactory terms, or at all, which would limit our operating flexibility and/or liquidity and which could have a material adverse effect on our business, operating results, financial condition, and cash flows.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rely on the availability of export credit insurance from the China Export &amp; Credit Insurance Corporation (“Sinosure”), a Chinese state-owned enterprise, that provides export credit insurance to our contract manufacturers. From time to time, our contract manufacturers have experienced reductions in the availability of such credit from Sinosure as a result of our failure to timely pay them. While we currently believe our contract manufacturers have insurance at levels that we believe are sufficient to fund our operations, there can be no assurance that such insurance will be available at levels we require for our business, or at all, whether or not we make timely payments to our vendors, which would have a material adverse effect on our business, operating results, financial condition, and cash flows.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has cash deposits at financial institutions in excess of the insured amount of $0.3 million by the Federal Deposit Insurance Corporation.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grow our business through new products, marketplace and geographic expansion may not be successful and may place a significant strain on our management and operational, financial and other resources.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Our efforts to grow our business place significant strain on our management, personnel, operations, systems, financial resources, and internal financial control and reporting functions, among other things.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making investments and in making and integrating acquisitions or in maintaining or growing the financial performance of any investees or acquired businesses which may adversely affect our business and operating results and could impact the price of our common stock and result in dilution to shareholders.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Acquisitions and investments are an important aspect of our growth strategy and we expect to continue to pursue brand and other strategic acquisitions and investments. We have acquired a number of companies, and we may in the future acquire or invest in or enter into joint ventures with additional companies. Such acquisitions have in the past required, and in the future may require, the attention of management in integrating those businesses including increased attention to managing the supply chain of certain acquisitions. In addition, we have been required to in the past, and may be required to in the future, make significant impairment charges relating to the goodwill and intangible assets of such acquired businesses. The market for acquisitions has historically been highly competitive. Our growth strategy may be adversely affected if we face increased competition for or fail to identify suitable targets. In addition, pursuing or completing any such acquisitions or investments could divert management’s attention, and otherwise disrupt our operations and adversely affect our operating results, financial condition, and cash flows. Any acquisition or investment, if not favorably received by consumers, shareholders, analysts, and others in the investment community, could have a material adverse effect on the price of our common stock. In addition, any acquisition involves numerous risks, including: failing to identify problems during due diligence, liabilities or other shortcomings or challenges that could cause a target to under-perform post-closing; difficulties in the assimilation of the operations, technologies, products, and personnel associated with the acquisition and unanticipated expenses related to such integration; challenges in integrating distribution channels; diversion of management's attention from other business concerns; difficulties in transitioning and preserving customer, contractor, supplier, and other important third-party relationships; challenges realizing anticipated cost savings, synergies and other benefits; the potential impairment of tangible and intangible assets and goodwill; risks of entering markets in which we have no or limited experience; risks associated with subsequent losses including potential unknown liabilities associated with a company we acquire; and problems retaining key personnel. We provide no assurances that we will be able to complete any acquisitions or that any acquired businesses will experience the same or better level of financial performance as prior to the acquisition.</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complete any future acquisitions, we may need to use our cash on hand, and we will likely need to raise additional equity or incur or assume debt, any of which could harm our business, only be available on unfavorable terms, if at all, and result in significant additional dilution to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retain or motivate key personnel, which could harm our business.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Each of our executive officers, key personnel and other employees could terminate their employment relationship with us at any time. Moreover, we rely on stock-based compensation as a method to attract, retain</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and motivate our employees. If our common stock continues to be volatile or depressed, we may be unable to attract, retain and motivate employees, and if this occurs, it could have a material adverse effect on our business, operating results, financial condition, and cash flows. We do not currently maintain key person life insurance policies on any member of our senior management team or any other key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$222.2 million net operating loss carryforwards as of December 31, 2023, which have a full valuation allowance against them. In general, under Section 382 of the Internal Revenue Code of 1986, as amended (the “Code”), a corporation that undergoes an ownership change, which is generally defined as a greater than 50-percentage-point cumulative change by value in the equity ownership of certain stockholders over a rolling three-year period, is subject to limitations on its ability to utilize its pre-change net operating losses (“NOLs”) to offset post-change taxable income. Our existing NOLs may be subject to limitations arising from previous ownership changes, and if we undergo an ownership change, our ability to utilize NOLs could be further limited by Section 382 of the Code and similar state provisions. Future changes in our stock ownership, some of which may be outside of our control, could result in an ownership change under Section 382 of the Code. Furthermore, our ability to utilize NOLs of companies that we may acquire in the future may be subject to limitations. There is also a risk that due to regulatory changes, such as limitations on the use of NOLs, our existing NOLs could expire, decrease in value or otherwise be unavailable to offset future income tax liabilities. For example, the Tax Cuts and Jobs Act resulted in a reduction in the economic benefit of the NOLs and other deferred tax assets available to us. For these reasons, we may not be able to realize a tax benefit from the use of our NOLs, even if we attain profitability. We have not performed a detailed analysis to determine whether an ownership change under Section 382 of the Code has occurred. The effect of a Section 382 ownership change would be the imposition of an annual limitation on the use of net operating loss carryforwards attributable to periods before the change. Any limitation may result in expiration of all, or a portion of the NOLs or other tax attributes, such as research and development credit carryforwards, before utilization.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recently undergone a management change and reevaluated various aspects of our business including but not limited to a reduction in the number of products we sell, a change in our technology infrastructure and a cost and a fixed cost reduction plan including a reduction in workforce; each of which, individually or in the aggregate, could have a material impact on our results of operations, financial condition, and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year-ended December 31, 2023, the Company implemented a strategy of rationalizing certain less profitable products and reducing its product offering. Further, on July 26, 2023, Yaniv Sarig resigned as CEO of Aterian, and Arturo Rodriguez and Joseph Risico were promoted to Co-CEOs of Aterian. As a result of this change in leadership, we enacted a number of strategic initiatives that could impact certain aspects of how we currently do business including a further rationalization of our product portfolio to improve our operations and potential future profitability, a change in our technology infrastructure and a reduction of our workforce . This reduction in our product portfolio has led to and will continue to lead to a decline in revenue in upcoming quarters. Executing on any of these decisions is complex and entails a number of potential risks, including but not limited to uncertainties, disruptions and challenges in our business and business model, a decline in revenues and profitability, market share erosion, inventory write-offs and other restructuring related charges, impacts to our relationships with our various vendors and could potentially impact employee morale. Further, pursuing or completing any such strategic initiative could divert management’s attention, and otherwise disrupt our operations and technology platform which could adversely affect our operating results, financial condition,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Information and Cyber Security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and any loss, reduction in access or increased costs related thereto of which could have a material adverse effect on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 combination of technology in various aspects of our business including for new product launches, forecasting, fulfillment and the automation of sales and marketing of our products, among other things. Our ability to successfully use our technology depends to a large extent on our ability to analyze and utilize data, including search engine results, provided by unaffiliated third parties, primarily, Google and Amazon. In the future, these third parties could change their data sharing policies, including making them more restrictive or expensive, or could alter their algorithms, any of which could result in the loss of, or significant impairment to, our ability to analyze useful data. These third parties could also interpret our service providers’ data collection policies or practices as being inconsistent with their policies, which could result in the loss of our ability to collect and use this data.</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operating results, financial condition, and cash flows could be adversely impacted if our information technology systems or those of third-parties become subject to a data security breach, are disrupted or cease to operate effectively.</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heavily on information technology systems to operate our business and we collect, maintain, transmit and store sensitive data including data about our consumers. We also engage and rely upon third parties who engage in the same activities on our behalf. Accordingly, it is vital to maintain constant operation of these systems and to maintain cybersecurity. Our systems and those of third parties that we use in our operations are vulnerable to security risks, including from viruses and worms, phishing attacks, social engineering, hacking, distributed denial-of-service attacks, ransomware, and similar disruptions from the unauthorized tampering with our servers and computer systems or those of third parties that we use in our operations, which could lead to interruptions, delays, loss of critical and sensitive data, and loss of consumer confidence. In addition, insider actors-malicious or otherwise-could cause technical disruptions and/or confidential data leakage. In addition, if a ransomware attack or other cybersecurity incident occurs, either internally or at our third-party technology service providers, we could be prevented from accessing our data or systems, which may cause interruptions or delays in our business operations, cause us to incur material remediation costs, and could subject us to demands to pay a ransom or damage our reputation. Our failure to prevent or mitigate data loss, theft, misuse, or other security breaches or vulnerabilities affecting our or our vendors’ technology and systems, could: expose us or our customers to a risk of loss, disclosure, or misuse of such information; result in litigation, fines, liability, or regulatory action (including under laws related to privacy, data use, data protection, data security, network security, and consumer protection); deter customers from using our stores to buy our products; and harm our business, operating results, financial condition and reputation. We use third party technology and systems for a variety of reasons, including, without limitation, encryption and authentication technology, employee email, content delivery to customers, back-office support, hosting, payment processing and other functions. Despite our security efforts, some of our systems have experienced past security breaches, and, although they did not have a material adverse effect on our operations or financial results, there can be no assurance that future incidents, which we expect to have, will not have material adverse effects on our business, operating results or financial condition. For example, on April 25, 2022 we were alerted by a payment processor of a data security incident regarding one of our UK websites. This has not resulted in a material impact on our business. In addition, because the techniques, tools and tactics used in cyber-attacks frequently change and may be difficult to detect for periods of time, we may face difficulties in anticipating and implementing adequate preventative measures or fully mitigating harms after such an attack. It is possible for security vulnerabilities to remain undetected for an extended time period, up to and including several years as was the case in the prior non-material security breach identified in April 2022. The Company’s adoption of remote working, initially driven by the pandemic, may also introduce additional threats or disruptions to our information technology networks and infrastructure. Although we have developed systems and processes that we believe are reasonably designed to protect customer data and prevent such incidents, including systems and processes designed to reduce the impact of a security breach at a third-party vendor or customer, such measures cannot provide absolute security and may fail to operate as intended or be circumvented. In addition, our insurance may not provide sufficient coverage to compensate for related losses.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use open source software in our technology platform and our other sophisticated information technologies and systems, and we expect to continue to use open source software in the future. In addition to risks related to license requirements, use of certain open source software can lead to greater risks than use of third-party commercial software, as open source licensors generally do not provide warranties, indemnities or other contractual protections with respect to the software (for example, non-infringement or functionality). Our use of open source software may also present additional security risks because the source code for open source software is publicly available, which may make it easier for hackers and other third parties to determine how to breach our sites and systems that rely on open source software.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our third parties may be vulnerable from time to time to damage, interruptions and other technical malfunctions including but not limited to breaches, human error, power outages, telecommunication or utility failures, systems failures, natural disasters or other catastrophic events. In addition, growth in our transaction volume or surges in online traffic place additional demands on our systems and could cause or exacerbate slowdowns or interruptions. If any such systems are damaged, or fail to function properly, we may have to make monetary investments to repair or replace the systems and could endure delays in operations. From time to time, we have experienced disruptions to our systems and we expect to continue to experience disruptions. Any material disruption or slowdown of such systems, including the failure to successfully upgrade systems, could have a material impact on many aspects of our operations including our ability to operate on e-commerce marketplaces. Such a loss or delay could have a material adverse impact on our business, operating results, financial condition, and cash flows. Our systems are not fully redundant and our disaster recovery planning may not be sufficient.</w:t>
      </w:r>
    </w:p>
    <w:p>
      <w:pPr>
        <w:sectPr>
          <w:pgSz w:w="11900" w:h="16838" w:orient="portrait"/>
          <w:cols w:equalWidth="0" w:num="1">
            <w:col w:w="11240"/>
          </w:cols>
          <w:pgMar w:left="320" w:top="121" w:right="339" w:bottom="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Litigation and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product liability and recalls, and other proceedings may adversely affect our business, operating results, financial condition, and cash flows.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summer of 2021, the Company received informal notice from a third-party alleging patent infringement with respect to certain transfer paper products sold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the Company received a notice disputing the Company’s calculation of the earn-out payment to be paid to the prior owners of a transfer paper business acquired by the Company. A motion to compel arbitration was filed in the Southern District of New York on September 14, 2022, which was granted on May 18, 2023. The parties engaged an independent accountant to resolve the dispute, as required by the PPD Stock Purchase Agreement and the Southern District of New York. In February 2024, the independent accountant ruled in favor of the Company and determined that the Company owes no earn-out. Therefore, the Company believes it has no liability to the sellers.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manage compliance with current and expanding laws and regulations, as well as manage new and pending legal and regulatory matters in the U.S. and abroad.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in the ordinary course of our business, in the U.S. and internationally, to many statutes, ordinances, rules and regulations that, if violated by us or the third parties we work with, could have a material adverse effect on our business, operating results, financial condition, and cash flows. These laws and regulations include but are not limited to accounting and financial reporting, advertising, anti-bribery and anti-corruption, consumer protection, data security and privacy, electronic commerce, employment, intellectual property, product liability, and trade (including tariffs). In addition, increasing governmental and societal attention to environmental, social and governance (ESG) matters, including expanding mandatory and voluntary reporting, diligence and disclosure on topics such as climate change, waste production, water usage, human capital, labor and risk oversight, could expand the nature, scope and complexity of matters that we are required to control, assess and report, each of which can be challenging given our reliance on third party suppliers. These and other rapidly changing laws, regulations, policies and related interpretations as well as increased enforcement actions by various governmental and regulatory agencies, create challenges for us, including our compliance and ethics programs, may alter the environment in which we do business and may increase the ongoing costs of compliance, which could adversely impact our business, operating results, financial condition, and cash flows. If we are unable to continue to meet these challenges and to comply with all laws, regulations, policies and related interpretations, it could negatively impact our reputation and our business, operating results, financial condition, and cash flows. Additionally, we may in the future be subject to inquiries, investigations, claims, proceedings and requests for information from governmental agencies or private parties, the adverse outcomes of which could harm our business. Failure to successfully manage these new or pending regulatory and legal matters and to resolve such matters without significant liability or damage to our reputation may materially adversely impact our operating results, financial condition, and cash flows. Furthermore, if new legal or regulatory matters result in fines or costs in excess of the amounts accrued to date, that may also materially impact our operating results and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trade actions could have a material adverse effect on our business, financial position, and results of operation.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past several years, the U.S. government has taken a number of trade actions that impact or could impact our operations, including imposing tariffs on certain goods imported into the United States. As the majority of our products are imported into the United States from China, many of our products are subject to the tariffs imposed under Section 301 of U.S. trade law that have been applied to separate lists of Chinese goods imported into the United States, beginning during the Trump Administration and continuing in the Biden Administration. A number of lawsuits and other legal challenges with respect to the Section 301 tariff actions have been filed and remain pending, which could result in changes to the tariffs. To date, the Biden Administration has effectively maintained and has continued to defend and to enforce these particular trade actions. We are continually evaluating the impact of the current and any possible new tariffs on our supply chain, costs and sales and are considering strategies to mitigate such impact, including reviewing sourcing options, filing requests for exclusion from the tariffs for certain product lines and working with our suppliers. We can provide no assurance that any strategies we implement to mitigate the impact of such tariffs or other trade actions will be successful. Given the uncertainty regarding the scope and duration of these trade actions by the U.S. government or other countries, as well as the potential for additional trade actions, the impact on our operations and results remains uncertain.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emerging 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a "smaller reporting company" and the reduced disclosure requirements applicable to emerging growth companies and smaller reporting companies may make it more difficult to compare our performance with other public companies and make our common stock less attractive to investors.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and we take advantage of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w:t>
      </w:r>
    </w:p>
    <w:p>
      <w:pPr>
        <w:sectPr>
          <w:pgSz w:w="11900" w:h="16838" w:orient="portrait"/>
          <w:cols w:equalWidth="0" w:num="1">
            <w:col w:w="11240"/>
          </w:cols>
          <w:pgMar w:left="320" w:top="121" w:right="339" w:bottom="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regarding executive compensation in our periodic reports and proxy statements, and exemptions from the requirements of holding a nonbinding advisory vote on executive compensation and shareholder approval of any golden parachute payments not previously approved. In addition, we also take advantage of an extended transition period for complying with new or revised accounting standards. This may make comparison of our financial statements with those of another public company that has complied with such new or revised accounting standards difficult or impossible because of the potential differences in accounting standards used. We will lose our status as an emerging growth company no later than December 31, 2024.</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 affiliates exceeds $700 million as of the prior June 30. To the extent we take advantage of such reduced disclosure obligations, it may also make comparisons of our consolidated financial statement with other public companies difficult or impossible.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fluctuate significantly.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financial condition, and cash flows. In addition, the market price of our common stock may be, and we believe has been, significantly impacted by investors covering large short positions in our common stock. In addition, there are many other factors that have caused and may continue to cause the market price of our common stock to fluctuate, including: actual or anticipated variations in our quarterly operating results, or the operating results, financial condition, and cash flows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limited by our ability to raise the funding we need to support our growth or to maintain our existing business. Also, such funding may be available only by diluting existing stockholders.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invest significant resources in various aspects of our business including acquisitions and other strategic investments. Our success also depends on our ability to grow through acquisitions. To support our business growth, we will likely require additional funds to maintain, grow and respond to business challenges. Accordingly, from time to time we need to engage in equity or debt financings to secure additional funds. If we raise additional funds through issuances of equity or convertible debt securities, that would result in significant dilution to our existing stockholders, and any new equity securities we issue could have rights, preferences and privileges superior to those of holders of our common stock. Any debt we may incur may negatively impact our business, financial condition and operating results. We have in the past and may in the future incur debt that allows us to repay such debt using our common stock, which could result in significant dilution. Further, we may not be able to obtain additional financing on terms favorable to us, or at all, whether due to issues related to the Company or unrelated to the Company including but not limited to bank failures. If we are unable to obtain adequate financing or financing on terms satisfactory to us, when we require it, our ability to grow or to respond to business challenges would be significantly limited, and our business could fail or our operating results, financial condition, and cash flows could be adversely affected.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debt financing secured by us in the future could involve restrictive covenants relating to our capital-raising activities and other financial and operational matters, which may make it more difficult for us to obtain additional capital and to pursue business opportunities. In addition, we may not be able to continue to acquire the financing needed in order to pursue future acquisitions or similar transactions or we may not be able to raise sufficient equity or equity-like capital without first seeking stockholder approval, which could limit our ability to complete such financing, or to complete any related transaction on a timely basis.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insiders, or the perception that these sales may occur, may cause the market price of our common stock to decline.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employees, directors and officers, and their affiliates, hold substantial amounts of shares of our common stock. Sales of a substantial number of such shares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 Our officers and directors periodically sell shares of common stock to cover tax liabilities from prior restricted stock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the perception that such sales may occur, could cause our stock price to decline.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Future sales and issuances of our capital stock or rights to purchase our capital stock could result in substantial dilution to our existing stockholders. We may sell common stock, convertible securities and other debt or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 In addition, we issue to our employees equity awards under our equity incentive plans which could be material in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of a continuing public market for you to resell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guarantee that we will continue to meet all requirements for continued listing on the Nasdaq Capital Market.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24, 2023, we received a letter (the "Bid Price Notice") from the Listing Qualifications Staff of The Nasdaq Stock Market LLC 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"Minimum Bid Price Rule").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our common stock on The Nasdaq Capital Market, and, therefore, our listing remains fully effective.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ectPr>
          <w:pgSz w:w="11900" w:h="16838" w:orient="portrait"/>
          <w:cols w:equalWidth="0" w:num="1">
            <w:col w:w="11240"/>
          </w:cols>
          <w:pgMar w:left="320" w:top="121" w:right="339" w:bottom="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regain compliance with the Minimum Bid Price Rule, we plan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effecting such split.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processes in place for assessing, identifying, and managing material risks from potential unauthorized occurrences on or through our information systems that could adversely affect the confidentiality, integrity, or availability of our information systems or the information residing on those systems. These include a wide variety of mechanisms, controls, technologies, methods, systems, and other processes that are designed to prevent, detect, or mitigate data loss, theft, misuse, unauthorized access, or other security incidents or vulnerabilities affecting the data. The data includes confidential, proprietary, and business and personal information that we collect, process, store, and transmit as part of our business, including on behalf of third parties. We also use systems and processes designed to reduce the impact of a security incident at a third-party vendor or customer, including assessment and monitoring of security standards and control procedures for external suppliers and vendors, with enhanced engagement or internal controls depending on the results of the assessment.</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Additionally, we use processes to oversee and identify material risks from cybersecurity threats associated with our use of third-party technology and systems, including: technology and systems we use for encryption and authentication; employee email; content delivery to customers; back-office support; and other functions. As part of our risk management process, we conduct application security assessments, vulnerability management, security audits, and ongoing risk assessments. We also maintain a variety of incident response plans that are utilized when incidents are detected. We require employees with access to information systems, including all corporate employees, to undertake data protection and cybersecurity training and compliance programs annually. We have a unified and centrally coordinated team, led by our Chief Technology Officer and our General Counsel, that is responsible for implementing and maintaining centralized cybersecurity and data protection practices at Aterian in close coordination with senior leadership and other teams across Aterian. In addition to our in-house cybersecurity capabilities, at times we also engage assessors, consultants, auditors, or other third parties to assist with assessing, identifying, and managing cybersecurity risks. These third parties also consult on best practices to address new challenges upon request. Our cybersecurity risks and associated mitigations are evaluated by senior leadership, including as part of our risk assessments that are reviewed by the Audit Committee and our Board of Directors. As of the date of this report, the Company is not aware of any material risks from cybersecurity threats that have materially affected or are reasonably likely to materially affect the Company, including its business strategy, results of operations, or financial condition. Despite the extensive approach we take to cybersecurity, we may not be successful in preventing or mitigating a cybersecurity incident that could have a material adverse effect on the Company or its stakeholders.</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 information about cybersecurity risks we face is discussed in Item 1A of Part I, “Risk Factors,” under the heading “Risks Related to Information and Cyber Security,” which should be read in conjunction with the information above. The Audit Committee, which is comprised of independent directors, oversees our policies and procedures for protecting our cybersecurity infrastructure and for compliance with applicable data protection and security regulations, and related risks. The Audit Committee receives reports regarding such risks from management, including our Chief Technology Officer, and reports to the Board at least quarterly. The Audit Committee also oversees the Board’s response to any significant cybersecurity incidents. Our Chief Technology Officer, who has extensive cybersecurity knowledge and skills gained from over ten years working in the technology industry, heads the team responsible for implementing and maintaining cybersecurity and data protection practices at Aterian, working closely with our General Counsel who has a certification in Data Security and Privacy Policy from Cornell University. Both our Chief Technology Officer and General Counsel report directly to one of our co-CEOs.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our principal place of business and corporate headquarters was our Summit, New Jersey office which is leased for a term of one year expiring April 2024. Our UK office is a building we own, and our China office is leased for a term of two years expiring in May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other offices are either shared workspaces or leases with a short-term commitment (month to month).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primarily with respect to the sale of our consumer products. We believe that there are no pending lawsuits or claims that, individually or in the aggregate, may have a material effect on our business, financial condition or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136 holders of record of our common stock. Many shares of common stock are held by brokerage firms, banks, other financial institutions as nominees for beneficial owners. Accordingly,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any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after considering our financial condition, results of operations, capital requirements, business prospects and other factors our board of directors or such committee deems relevant, and subject to the restrictions contained in our current or future financing instruments. Pursuant to the Credit Agreement, dated as of December 22, 2021 and amended as of February 23, 2024, with Midcap Funding IV Trust as Agent (“MidCap”) and the lenders party thereto, we are restricted from declaring any dividends or other distributions, subject to exceptions for certain of our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12 of Part III of this Annual Report regarding information about securities authorized for issuance under our equity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contains forward-looking statements that involve a number of risks, uncertainties and assumptions. Actual events or results may differ materially from our expectations. Important factors that could cause actual results to differ materially from those stated or implied by our forward-looking statements include, but are not limited to, those set forth in Part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Annual Report. All forward-looking statements included in this Annual Report are based on information available to us as of the time we file this Annual Report and, except as required by law, we undertake no obligation to update publicly or revise any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primary brands include Squatty Potty; hOmeLabs; Aussie Health; Mueller; Pursteam; Healing Solutions; and Photo Paper Direct "(PPD)". We generate revenue primarily through the online sales of our various consumer products with substantially all of our sales being made through the Amazon U.S. marketplace.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Net Revenue</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and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travel-related costs and fees paid to outside consultants related to the development of our intellectual property.</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Sales and Distribution Expenses</w:t>
      </w:r>
      <w:r>
        <w:rPr>
          <w:rFonts w:ascii="Times New Roman" w:cs="Times New Roman" w:eastAsia="Times New Roman" w:hAnsi="Times New Roman"/>
          <w:sz w:val="18"/>
          <w:szCs w:val="18"/>
          <w:color w:val="auto"/>
        </w:rPr>
        <w:t>— 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compensation and employee benefits for executive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administration, legal, and human resources, facility costs, insurance, travel, professional service fees and other general overhead costs, including the costs of being a public company.</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Interest Expense, Net</w:t>
      </w:r>
      <w:r>
        <w:rPr>
          <w:rFonts w:ascii="Times New Roman" w:cs="Times New Roman" w:eastAsia="Times New Roman" w:hAnsi="Times New Roman"/>
          <w:sz w:val="18"/>
          <w:szCs w:val="18"/>
          <w:color w:val="auto"/>
        </w:rPr>
        <w:t>—Interest expense, net includes the interest cost from our credit facility and term loans, and includes amortization of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costs and debt discounts from our credit facility (the “Credit Facility”) with MidCap Funding IV Trust (“MidCap”).</w:t>
      </w:r>
    </w:p>
    <w:p>
      <w:pPr>
        <w:sectPr>
          <w:pgSz w:w="11900" w:h="16838" w:orient="portrait"/>
          <w:cols w:equalWidth="0" w:num="1">
            <w:col w:w="11240"/>
          </w:cols>
          <w:pgMar w:left="320" w:top="121" w:right="339" w:bottom="0"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Years-Ended December 31, 2022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years-ended December 31, 2022 and 2023, together with the changes in those items in dollars and percentage: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center"/>
              <w:ind w:right="15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151"/>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2023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(43,371)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(35,233)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81,911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4,616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(120,409)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36,610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1,174.2%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(137,202)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(76,190)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101,969</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(196,668)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(75,431)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121,237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(196,292)</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(74,564)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121,728</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Amounts include stock-based compensation expense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1,414</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22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r>
      <w:tr>
        <w:trPr>
          <w:trHeight w:val="210"/>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52.3</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7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47.7</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54.8</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128.2</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w:t>
            </w: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(80.5)</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(88.9)</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78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0"/>
        </w:trPr>
        <w:tc>
          <w:tcPr>
            <w:tcW w:w="78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67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7"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4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214,168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138,410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5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(78,604)</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revenue decreased $78.6 million, or 35.5%, during the year-ended December 31, 2023 to $142.6 million, compared to $221.2 million for the year-ended December 31, 2022. The decrease in net revenue was primarily attributable to a decrease in direct net revenue of $75.8 million, or a 35.4% decrease, which was due to softness in consumer demand due to the current macroeconomic environment and due to competitive pricing pressure and other competitive dynamics on marketplaces, partially offset by liquidation of higher priced excess inventory during the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net revenue consists of both organic net revenue and net revenue from our mergers and acquisitions (“M&amp;A”). For the year-ended December 31, 2023, organic revenue was $138.2 million and revenue from our M&amp;A businesses was $0.2 million. For the year-ended December 31, 2022, organic revenue was $201.9 million and revenue from our M&amp;A businesses was $11.5 million.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67,797</w:t>
            </w: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40,551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Housewares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17,204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142,566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revenue decreased $78.6 million, or 35.5%, during the year-ended December 31, 2023 to $142.6 million, compared to $221.2 million for the year-ended December 31, 2022. Every category of business had a reduction in sales compared to the prior year primarily relating to softness in consumer demand due the macroeconomic environment and as a result of the SKU rationalization that took place during the year-ended December 31, 2023. In addition, there were competitive pricing pressures coupled with certain key products losing their prominent positioning on Amazon due to competition, specifically in the heating, cooling, air quality and kitchen appliance businesses. These factors resulted in a reduction of units sold and a reduction in retail sales prices generally for each category of business.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except percentages)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115,652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72,281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(43,371)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4"/>
        </w:trPr>
        <w:tc>
          <w:tcPr>
            <w:tcW w:w="11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105,518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70,285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(35,233)</w:t>
            </w:r>
          </w:p>
        </w:tc>
        <w:tc>
          <w:tcPr>
            <w:tcW w:w="3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decreased by $43.4 million from $115.7 million for the year-ended December 31, 2022 to $72.3 million for the year-ended December 31, 2023 primarily from reduced sales volume. The decrease in cost of goods sold was primarily attributable to a decrease of $38.4 million in cost of goods sold from our organic businesses, a decrease of $3.8 million from our M&amp;A businesses, and a decrease of $1.1 million in cost of goods sold from our wholesale businesses.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from 47.7% for the year-ended December 31, 2022 to 49.3% for the year-ended December 31, 2023. The increase in gross profit was due primarily to a change of product mix, improved shipping container rates during the year ended December 31, 2023 compared to the year-ended December 31, 2022, and a reduction in liquidation of high priced excess inventory at reduced prices compared to the prior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except percentages)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121,139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81,911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(39,228)</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$81.9 million for the year-ended December 31, 2023 from $121.1 million for the year-ended December 31, 2022. This decrease is primarily attributable to the decrease in the volume of products sold during the year-ended December 31, 2023, as our e-commerce platform commissions, online advertising, selling and logistics expenses decreased to $68.9 million for the year-ended December 31, 2023 as compared to $103.3 million in the prior year.</w:t>
      </w:r>
    </w:p>
    <w:p>
      <w:pPr>
        <w:sectPr>
          <w:pgSz w:w="11900" w:h="16838" w:orient="portrait"/>
          <w:cols w:equalWidth="0" w:num="1">
            <w:col w:w="11240"/>
          </w:cols>
          <w:pgMar w:left="320" w:top="121" w:right="339" w:bottom="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Our sales and distribution fixed costs (e.g., salary and office expenses) decreased to $13.0 million for the year-ended December 31, 2023 from $17.9 million for the year-ended December 31, 2022. This decrease is primarily attributable to lower stock-compensation expense of $2.6 million and lower salary expense of $1.8 million due to the restructuring activities that occurred during the year-ended December 31, 2023, partially offset by an increase in restructuring costs of $0.6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increased to 57.5% for the year-ended December 31, 2023 from 54.8% for the year-ended December 31, 2022. E-commerce platform commissions, online advertising, selling and logistic expenses included within sales and distribution expenses, as a percentage of net revenue, were 48.3% for the year-ended December 31, 2023 compared to 46.7% for the year-ended December 31, 2022. This increase in sales and distribution expenses as a percentage of revenue is predominantly due to product mix, an increase in provider fulfillment fees, and an increase in online advertising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4,616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the result of a decrease in headcount expense of $1.5 million and a decrease in stock compensation expense of $0.5 million, partially offset by an increase in restructuring expense of $0.5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38,239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(18,019)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general and administrative expenses was primarily the result of a decrease of $3.7 million in professional fees, a decrease of $3.5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depreciation and amortization, a decrease in stock compensation expense of $3.2 million, a decrease of $2.7 million relating to litigation settlements,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in other miscellaneous expenses of $2.3 million, a decrease of $1.4 million in inventory donations, and a decrease of $1.1 in headcount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partially offset by an increase in restructuring expense of $0.4 million. (See note 18 of our Consolidated Financial Statements in this annual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10-K for additional details)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except percentages)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120,409</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(120,409)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during 2022. Accordingly, we concluded a triggering event had occurred and performed interim goodwill impairment analyses during the three months ended March 31, 2022 and September 30, 2022 which resulted in impairment charges of $29.0 million and $90.9 million, respectively. There was no remaining goodwill on the balance sheet as of September 30, 2022.</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an impairment loss on goodwill of $0.5 million was recorded for the three months ended December 31, 2022, which is included in impairment loss on goodwill in the Consolidated Statement of Operations for the year-ended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these analyses, we recorded a total goodwill impairment charge of approximately $120.4 million for the year-ended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remaining goodwill as of December 31, 2022 and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Intangibles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15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39,728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36,610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1,174.2%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 groups experienced a significant decrease in sales and contribution margin through December 31, 2022. This was considered an interim triggering event for the year-ended December 31,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charge of $3.1 million in the year-ended December 31, 2022.</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and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2023, the Company had a substantial decrease in its market capitalization, primarily relating to a decrease in share price. Further, the Company continued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an impairment charge of $39.7 million and $3.1 million for the year-ended December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40" w:type="dxa"/>
            <w:vAlign w:val="bottom"/>
            <w:gridSpan w:val="10"/>
          </w:tcPr>
          <w:p>
            <w:pPr>
              <w:ind w:left="5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(5,240)</w:t>
            </w:r>
          </w:p>
        </w:tc>
        <w:tc>
          <w:tcPr>
            <w:tcW w:w="102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 As of December 31, 2023, we no longer have any contingent earn-out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of $1.2 million is primarily relating to a decrease in interest expense of $0.6 million due to lower average borrowings compared to the prior period and an increase in interest income of $0.6 million compared to the prior period.</w:t>
      </w:r>
    </w:p>
    <w:p>
      <w:pPr>
        <w:sectPr>
          <w:pgSz w:w="11900" w:h="16838" w:orient="portrait"/>
          <w:cols w:equalWidth="0" w:num="1">
            <w:col w:w="11240"/>
          </w:cols>
          <w:pgMar w:left="320" w:top="108" w:right="339" w:bottom="312"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312"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seller note</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10"/>
          </w:tcPr>
          <w:p>
            <w:pPr>
              <w:ind w:left="56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(2,012)</w:t>
            </w:r>
          </w:p>
        </w:tc>
        <w:tc>
          <w:tcPr>
            <w:tcW w:w="10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2,012</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extinguishment of seller note during the year-ended December 31, 2022 was attributable to the settlement of the Truweo seller note, which resulted in a $2.0 million gain on extinguishment of seller note upon the extinguishment of debt.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initial issuance of equity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10"/>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18,669</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(18,669)</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loss on initial issuance of equity is attributable to the issuance of common shares and initial valuation of the prefunded warrants and common stock warrants from our March 2022 equity raise of $5.8 million in March 2022. Further, in September 2022, we recorded a charge related to the September 29, 2022 securities purchase agreement for common stock and associated warrants for the three months ended September 30, 2022 as we deemed the agreement non-cancellable. The $12.8 million expense is derived from the anticipated fair-value of the issuances of equity attributable to the expected issuance of common shares and common stock warrants versus the anticipated proceeds to be received by us. We closed and issued the common stock and associated warrants on October 4,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  $</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2022 and 2023 activity is related to the change in fair market value of the warrant liabilities from the prefunded warrants and common stock warrants from our March 2022 equity raise of capital. The change in fair value of warrant liabilities for the year-ended December 31, 2023 primarily relates to the reduced share price compared to the prior period.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Years-Ended December 31, 2022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our cash flows for the years-ended December 31, 2022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provided (used)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and restricted cash for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19888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1" w:lineRule="exact"/>
        <w:rPr>
          <w:sz w:val="20"/>
          <w:szCs w:val="20"/>
          <w:color w:val="auto"/>
        </w:rPr>
      </w:pPr>
    </w:p>
    <w:p>
      <w:pPr>
        <w:ind w:left="560"/>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1"/>
        </w:trPr>
        <w:tc>
          <w:tcPr>
            <w:tcW w:w="500" w:type="dxa"/>
            <w:vAlign w:val="bottom"/>
          </w:tcPr>
          <w:p>
            <w:pPr>
              <w:spacing w:after="0"/>
              <w:rPr>
                <w:sz w:val="14"/>
                <w:szCs w:val="14"/>
                <w:color w:val="auto"/>
              </w:rPr>
            </w:pPr>
          </w:p>
        </w:tc>
        <w:tc>
          <w:tcPr>
            <w:tcW w:w="1820" w:type="dxa"/>
            <w:vAlign w:val="bottom"/>
            <w:gridSpan w:val="4"/>
          </w:tcPr>
          <w:p>
            <w:pPr>
              <w:jc w:val="right"/>
              <w:ind w:right="150"/>
              <w:spacing w:after="0" w:line="171" w:lineRule="exact"/>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(17,477)</w:t>
            </w:r>
          </w:p>
        </w:tc>
        <w:tc>
          <w:tcPr>
            <w:tcW w:w="7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(13,388)</w:t>
            </w:r>
          </w:p>
        </w:tc>
      </w:tr>
      <w:tr>
        <w:trPr>
          <w:trHeight w:val="216"/>
        </w:trPr>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(11,108)</w:t>
            </w:r>
          </w:p>
        </w:tc>
      </w:tr>
      <w:tr>
        <w:trPr>
          <w:trHeight w:val="234"/>
        </w:trPr>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r>
      <w:tr>
        <w:trPr>
          <w:trHeight w:val="209"/>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(24,434)</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p>
      <w:pPr>
        <w:spacing w:after="0" w:line="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by operating activities was $17.5 million for the year-ended December 31, 2022, resulting from our net cash losses from operations of $37.2 million, offset by cash from working capital of $19.7 million from changes in accounts receivable, purchase of inventory and insurance and payments of accounts payable and accrued expenses. The reduction of inventory and accounts payable in 2022 relate to the decrease in inventory purchases in 2022 compared to 2021 and our efforts to normalize inventory levels by liquidating higher cost inventory. The decrease in accounts receivable year over year relates to a reduction in sales volume during the last month of the quarter, December 2021 versus December 2022, and timing from a significant wholesale receivable from 2021 collected in 2022.</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$13.4 million for the year-ended December 31, 2023, resulting primarily from our net cash losses from operations of $28.9 million, offset by an inflow from working capital of $15.5 million from changes in accounts receivable, purchases of inventory and payments of accounts payable. The reduction of gross inventory of $26.4 million from December 31, 2022 to December 31, 2023 primarily relates to the liquidation of high priced excess inventory and a reduction of purchases for the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year-ended December 31, 2022 was primarily from the acquisition of Step and Go for $0.6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for the year-ended December 31, 2023, resulting primarily from the remaining payment for the purchase of Step and Go assets which was acquired during the three months ending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year-ended December 31, 2022, cash provided by financing activities of $27.0 million was primarily from the net proceeds from the March and October 2022 equity raise of $46.8 million partially offset by the net repayment of borrowings from the Midcap credit facility of $12.2 million, the payment of earn-out to Squatty Potty of $4.0 million, and the repayment of note to Smash of $3.4 million.</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year-ended December 31, 2023, cash used by financing activities of $11.1 million primarily from the net repayments for our MidCap credit facility of $10.4 million, repayment of note payable to Smash of $0.6 million and net payments of insurance financing of $0.1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ectPr>
          <w:pgSz w:w="11900" w:h="16838" w:orient="portrait"/>
          <w:cols w:equalWidth="0" w:num="1">
            <w:col w:w="11240"/>
          </w:cols>
          <w:pgMar w:left="320" w:top="121"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ind w:left="1300" w:right="40" w:hanging="644"/>
        <w:spacing w:after="0" w:line="261"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year-ended December 31, 2023, we incurred a net loss of $74.6 million and used net cash flows in our operations of $13.4 million. In addition, as of December 31, 2023, we had unrestricted cash and cash equivalents of $20.0 million available to fund our operations and an accumulated deficit of $699.8 million.</w:t>
      </w:r>
    </w:p>
    <w:p>
      <w:pPr>
        <w:spacing w:after="0" w:line="179" w:lineRule="exact"/>
        <w:rPr>
          <w:rFonts w:ascii="Times New Roman" w:cs="Times New Roman" w:eastAsia="Times New Roman" w:hAnsi="Times New Roman"/>
          <w:sz w:val="18"/>
          <w:szCs w:val="18"/>
          <w:color w:val="auto"/>
        </w:rPr>
      </w:pPr>
    </w:p>
    <w:p>
      <w:pPr>
        <w:ind w:left="1300" w:right="140" w:hanging="644"/>
        <w:spacing w:after="0" w:line="269" w:lineRule="auto"/>
        <w:tabs>
          <w:tab w:leader="none" w:pos="13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remain in compliance with certain financial covenants required by the MidCap Credit facility (See Note 9, Credit Facility, Term Loans and Warrants). We were in compliance with these financial covenants as of December 31, 2023, and expect to remain in compliance through at least March 31, 2025. During February 2024, the Company amended its terms with Midcap Credit Facility extending the term until December 2026 and amending certain financial covenants with favorable terms (See Note 19, Subsequent Events). However, with our history of forecasting our business following the onset of the COVID-19 global pandemic, the current record global inflation and related global supply chain disruptions,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1" w:lineRule="exact"/>
        <w:rPr>
          <w:rFonts w:ascii="Times New Roman" w:cs="Times New Roman" w:eastAsia="Times New Roman" w:hAnsi="Times New Roman"/>
          <w:sz w:val="17"/>
          <w:szCs w:val="17"/>
          <w:color w:val="auto"/>
        </w:rPr>
      </w:pPr>
    </w:p>
    <w:p>
      <w:pPr>
        <w:ind w:left="1300" w:right="60" w:hanging="644"/>
        <w:spacing w:after="0" w:line="258"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ind w:left="660" w:right="40" w:hanging="342"/>
        <w:spacing w:after="0" w:line="27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initiated two restructuring programs over the last 12 months to reduce operating costs and right size the workforce to align with the scale of our streamlined operations. In addition, we have reduced the SKU count to solely focus on profitable products that are core to the Company’s strategy. Subsequent to December 31, 2023, we extended the term with Midcap Credit Facility until December 2026 (See Note 9,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Nasdaq Listing </w:t>
      </w:r>
      <w:r>
        <w:rPr>
          <w:rFonts w:ascii="Times New Roman" w:cs="Times New Roman" w:eastAsia="Times New Roman" w:hAnsi="Times New Roman"/>
          <w:sz w:val="18"/>
          <w:szCs w:val="18"/>
          <w:color w:val="auto"/>
        </w:rPr>
        <w:t>—On April 24, 2023, we received a letter (the "Bid Price Notice") from the Listing Qualifications Staff of The Nasdaq Stock Market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indicating 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"Minimum Bid Price Rule").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our common stock on The Nasdaq Capital Market, and, therefore, our listing remains fully effective.</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ectPr>
          <w:pgSz w:w="11900" w:h="16838" w:orient="portrait"/>
          <w:cols w:equalWidth="0" w:num="1">
            <w:col w:w="11240"/>
          </w:cols>
          <w:pgMar w:left="320" w:top="121" w:right="339" w:bottom="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Minimum Bid Price Rule, we plan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effecting such split.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—On May 9, 2023, the Company announced a plan to reduce expenses by implementing a reduction in its current workforce impacting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employees and 15 contractors, primarily in the Philippines. The Company recognized restructuring charges $1.6 million for the year-ended December 31, 2023, respectively.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will result in the termination of approximately 21 employees and 27 contractors globally. The Company expects to substantially complete this reduction by the end of the first quarter of 2024. The Company expects to recognize restructuring charges in connection with the plan, primarily related to severance, of $0.6 million. The Company expects the charges will be recognized primarily in the first quarter of 2024, with the majority of such charges anticipated to be paid by the end of the first quarter of 2024. As part of this plan, the Company has shifted the architecture of its technology platform away from a fully internally developed model to an integrated third-party, best-of-breed model.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MidCap Credit Facility </w:t>
      </w:r>
      <w:r>
        <w:rPr>
          <w:rFonts w:ascii="Times New Roman" w:cs="Times New Roman" w:eastAsia="Times New Roman" w:hAnsi="Times New Roman"/>
          <w:sz w:val="18"/>
          <w:szCs w:val="18"/>
          <w:color w:val="auto"/>
        </w:rPr>
        <w:t>—On December 22, 2021, we entered into an asset backed credit facility with MidCap (the "Credit Facility"), pursuant to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Credit Facility.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contained a financial covenant that required us to maintain a minimum unrestricted cash balance of (a) $12.5 million during the period from February 1st through and including May 31st of each calendar year, and (b) $15.0 million at all other times. The MidCap credit facility was scheduled to mature in December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balance on the MidCap credit facility as of December 31, 2022 and December 31, 2023 was $21.1 million and $11.1 million, respectively. The Company had $1.1 million of availability on the Midcap credit facility as of December 31, 2023. We are in compliance with the financial covenants contained within the Credit Agreement as of December 31, 2023.</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Contingent earn-out liability considerations</w:t>
      </w:r>
      <w:r>
        <w:rPr>
          <w:rFonts w:ascii="Times New Roman" w:cs="Times New Roman" w:eastAsia="Times New Roman" w:hAnsi="Times New Roman"/>
          <w:sz w:val="18"/>
          <w:szCs w:val="18"/>
          <w:color w:val="auto"/>
        </w:rPr>
        <w:t>—As part of the acquisition of the assets of Squatty Potty, LLC (the “Squatty Potty Assets”), Squatty Potty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earn-out payments based on the achievement of certain contribution margin thresholds on certain products of the acquired business. If the earn-out consideration event occurred in the 12 months ending December 31, 2022, the earn-out payment amount was to be $3.9 million and if the parties terminate the transition service agreement prior to the date that is nine months following the Closing Date, we are to pay an additional $3.9 million.</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Squatty Potty acquisition on May 5, 2021, the Company paid $4.0 million of earn-out payment in 2022. There is no further earnout payment owed related to this acquisition as this was fully paid in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5, 2021, the acquisition date of Photo Paper Direct Ltd. (“Photo Paper Direct”), the initial fair value amount of the earn-out payment with respect to Photo Paper Direct was appropriately $0.9 million. As of December 31, 2022 and 2023, the fair value amount of the earn-out payment with respect to the Photo Paper Direct acquisition was $0.0 million as we believe the earnout was not achieved. Photo Paper Direct’s sellers disagreed with our determination and filed a motion to compel arbitration in the Southern District of New York on September 14, 2022, which was granted on May 18, 2023. In February 2024, the independent accountant ruled in favor of the Company and determined that the Company owes no earn-out. Therefore, the Company believes it has no liability to the sellers.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Open Inventory Purchase Orders</w:t>
      </w:r>
      <w:r>
        <w:rPr>
          <w:rFonts w:ascii="Times New Roman" w:cs="Times New Roman" w:eastAsia="Times New Roman" w:hAnsi="Times New Roman"/>
          <w:sz w:val="18"/>
          <w:szCs w:val="18"/>
          <w:color w:val="auto"/>
        </w:rPr>
        <w:t>—As of December 31, 2022 and 2023, the Company had open inventory purchase orders of $13.5 million and $6.5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respectively, placed with vendors waiting to be fulfilled.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Annual Report have been prepared in a manner that complies, in all material respects, with generally accepted accounting principles in the U.S. (“GAAP”). However, for the reasons discussed below, we have presented certain non-GAAP measures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income taxes. As used herein, Adjusted EBITDA represents EBITDA plus stock-based compensation expense, changes in fair-market value of earn-outs, profit and loss impacts from the issuance of common stock and/or warrants, changes in fair-market value of warrant liability, litigation settlements, impairment on goodwill and intangibles, gain from extinguishment of seller note, restructuring expenses, reserve on barter credits,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206"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224" w:lineRule="exact"/>
        <w:rPr>
          <w:rFonts w:ascii="Times New Roman" w:cs="Times New Roman" w:eastAsia="Times New Roman" w:hAnsi="Times New Roman"/>
          <w:sz w:val="22"/>
          <w:szCs w:val="22"/>
          <w:color w:val="auto"/>
        </w:rPr>
      </w:pPr>
    </w:p>
    <w:p>
      <w:pPr>
        <w:ind w:left="1300" w:hanging="644"/>
        <w:spacing w:after="0" w:line="234"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cash requirements for our working capital needs; or</w:t>
      </w:r>
    </w:p>
    <w:p>
      <w:pPr>
        <w:spacing w:after="0" w:line="224" w:lineRule="exact"/>
        <w:rPr>
          <w:rFonts w:ascii="Times New Roman" w:cs="Times New Roman" w:eastAsia="Times New Roman" w:hAnsi="Times New Roman"/>
          <w:sz w:val="22"/>
          <w:szCs w:val="22"/>
          <w:color w:val="auto"/>
        </w:rPr>
      </w:pPr>
    </w:p>
    <w:p>
      <w:pPr>
        <w:ind w:left="1300" w:hanging="644"/>
        <w:spacing w:after="0" w:line="234" w:lineRule="auto"/>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Additionally, Adjusted EBITDA excludes non-cash stock-based compensation expense, which is and is expected to remain a key element of our overall long-term incentive compensation package.</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ectPr>
          <w:pgSz w:w="11900" w:h="16838" w:orient="portrait"/>
          <w:cols w:equalWidth="0" w:num="1">
            <w:col w:w="11240"/>
          </w:cols>
          <w:pgMar w:left="320" w:top="121" w:right="339" w:bottom="0" w:gutter="0" w:footer="0" w:header="0"/>
        </w:sectPr>
      </w:pPr>
    </w:p>
    <w:bookmarkStart w:id="33" w:name="page34"/>
    <w:bookmarkEnd w:id="33"/>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w:t>
      </w:r>
    </w:p>
    <w:p>
      <w:pPr>
        <w:spacing w:after="0" w:line="252"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spacing w:after="0" w:line="252"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105,518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70,285</w:t>
            </w:r>
          </w:p>
        </w:tc>
      </w:t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on barter credits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E-commerce platform commissions, online advertising, selling and logistics expenses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(103,258)</w:t>
            </w: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(68,864)</w:t>
            </w:r>
          </w:p>
        </w:tc>
      </w:tr>
      <w:tr>
        <w:trPr>
          <w:trHeight w:val="20"/>
        </w:trPr>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3,903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w:t>
            </w:r>
          </w:p>
        </w:tc>
      </w:tr>
      <w:tr>
        <w:trPr>
          <w:trHeight w:val="20"/>
        </w:trPr>
        <w:tc>
          <w:tcPr>
            <w:tcW w:w="6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47.7%</w:t>
            </w:r>
          </w:p>
        </w:tc>
        <w:tc>
          <w:tcPr>
            <w:tcW w:w="320" w:type="dxa"/>
            <w:vAlign w:val="bottom"/>
          </w:tcPr>
          <w:p>
            <w:pPr>
              <w:spacing w:after="0"/>
              <w:rPr>
                <w:sz w:val="17"/>
                <w:szCs w:val="17"/>
                <w:color w:val="auto"/>
              </w:rPr>
            </w:pPr>
          </w:p>
        </w:tc>
        <w:tc>
          <w:tcPr>
            <w:tcW w:w="1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8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r>
      <w:tr>
        <w:trPr>
          <w:trHeight w:val="209"/>
        </w:trPr>
        <w:tc>
          <w:tcPr>
            <w:tcW w:w="7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(196,292)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(74,564)</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(867)</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7,521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7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(186,544)</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(70,124)</w:t>
            </w:r>
          </w:p>
        </w:tc>
      </w:tr>
      <w:tr>
        <w:trPr>
          <w:trHeight w:val="20"/>
        </w:trPr>
        <w:tc>
          <w:tcPr>
            <w:tcW w:w="7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120,409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3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3,118</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39,728</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3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original issuance of equity</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18,669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reserve</w:t>
            </w:r>
          </w:p>
        </w:tc>
        <w:tc>
          <w:tcPr>
            <w:tcW w:w="3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on barter credits</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1,643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7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Restructuring expense</w:t>
            </w:r>
            <w:r>
              <w:rPr>
                <w:rFonts w:ascii="Times New Roman" w:cs="Times New Roman" w:eastAsia="Times New Roman" w:hAnsi="Times New Roman"/>
                <w:sz w:val="25"/>
                <w:szCs w:val="25"/>
                <w:color w:val="auto"/>
                <w:vertAlign w:val="superscript"/>
              </w:rPr>
              <w:t>(1)</w:t>
            </w:r>
          </w:p>
        </w:tc>
        <w:tc>
          <w:tcPr>
            <w:tcW w:w="32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14,594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8,336</w:t>
            </w:r>
          </w:p>
        </w:tc>
      </w:tr>
      <w:tr>
        <w:trPr>
          <w:trHeight w:val="20"/>
        </w:trPr>
        <w:tc>
          <w:tcPr>
            <w:tcW w:w="78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(33,514)</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(22,284)</w:t>
            </w:r>
          </w:p>
        </w:tc>
      </w:tr>
      <w:tr>
        <w:trPr>
          <w:trHeight w:val="20"/>
        </w:trPr>
        <w:tc>
          <w:tcPr>
            <w:tcW w:w="7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as a percentage of net revenue</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(88.8)%</w:t>
            </w: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(52.3)%</w:t>
            </w:r>
          </w:p>
        </w:tc>
      </w:t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3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79" w:lineRule="exact"/>
        <w:rPr>
          <w:sz w:val="20"/>
          <w:szCs w:val="20"/>
          <w:color w:val="auto"/>
        </w:rPr>
      </w:pPr>
    </w:p>
    <w:p>
      <w:pPr>
        <w:ind w:left="1080" w:right="140" w:hanging="316"/>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expenses include non-recurring employee severance, contract termination costs and a settlement of a retention bonus relating to the Company reorganization executed during the year-ended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generally accepted accounting principles. The preparation of these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we believe the following accounting policies used in the preparation of our financial statements require the most significant judgments and estimates.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Inventory valuation</w:t>
      </w:r>
      <w:r>
        <w:rPr>
          <w:rFonts w:ascii="Times New Roman" w:cs="Times New Roman" w:eastAsia="Times New Roman" w:hAnsi="Times New Roman"/>
          <w:sz w:val="18"/>
          <w:szCs w:val="18"/>
          <w:color w:val="auto"/>
        </w:rPr>
        <w:t>—Inventories, consisting of products available for sale, are primarily accounted for using the first-in first-out method, and are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lower of cost and net realizable value. This valuation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 A 10% change to our current reserve for excess and obsolete inventory would not result in a material change to our consolidated financial statements; however, given the value of inventory on hand, a significant change in demand or market conditions could result in a material adjustment to our reserve in future periods.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Warrant Liability</w:t>
      </w:r>
      <w:r>
        <w:rPr>
          <w:rFonts w:ascii="Times New Roman" w:cs="Times New Roman" w:eastAsia="Times New Roman" w:hAnsi="Times New Roman"/>
          <w:sz w:val="18"/>
          <w:szCs w:val="18"/>
          <w:color w:val="auto"/>
        </w:rPr>
        <w:t>—The fair values of the outstanding warrants were measured using the Black Scholes model. Inputs used to determine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 measurement of the outstanding warrant liability, and are recorded within the Change in fair market value of warrant line item on the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warrant liability was $3.5 million and $1.0 million at December 31, 2022 and 2023, respectively.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Accounting for contingent consideration</w:t>
      </w:r>
      <w:r>
        <w:rPr>
          <w:rFonts w:ascii="Times New Roman" w:cs="Times New Roman" w:eastAsia="Times New Roman" w:hAnsi="Times New Roman"/>
          <w:sz w:val="18"/>
          <w:szCs w:val="18"/>
          <w:color w:val="auto"/>
        </w:rPr>
        <w:t>—Our acquisitions may include contingent consideration as part of the purchase price.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consideration is estimated as of the acquisition date based on the present value of the contingent payments to be made using a weighted probability of possible payments.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 as discussed in Note 6 to our Consolidated Financial Statements included in this Annual Report. Should actual results increase or decrease as compared to the assumption used in our analysis, the fair value of the contingent consideration obligations will increase or decrease, up to the contracted limit, as applicable. Changes in the fair value of the contingent earn-out consideration could cause a material impact and volatility in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contingent earn-out liabilities at December 31,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Goodwill Valuation </w:t>
      </w:r>
      <w:r>
        <w:rPr>
          <w:rFonts w:ascii="Times New Roman" w:cs="Times New Roman" w:eastAsia="Times New Roman" w:hAnsi="Times New Roman"/>
          <w:sz w:val="18"/>
          <w:szCs w:val="18"/>
          <w:color w:val="auto"/>
        </w:rPr>
        <w:t>—We operate under one business component which is the same as our reporting unit based on the guidance in ASC Topic 350-20.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goodwill for impairment at least annually during the fourth quarter and whenever events or changes in circumstances indicate that the carrying value may not be recoverable. During 2022, we had events and conditions in the first and third quarter that required an interim assessment of goodwill.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evaluated current economic conditions,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Accordingly, we concluded a triggering event had occurred and performed interim goodwill impairment analyses and determined that our goodwill impaired during the three months ended March 31, 2022 and three months ended September 30,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engaged a third-party valuation specialist to assist management in performing an interim goodwill impairment test.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sustained decline in our stock price leading up to and subsequent to March 31, 2022 and September 30, 2022, we used the market capitalization to determine the fair value of the reporting unit. As a result, we recorded impairment charges of $29.0 million and $90.0 million during the three months ending March 31, 2022 and September 30, 2022, respectively. There was no remaining goodwill on the balance sheet as of September 30,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fair value of our reporting unit are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inherent estimates and assumptions used in determining fair value of our reporting unit are outside the control of management, including interest rates, tax rates, credit ratings and industry growth. Given the current COVID-19 global pandemic and the uncertainties regarding the financial potential impact on our business, there can be no assurance that our estimates and assumptions regarding the impact of COVID-19 and the recovery period made for purposes of the goodwill impairment testing performed will prove to be accurate predictions of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an impairment loss on goodwill of $0.5 million was recorded for the three months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these analyses, we recorded a total goodwill impairment charge of approximately $120.4 million for the year-ended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remaining goodwill balance as of December 31, 2022 and December 31,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made are reasonable and appropriate, and changes in the assumptions and estimates could have a material impact on our reported financial results.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Intangible asset valuation </w:t>
      </w:r>
      <w:r>
        <w:rPr>
          <w:rFonts w:ascii="Times New Roman" w:cs="Times New Roman" w:eastAsia="Times New Roman" w:hAnsi="Times New Roman"/>
          <w:sz w:val="18"/>
          <w:szCs w:val="18"/>
          <w:color w:val="auto"/>
        </w:rPr>
        <w:t>—We review long-lived assets for impairment when performance expectations, events, or changes in circumstances indicate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2023, the Company had a substantial decrease in its market capitalization, primarily relating to a decrease in share price. Further, the Company continues to see reduced net revenues across its portfolio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ectPr>
          <w:pgSz w:w="11900" w:h="16838" w:orient="portrait"/>
          <w:cols w:equalWidth="0" w:num="1">
            <w:col w:w="11240"/>
          </w:cols>
          <w:pgMar w:left="320" w:top="121" w:right="339" w:bottom="0" w:gutter="0" w:footer="0" w:header="0"/>
        </w:sectPr>
      </w:pPr>
    </w:p>
    <w:bookmarkStart w:id="37" w:name="page38"/>
    <w:bookmarkEnd w:id="37"/>
    <w:p>
      <w:pPr>
        <w:ind w:right="20"/>
        <w:spacing w:after="0" w:line="256" w:lineRule="auto"/>
        <w:rPr>
          <w:sz w:val="20"/>
          <w:szCs w:val="20"/>
          <w:color w:val="auto"/>
        </w:rPr>
      </w:pPr>
      <w:r>
        <w:rPr>
          <w:rFonts w:ascii="Times New Roman" w:cs="Times New Roman" w:eastAsia="Times New Roman" w:hAnsi="Times New Roman"/>
          <w:sz w:val="18"/>
          <w:szCs w:val="18"/>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 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December 31,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year-ended December 31, 2022 and 2023, total impairment loss on intangibles were approximately $3.1 million and $39.7 million,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(“EGC”) can take advantage of the extended transition period provided in Section 7(a)(2)(B) of the Securities Act of 1933, as amended, for complying with new or revised accounting standards. We have elected to avail ourselves of this exemption and, as a result,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an EGC,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remain an EGC until the earlier of (i) the last day of the fiscal year in which we have total annual gross revenues of $1.07 billion or more; (ii) the last day of the fiscal year following the fifth anniversary of the completion of our initial public offering, or December 31, 2024; (iii) the date on which we have issued more than $1.0 billion in non-convertible debt during the previous three years; or (iv) the date on which we are deemed to be a large accelerated filer under the rules of the Securities and Exchange Commission (the “SEC”) (i.e., the first day of the fiscal year after we have (1) more than $700.0 million in outstanding common equity held by our non-affiliates, measured each year on the last day of our second fiscal quarter, (2) been public for at least 12 months, and (3) are not eligible to be deemed a “smaller reporting company” because we do not meet the revenue test of the definition of “smaller reporting company”, which includes an initial determination that our annual revenues are more than $100.0 million for the most recently completed fiscal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Adopted Accounting Standards and </w:t>
      </w: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outstanding debt under the Credit Facility with MidCap that bears interest. As of December 31, 2023, our outstanding indebtedness under the Credit Facility was $11.1 million, which bears interest at a rate of Term Secured Overnight Financing Rate ("Term SOFR"), which is defined as SOFR plus 0.10%, plus 5.50%. We do not believe that an immediate 10% increase in interest rates would have a material effect on interest expense for the Credit Facility, and therefore we do not expect our operating results or cash flows to be materially affected to any degree by a sudden change in market interest.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2% and 4% of our net revenue for the years-ended December 31, 2022 and 2023, respectively.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Inflation would generally affect us by increasing our cost of labor and overhead costs. We do not believe that inflation had a material effect on our business, financial condition or results of operations for the years-ended December 31, 2022 and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98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20"/>
        </w:trPr>
        <w:tc>
          <w:tcPr>
            <w:tcW w:w="98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2022 and 2023</w:t>
            </w: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F-3</w:t>
            </w:r>
          </w:p>
        </w:tc>
      </w:tr>
      <w:tr>
        <w:trPr>
          <w:trHeight w:val="20"/>
        </w:trPr>
        <w:tc>
          <w:tcPr>
            <w:tcW w:w="98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Years-Ended December 31, 2022 and 2023</w:t>
            </w: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20"/>
        </w:trPr>
        <w:tc>
          <w:tcPr>
            <w:tcW w:w="980" w:type="dxa"/>
            <w:vAlign w:val="bottom"/>
          </w:tcPr>
          <w:p>
            <w:pPr>
              <w:spacing w:after="0" w:line="20" w:lineRule="exact"/>
              <w:rPr>
                <w:sz w:val="1"/>
                <w:szCs w:val="1"/>
                <w:color w:val="auto"/>
              </w:rPr>
            </w:pPr>
          </w:p>
        </w:tc>
        <w:tc>
          <w:tcPr>
            <w:tcW w:w="64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Comprehensive Loss for the Years-Ended December 31, 2022 and 2023</w:t>
            </w:r>
          </w:p>
        </w:tc>
        <w:tc>
          <w:tcPr>
            <w:tcW w:w="268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F-5</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80" w:type="dxa"/>
            <w:vAlign w:val="bottom"/>
            <w:tcBorders>
              <w:lef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Stockholders’ Equity for the Years-Ended December 31, 2022 and 2023</w:t>
            </w:r>
          </w:p>
        </w:tc>
        <w:tc>
          <w:tcPr>
            <w:tcW w:w="268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F-6</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Years-Ended December 31, 2022 and 2023</w:t>
            </w:r>
          </w:p>
        </w:tc>
        <w:tc>
          <w:tcPr>
            <w:tcW w:w="2680" w:type="dxa"/>
            <w:vAlign w:val="bottom"/>
          </w:tcPr>
          <w:p>
            <w:pPr>
              <w:spacing w:after="0"/>
              <w:rPr>
                <w:sz w:val="17"/>
                <w:szCs w:val="17"/>
                <w:color w:val="auto"/>
              </w:rPr>
            </w:pP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F-7</w:t>
            </w:r>
          </w:p>
        </w:tc>
      </w:tr>
      <w:tr>
        <w:trPr>
          <w:trHeight w:val="20"/>
        </w:trPr>
        <w:tc>
          <w:tcPr>
            <w:tcW w:w="980" w:type="dxa"/>
            <w:vAlign w:val="bottom"/>
          </w:tcPr>
          <w:p>
            <w:pPr>
              <w:spacing w:after="0" w:line="20" w:lineRule="exact"/>
              <w:rPr>
                <w:sz w:val="1"/>
                <w:szCs w:val="1"/>
                <w:color w:val="auto"/>
              </w:rPr>
            </w:pPr>
          </w:p>
        </w:tc>
        <w:tc>
          <w:tcPr>
            <w:tcW w:w="652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98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 for the Years-Ended December 31, 2022 and 2023</w:t>
            </w:r>
          </w:p>
        </w:tc>
        <w:tc>
          <w:tcPr>
            <w:tcW w:w="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F-8</w:t>
            </w:r>
          </w:p>
        </w:tc>
      </w:tr>
      <w:tr>
        <w:trPr>
          <w:trHeight w:val="912"/>
        </w:trPr>
        <w:tc>
          <w:tcPr>
            <w:tcW w:w="980" w:type="dxa"/>
            <w:vAlign w:val="bottom"/>
          </w:tcPr>
          <w:p>
            <w:pPr>
              <w:spacing w:after="0"/>
              <w:rPr>
                <w:sz w:val="24"/>
                <w:szCs w:val="24"/>
                <w:color w:val="auto"/>
              </w:rPr>
            </w:pPr>
          </w:p>
        </w:tc>
        <w:tc>
          <w:tcPr>
            <w:tcW w:w="4220" w:type="dxa"/>
            <w:vAlign w:val="bottom"/>
            <w:tcBorders>
              <w:top w:val="single" w:sz="8" w:color="0000EE"/>
            </w:tcBorders>
          </w:tcPr>
          <w:p>
            <w:pPr>
              <w:spacing w:after="0"/>
              <w:rPr>
                <w:sz w:val="24"/>
                <w:szCs w:val="24"/>
                <w:color w:val="auto"/>
              </w:rPr>
            </w:pPr>
          </w:p>
        </w:tc>
        <w:tc>
          <w:tcPr>
            <w:tcW w:w="2580" w:type="dxa"/>
            <w:vAlign w:val="bottom"/>
            <w:tcBorders>
              <w:top w:val="single" w:sz="8" w:color="0000EE"/>
            </w:tcBorders>
            <w:gridSpan w:val="4"/>
          </w:tcPr>
          <w:p>
            <w:pPr>
              <w:ind w:left="300"/>
              <w:spacing w:after="0"/>
              <w:rPr>
                <w:sz w:val="20"/>
                <w:szCs w:val="20"/>
                <w:color w:val="auto"/>
              </w:rPr>
            </w:pPr>
            <w:r>
              <w:rPr>
                <w:rFonts w:ascii="Times New Roman" w:cs="Times New Roman" w:eastAsia="Times New Roman" w:hAnsi="Times New Roman"/>
                <w:sz w:val="18"/>
                <w:szCs w:val="18"/>
                <w:color w:val="auto"/>
              </w:rPr>
              <w:t>F-1</w:t>
            </w:r>
          </w:p>
        </w:tc>
        <w:tc>
          <w:tcPr>
            <w:tcW w:w="306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58"/>
        </w:trPr>
        <w:tc>
          <w:tcPr>
            <w:tcW w:w="9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0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Aterian,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Aterian, Inc. and subsidiaries (the "Company") as of December 31, 2023 and 2022, the related consolidated statements of operations, comprehensive loss,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be able to continue as a going concern. As discussed in Note 1 to the consolidated financial statements, the Company has incurred recurring losses from operations and recurring negative operating cash flows since inception and may be unable to fund day-to-day company operations and remain in compliance with certain financial covenants required by the agreement governing the Company’s credit facility which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49,636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156,439</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61,869</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4,190</w:t>
            </w: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notes</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25,838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and 80,752,290 and 90,097,372 shares</w:t>
            </w: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 and December 31, 2023, respectively</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736,675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(625,251)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(699,815)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61,869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share and per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142,566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70,285</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81,911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(76,190)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(196,668)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(75,431)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(196,292)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(2.95)</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(0.95)</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66,529,565</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78,155,590</w:t>
            </w:r>
          </w:p>
        </w:tc>
        <w:tc>
          <w:tcPr>
            <w:tcW w:w="100" w:type="dxa"/>
            <w:vAlign w:val="bottom"/>
            <w:tcBorders>
              <w:top w:val="single" w:sz="8" w:color="CCEEFF"/>
            </w:tcBorders>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9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ATERIAN, INC.</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6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(196,292)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(74,564)</w:t>
            </w:r>
          </w:p>
        </w:tc>
      </w:tr>
      <w:tr>
        <w:trPr>
          <w:trHeight w:val="209"/>
        </w:trPr>
        <w:tc>
          <w:tcPr>
            <w:tcW w:w="33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6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12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(196,968)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(74,258)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ATERIAN, INC.</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280" w:type="dxa"/>
            <w:vAlign w:val="bottom"/>
            <w:gridSpan w:val="9"/>
          </w:tcPr>
          <w:p>
            <w:pPr>
              <w:jc w:val="right"/>
              <w:ind w:right="94"/>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260" w:type="dxa"/>
            <w:vAlign w:val="bottom"/>
            <w:gridSpan w:val="3"/>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55,090,237</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653,650</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(428,959)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224,228</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(196,292)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(196,292)</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4,428,662</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(423,482)</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3,013,850</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15,039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15,039</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settlement</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seller note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292,887</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 issuance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18,277,948</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46,832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46,834</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warrants in connection with</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(18,982)</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(18,982)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72,188</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18,669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18,669</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 to contractors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11,184</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BALANCE—December 31, 2022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80,752,290</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728,339</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(625,251)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101,952</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(74,564)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(74,564)</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of restricted common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13,138,725</w:t>
            </w:r>
          </w:p>
        </w:tc>
        <w:tc>
          <w:tcPr>
            <w:tcW w:w="8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Forfeiture of shares of restricted common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(4,093,643)</w:t>
            </w:r>
          </w:p>
        </w:tc>
        <w:tc>
          <w:tcPr>
            <w:tcW w:w="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90,097,372</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736,675</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(699,815)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36,031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80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jc w:val="right"/>
              <w:ind w:right="5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Pr>
          <w:p>
            <w:pPr>
              <w:spacing w:after="0"/>
              <w:rPr>
                <w:sz w:val="11"/>
                <w:szCs w:val="11"/>
                <w:color w:val="auto"/>
              </w:rPr>
            </w:pP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OPERATING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(196,292)</w:t>
            </w:r>
          </w:p>
        </w:tc>
        <w:tc>
          <w:tcPr>
            <w:tcW w:w="680" w:type="dxa"/>
            <w:vAlign w:val="bottom"/>
            <w:gridSpan w:val="2"/>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(74,564)</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used by operating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7,521</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3,886</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for sales returns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(413)</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 and debt discounts</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429</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429</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Change in deferred tax balance</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(1,153)</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14,594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8,336</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 from decrease of contingent earn-out liability fair value</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(5,240)</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 in inventory provisions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(3,149)</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 in connection with the change in warrant fair value</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(2,440)</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Gain in connection with settlement of note payable</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 on initial issuance of equity</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18,669</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loss on goodwill</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120,409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Impairment loss on intangibles</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3,118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39,728</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Provision for barter credits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1,643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323</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Allowance for doubtful accounts and other</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367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85</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Changes in assets and liabilities: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5,596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205</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Inventory</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19,438</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26,426</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Prepaid and other current assets</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5,564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2,597</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Accounts payable, accrued and other liabilities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(10,910)</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(13,684)</w:t>
            </w:r>
          </w:p>
        </w:tc>
      </w:tr>
      <w:tr>
        <w:trPr>
          <w:trHeight w:val="20"/>
        </w:trPr>
        <w:tc>
          <w:tcPr>
            <w:tcW w:w="80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28"/>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used in operating activities</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(17,477)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(13,388)</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Purchase of fixed assets</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(119)</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 of Step and Go assets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(595)</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(125)</w:t>
            </w:r>
          </w:p>
        </w:tc>
      </w:tr>
      <w:tr>
        <w:trPr>
          <w:trHeight w:val="20"/>
        </w:trPr>
        <w:tc>
          <w:tcPr>
            <w:tcW w:w="80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28"/>
        </w:trPr>
        <w:tc>
          <w:tcPr>
            <w:tcW w:w="80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Cash used in investing activities</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(677)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(244)</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equity offering, net of issuance costs</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46,834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Repayments on note payable to Smash</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(3,423)</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(668)</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 of Squatty Potty earn-out</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(3,983)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Borrowings from MidCap credit facilities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136,687</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79,806</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Repayments for MidCap credit facilities</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(148,907)</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(90,190)</w:t>
            </w:r>
          </w:p>
        </w:tc>
      </w:tr>
      <w:tr>
        <w:trPr>
          <w:trHeight w:val="14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Insurance obligation payments</w:t>
            </w:r>
          </w:p>
        </w:tc>
        <w:tc>
          <w:tcPr>
            <w:tcW w:w="8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(1,042)</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Insurance financing proceeds</w:t>
            </w:r>
          </w:p>
        </w:tc>
        <w:tc>
          <w:tcPr>
            <w:tcW w:w="8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986</w:t>
            </w:r>
          </w:p>
        </w:tc>
        <w:tc>
          <w:tcPr>
            <w:tcW w:w="100" w:type="dxa"/>
            <w:vAlign w:val="bottom"/>
          </w:tcPr>
          <w:p>
            <w:pPr>
              <w:spacing w:after="0"/>
              <w:rPr>
                <w:sz w:val="11"/>
                <w:szCs w:val="11"/>
                <w:color w:val="auto"/>
              </w:rPr>
            </w:pPr>
          </w:p>
        </w:tc>
      </w:tr>
      <w:tr>
        <w:trPr>
          <w:trHeight w:val="128"/>
        </w:trPr>
        <w:tc>
          <w:tcPr>
            <w:tcW w:w="80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provided (used) by financing activities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color w:val="auto"/>
              </w:rPr>
              <w:t>26,996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(11,108)</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effect on cash, cash equivalents, and restricted cash</w:t>
            </w:r>
          </w:p>
        </w:tc>
        <w:tc>
          <w:tcPr>
            <w:tcW w:w="8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306</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change in cash and restricted cash for the year</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8,314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(24,434)</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restricted cash at beginning of year</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38,315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46,629</w:t>
            </w:r>
          </w:p>
        </w:tc>
      </w:tr>
      <w:tr>
        <w:trPr>
          <w:trHeight w:val="169"/>
        </w:trPr>
        <w:tc>
          <w:tcPr>
            <w:tcW w:w="80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and restricted cash at end of year</w:t>
            </w:r>
          </w:p>
        </w:tc>
        <w:tc>
          <w:tcPr>
            <w:tcW w:w="86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46,629</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4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22,195</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15"/>
        </w:trPr>
        <w:tc>
          <w:tcPr>
            <w:tcW w:w="80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RECONCILIATION OF CASH AND RESTRICTED CASH:</w:t>
            </w:r>
          </w:p>
        </w:tc>
        <w:tc>
          <w:tcPr>
            <w:tcW w:w="8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43,574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20,023</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Restricted Cash—Prepaid and other current assets</w:t>
            </w:r>
          </w:p>
        </w:tc>
        <w:tc>
          <w:tcPr>
            <w:tcW w:w="86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2,926</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2,043</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Restricted cash—Other non-current assets</w:t>
            </w:r>
          </w:p>
        </w:tc>
        <w:tc>
          <w:tcPr>
            <w:tcW w:w="8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129</w:t>
            </w:r>
          </w:p>
        </w:tc>
      </w:tr>
      <w:tr>
        <w:trPr>
          <w:trHeight w:val="128"/>
        </w:trPr>
        <w:tc>
          <w:tcPr>
            <w:tcW w:w="8000" w:type="dxa"/>
            <w:vAlign w:val="bottom"/>
            <w:tcBorders>
              <w:top w:val="single" w:sz="8" w:color="CCEEFF"/>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CASH AND RESTRICTED CASH</w:t>
            </w:r>
          </w:p>
        </w:tc>
        <w:tc>
          <w:tcPr>
            <w:tcW w:w="860" w:type="dxa"/>
            <w:vAlign w:val="bottom"/>
            <w:tcBorders>
              <w:top w:val="single" w:sz="8" w:color="auto"/>
              <w:bottom w:val="single" w:sz="8" w:color="auto"/>
            </w:tcBorders>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46,629</w:t>
            </w:r>
          </w:p>
        </w:tc>
        <w:tc>
          <w:tcPr>
            <w:tcW w:w="120" w:type="dxa"/>
            <w:vAlign w:val="bottom"/>
            <w:tcBorders>
              <w:top w:val="single" w:sz="8" w:color="CCEEFF"/>
              <w:bottom w:val="single" w:sz="8" w:color="CCEEFF"/>
            </w:tcBorders>
          </w:tcPr>
          <w:p>
            <w:pPr>
              <w:spacing w:after="0"/>
              <w:rPr>
                <w:sz w:val="11"/>
                <w:szCs w:val="11"/>
                <w:color w:val="auto"/>
              </w:rPr>
            </w:pPr>
          </w:p>
        </w:tc>
        <w:tc>
          <w:tcPr>
            <w:tcW w:w="80" w:type="dxa"/>
            <w:vAlign w:val="bottom"/>
            <w:tcBorders>
              <w:top w:val="single" w:sz="8" w:color="CCEEFF"/>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5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22,195</w:t>
            </w:r>
          </w:p>
        </w:tc>
        <w:tc>
          <w:tcPr>
            <w:tcW w:w="100" w:type="dxa"/>
            <w:vAlign w:val="bottom"/>
            <w:tcBorders>
              <w:top w:val="single" w:sz="8" w:color="CCEEFF"/>
              <w:bottom w:val="single" w:sz="8" w:color="CCEEFF"/>
            </w:tcBorders>
          </w:tcPr>
          <w:p>
            <w:pPr>
              <w:spacing w:after="0"/>
              <w:rPr>
                <w:sz w:val="11"/>
                <w:szCs w:val="11"/>
                <w:color w:val="auto"/>
              </w:rPr>
            </w:pPr>
          </w:p>
        </w:tc>
      </w:tr>
      <w:tr>
        <w:trPr>
          <w:trHeight w:val="20"/>
        </w:trPr>
        <w:tc>
          <w:tcPr>
            <w:tcW w:w="8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80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SUPPLEMENTAL DISCLOSURES OF CASH FLOW INFORMATION</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86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680" w:type="dxa"/>
            <w:vAlign w:val="bottom"/>
            <w:gridSpan w:val="2"/>
            <w:shd w:val="clear" w:color="auto" w:fill="CCEEFF"/>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1,718</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paid for taxes</w:t>
            </w:r>
          </w:p>
        </w:tc>
        <w:tc>
          <w:tcPr>
            <w:tcW w:w="8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80" w:type="dxa"/>
            <w:vAlign w:val="bottom"/>
            <w:gridSpan w:val="2"/>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94</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NON-CASH INVESTING AND FINANCING ACTIVITIES:</w:t>
            </w:r>
          </w:p>
        </w:tc>
        <w:tc>
          <w:tcPr>
            <w:tcW w:w="8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Non-cash consideration paid to contractors</w:t>
            </w:r>
          </w:p>
        </w:tc>
        <w:tc>
          <w:tcPr>
            <w:tcW w:w="8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1,137</w:t>
            </w:r>
          </w:p>
        </w:tc>
        <w:tc>
          <w:tcPr>
            <w:tcW w:w="680" w:type="dxa"/>
            <w:vAlign w:val="bottom"/>
            <w:gridSpan w:val="2"/>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321</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Fair value of warrants issued in connection with equity offering</w:t>
            </w:r>
          </w:p>
        </w:tc>
        <w:tc>
          <w:tcPr>
            <w:tcW w:w="86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18,982</w:t>
            </w:r>
          </w:p>
        </w:tc>
        <w:tc>
          <w:tcPr>
            <w:tcW w:w="680" w:type="dxa"/>
            <w:vAlign w:val="bottom"/>
            <w:gridSpan w:val="2"/>
            <w:shd w:val="clear" w:color="auto" w:fill="CCEEFF"/>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related to exercise of warrants</w:t>
            </w:r>
          </w:p>
        </w:tc>
        <w:tc>
          <w:tcPr>
            <w:tcW w:w="8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767</w:t>
            </w:r>
          </w:p>
        </w:tc>
        <w:tc>
          <w:tcPr>
            <w:tcW w:w="680" w:type="dxa"/>
            <w:vAlign w:val="bottom"/>
            <w:gridSpan w:val="2"/>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Initial issuance of equity</w:t>
            </w:r>
          </w:p>
        </w:tc>
        <w:tc>
          <w:tcPr>
            <w:tcW w:w="86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18,669</w:t>
            </w:r>
          </w:p>
        </w:tc>
        <w:tc>
          <w:tcPr>
            <w:tcW w:w="680" w:type="dxa"/>
            <w:vAlign w:val="bottom"/>
            <w:gridSpan w:val="2"/>
            <w:shd w:val="clear" w:color="auto" w:fill="CCEEFF"/>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w:t>
            </w:r>
          </w:p>
        </w:tc>
        <w:tc>
          <w:tcPr>
            <w:tcW w:w="8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680" w:type="dxa"/>
            <w:vAlign w:val="bottom"/>
            <w:gridSpan w:val="2"/>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0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prefunded warrants</w:t>
            </w:r>
          </w:p>
        </w:tc>
        <w:tc>
          <w:tcPr>
            <w:tcW w:w="860" w:type="dxa"/>
            <w:vAlign w:val="bottom"/>
            <w:shd w:val="clear" w:color="auto" w:fill="CCEEFF"/>
          </w:tcPr>
          <w:p>
            <w:pPr>
              <w:jc w:val="right"/>
              <w:ind w:right="747"/>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15,039</w:t>
            </w:r>
          </w:p>
        </w:tc>
        <w:tc>
          <w:tcPr>
            <w:tcW w:w="680" w:type="dxa"/>
            <w:vAlign w:val="bottom"/>
            <w:gridSpan w:val="2"/>
            <w:shd w:val="clear" w:color="auto" w:fill="CCEEFF"/>
          </w:tcPr>
          <w:p>
            <w:pPr>
              <w:jc w:val="right"/>
              <w:ind w:right="4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YEARS-ENDED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0"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Aterian, Inc. is a technology-enabled consumer products company that predominantly operates through online retail channels such as Amazon and Walmart. The Company operates its owned brands, which were either incubated or purchased, selling products in multiple categories, including home and kitchen appliances, kitchenware, air quality appliances, health and beauty products and essential oils.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Jersey, Aterian also maintains offices in China, Philippines,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emerging growth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profitably,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for the foreseeable future until such time that we reach a scale of profitability to sustain our operations.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for our M&amp;A strategy.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we evaluated the significance of the following adverse financial conditions in accordance with Accounting Standard Codification 205-40, Going Concern:</w:t>
      </w:r>
    </w:p>
    <w:p>
      <w:pPr>
        <w:spacing w:after="0" w:line="162" w:lineRule="exact"/>
        <w:rPr>
          <w:sz w:val="20"/>
          <w:szCs w:val="20"/>
          <w:color w:val="auto"/>
        </w:rPr>
      </w:pPr>
    </w:p>
    <w:p>
      <w:pPr>
        <w:jc w:val="both"/>
        <w:ind w:left="130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inception, we have incurred significant losses and used cash flows from operations to fund our enterprise. In this regard, during the year-ended December 31, 2023, we incurred a net loss of $74.6 million and used net cash flows in our operations of $13.4 million. In addition, as of December 31, 2023, we had unrestricted cash and cash equivalents of $20.0 million available to fund our operations and an accumulated deficit of $699.8 million.</w:t>
      </w:r>
    </w:p>
    <w:p>
      <w:pPr>
        <w:spacing w:after="0" w:line="179" w:lineRule="exact"/>
        <w:rPr>
          <w:rFonts w:ascii="Times New Roman" w:cs="Times New Roman" w:eastAsia="Times New Roman" w:hAnsi="Times New Roman"/>
          <w:sz w:val="18"/>
          <w:szCs w:val="18"/>
          <w:color w:val="auto"/>
        </w:rPr>
      </w:pPr>
    </w:p>
    <w:p>
      <w:pPr>
        <w:ind w:left="1300" w:right="140" w:hanging="644"/>
        <w:spacing w:after="0" w:line="269"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remain in compliance with certain financial covenants required by the MidCap Credit facility (See Note 9, Credit Facility, Term Loans and Warrants). We were in compliance with these financial covenants as of December 31, 2023, and expect to remain in compliance through at least March 31, 2025. During February 2024, the Company amended its terms with Midcap Credit Facility extending the term until December 2026 and amending certain financial covenants with favorable terms (See Note 19, Subsequent Events). However, with our history of forecasting our business following the onset of the COVID-19 global pandemic, the current record global inflation and related global supply chain disruptions, we can provide no assurances that we will remain in compliance with our financial covenants.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spacing w:after="0" w:line="181" w:lineRule="exact"/>
        <w:rPr>
          <w:rFonts w:ascii="Times New Roman" w:cs="Times New Roman" w:eastAsia="Times New Roman" w:hAnsi="Times New Roman"/>
          <w:sz w:val="17"/>
          <w:szCs w:val="17"/>
          <w:color w:val="auto"/>
        </w:rPr>
      </w:pPr>
    </w:p>
    <w:p>
      <w:pPr>
        <w:ind w:left="1300" w:right="60" w:hanging="644"/>
        <w:spacing w:after="0" w:line="25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have no firm commitments to secure additional outside capital from lenders or investors. While we expect to continue to explore raising additional outside capital, specifically to fund our M&amp;A strategy,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spacing w:after="0" w:line="183" w:lineRule="exact"/>
        <w:rPr>
          <w:rFonts w:ascii="Times New Roman" w:cs="Times New Roman" w:eastAsia="Times New Roman" w:hAnsi="Times New Roman"/>
          <w:sz w:val="18"/>
          <w:szCs w:val="18"/>
          <w:color w:val="auto"/>
        </w:rPr>
      </w:pPr>
    </w:p>
    <w:p>
      <w:pPr>
        <w:ind w:left="1300" w:right="40" w:hanging="644"/>
        <w:spacing w:after="0" w:line="254"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 is to continue to closely monitor our operating forecast, to pursue our M&amp;A strategy, to pursue additional sources of outside capital on terms that are acceptable to us, and to secure a waiver or forbearance from MidCap if we are unable to remain in compliance with one or more of the covenants required by the MidCap Credit Facility. Further, the Company has enacted a strategy to reduce the number of SKUs it sells and will no longer be pursuing future sales of SKUs that are either not profitable or not core to the Company’s strategy. If some or all of our plans prove unsuccessful, we may need to implement short-term changes to our operating plan, including but not limited to delaying expenditures, reducing investments in new products, delaying the development of our software,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initiated two restructuring programs over the last 12 months to reduce operating costs and right size the workforce to align with the scale of our streamlined operations. In addition, we have reduced the SKU count to solely focus on profitable products that are core to the Company’s strategy. Subsequent to December 31, 2023, we extended the term with Midcap Credit Facility until December 2026 (See Note 9, Credit Facility, Term Loans and Warrants) and amended key terms which will add more flexibility to liquidity and strengthen our balance sheet. In consideration of these factors, the Company will monitor profitability and cash flow over the next several quarters to evaluate our ability to continue as a going concern.</w:t>
      </w:r>
    </w:p>
    <w:p>
      <w:pPr>
        <w:sectPr>
          <w:pgSz w:w="11900" w:h="16838" w:orient="portrait"/>
          <w:cols w:equalWidth="0" w:num="1">
            <w:col w:w="11240"/>
          </w:cols>
          <w:pgMar w:left="320" w:top="121" w:right="339" w:bottom="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Nasdaq Listing - </w:t>
      </w:r>
      <w:r>
        <w:rPr>
          <w:rFonts w:ascii="Times New Roman" w:cs="Times New Roman" w:eastAsia="Times New Roman" w:hAnsi="Times New Roman"/>
          <w:sz w:val="18"/>
          <w:szCs w:val="18"/>
          <w:color w:val="auto"/>
        </w:rPr>
        <w:t>On April 24, 2023, we received a letter from the Listing Qualifications Staff of The Nasdaq Stock Market LLC (“Nasdaq”) indicating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based 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 (the “Extension Notice”).</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our common stock on The Nasdaq Capital Market, and, therefore, our listing remains fully effective.</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11, 2023, Aterian's shareholders approved discretionary authority to our Board to (A) amend our Amended and Restated Certificate of Incorporation to effect one or more consolidations of the issued and outstanding shares of our common stock, par value $0.0001 per share, pursuant to which the shares of Common Stock would be combined and reclassified at ratios within the range from 1-for-2 up to 1-for-30 and (B) determine whether to arrange for the disposition of fractional interests by stockholders entitled thereto, to pay in cash the fair value of fractions of a share of Common Stock as of the time when those entitled to receive such fractions are determined, or to entitle stockholders to receive from our transfer agent, in lieu of any fractional share, the number of shares of Common Stock rounded up to the next whole number, and to amend our Amended and Restated Certificate of Incorporation in connection therewith, provided that any Reverse Stock Split must be completed on or before the day immediately prior to the date of the 2024 Annual Meeting of Stockholders.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 If the Company does not regain compliance within the allotted compliance period,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if our common stock remains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a number of significant material adverse consequences, including limited availability of market quotations for our common stock; limited news and analyst coverage; decreased ability to obtain additional financing or failure to comply with the covenants with our current lenders; limited liquidity for our stockholders due to thin trading; and the potential loss of confidence by investors, employees and other third parties who we do business with.</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regain compliance with the Minimum Bid Price Rule, we plan to effect a reverse split of our common stock which could impact the market price for our stock, limit our ability to raise capital or otherwise limit our ability to execute acquisition transactions and there is no assurance that the market price or trading volume for our common stock will not further decline after effecting such split.</w:t>
      </w:r>
    </w:p>
    <w:p>
      <w:pPr>
        <w:spacing w:after="0" w:line="17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Restructuring - </w:t>
      </w:r>
      <w:r>
        <w:rPr>
          <w:rFonts w:ascii="Times New Roman" w:cs="Times New Roman" w:eastAsia="Times New Roman" w:hAnsi="Times New Roman"/>
          <w:sz w:val="18"/>
          <w:szCs w:val="18"/>
          <w:color w:val="auto"/>
        </w:rPr>
        <w:t>On May 9, 2023, the Company announced a plan to reduce expenses by implementing a reduction in its current workforce impacting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50 employees and 15 contractors, primarily in the Philippines. The Company recognized restructuring charges of $1.6 million for the year-ended December 31, 2023, respectively.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will result in the termination of approximately 21 employees and 27 contractors globally. The Company expects to substantially complete this reduction by the end of the first quarter of 2024. The Company will recognize restructuring charges in connection with the plan, primarily related to severance, of $0.6 million. The Company expects the charges will be recognized primarily in the first quarter of 2024, with the majority of such charges anticipated to be paid by the end of the first quarter of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Consolidated Financial Statements and accompanying notes have been prepared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(“U.S. GAAP”).</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U.S. GAAP requires management to make estimates and assumptions that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accounts of the Company and its wholly-owned subsidiaries.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balances and transactions have been eliminated in consolidation.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—As of December 31, 2022,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“other non-current assets” on the consolidated balance sheets, $2.0 million related to a letter of credit and $0.9 million for cash sweeps account related to the Midcap Credit facility within “Prepaid and Other Current Assets” on the consolidated balance sheets.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classified the following as restricted cash: $0.1 million related to its Chinese subsidiary within “other non-current assets” on the consolidated balance sheets and $2.0 million related to a letter of credit within "Prepaid and Other Current Assets" on the consolidated balance sheets.</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—Accounts receivable are stated at historical cost less allowance for doubtful accounts. On a periodic basis, management evaluates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The Company generally does not require any security or collateral to support its receivables. The Company performs ongoing evaluations of its customers and maintains an allowance for bad and doubtful receivables. As of December 31, 2022 and 2023, the Company had an allowance for doubtful accounts of $0.4 and $0.1 million, respectively.</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potentially subject the Company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receivable. The Company maintains cash and restricted cash with various domestic and foreign financial institutions of high credit quality. The Company performs periodic evaluations of the relative credit standing of all of the aforementioned institutions. The Company does have cash deposits at financial institutions in excess of the insured amount of $0.3 million by the Federal Deposit Insurance Corporation.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accounts receivables are derived from sales contracts with a large number of customers. The Company maintains reserves for potential credit losses on customer accounts when deemed necessary. Significant customers are those which represent more than 10% of the Company’s total net revenue or gross accounts receivable balance at the balance sheet date. During the years-ended December 31, 2022 and 2023, the Company had zero customers that accounted for 10% or more of total net revenue. In addition, as of December 31, 2022 and 2023, the Company had three and four customers that accounted for 10% or more of gross accounts receivable. As of December 31, 2022 and 2023, approximately 43% and 32%, respectively, of its accounts receivable is held by the Company’s sales platform vendor, Amazon, which collects money on the Company’s behalf from its customers.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In 2022, approximately 89% of the Company’s revenue was through or with the Amazon sales platform and in 2023, 88% of its net revenue was through or with the Amazon sales platform.</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and amortization. Depreciation is provided for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straight-line method over the estimated useful lives of the assets. Capital leases and leasehold improvements are amortized using the straight-line method over the shorter of the lease term or estimated useful life of the asset. Costs of maintenance and repairs that do not improve or extend the lives of the respective assets are expensed as incurred.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tax consequences attributable to operating loss carry-forwards and temporary differences between financial statement bases of existing assets and liabilities and their respective income tax bases. Deferred tax assets and liabilities are measured using enacted income tax rates expected to apply to taxable income in the years in which those temporary differences are expected to be recovered or settled. The effect of a change in the income tax rates on deferred tax asset and liability balances is recognized in income in the period that includes the enactment date of such rate change. A valuation allowance is recorded for loss carry-forwards and other deferred tax assets when it is determined that it is more likely than not that such loss carry-forwards and deferred tax assets will not be realized. The Company recognizes the tax benefits on any uncertain tax positions taken or expected to be taken in the Consolidated Financial Statements when it is more likely than not the position will be realized upon ultimate settlement with the tax authority assuming full knowledge of the position and relevant facts. The tax benefits recognized in the Consolidated Financial Statements from such a position are measured based on the largest benefit that has a greater than 50% likelihood of being realized upon ultimate settlement. The Company recognizes estimated interest and penalties related to uncertain tax positions as a part of the provision for income taxes.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Codification (“ASC”) Topic 606, Revenue from Contracts with Customers (“ASC Topic 606”). The Company derives its revenue from the sale of consumer products. The Company sells its products directly to consumers through online retail channels and through wholesale channels.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direct-to-consumer sales, the Company considers customer order confirmations to be a contract with the customer. Customer confirmations are executed at the time an order is placed through third-party online channels. For wholesale sales, the Company considers the customer purchase order to be the contract.</w:t>
      </w:r>
    </w:p>
    <w:p>
      <w:pPr>
        <w:sectPr>
          <w:pgSz w:w="11900" w:h="16838" w:orient="portrait"/>
          <w:cols w:equalWidth="0" w:num="1">
            <w:col w:w="11240"/>
          </w:cols>
          <w:pgMar w:left="320" w:top="121" w:right="339" w:bottom="74"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$0.6 million and $0.2 million at December 31, 2022 and 2023, which is included in accrued liabilities and represents the expected value of the refund that will be due to its customers.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it owns and controls all the goods before they are transferred to the customer. The Company can, at any time, direct Amazon, or similarly, direct other third-party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Performance Obligations</w:t>
      </w:r>
      <w:r>
        <w:rPr>
          <w:rFonts w:ascii="Times New Roman" w:cs="Times New Roman" w:eastAsia="Times New Roman" w:hAnsi="Times New Roman"/>
          <w:sz w:val="18"/>
          <w:szCs w:val="18"/>
          <w:color w:val="auto"/>
        </w:rPr>
        <w:t>. A performance obligation is a promise in a contract to transfer a distinct good to the customer and is the unit of account in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A contract’s transaction price is recognized as revenue when the performance obligation is satisfied. Each of the Company’s contracts have a single distinct performance obligation, which is the promise to transfer individual goods.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consumer product sales, the Company has elected to treat shipping and handling as fulfillment activities, and not a separate performance obligation. Accordingly, the Company recognizes revenue for its single performance obligation related to product sales at the time control of the merchandise passes to the customer, which is generally at the time of shipment. The Company bills customers for charges for shipping and handling on certain sales and such charges are recorded as part of net revenue. Shipping and handling revenue for each of the years-ended December 31, 2022 and 2023 were de minimis.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contract, the Company considers the promise to transfer products to be the only identified performance obligation. In determining the transaction price, the Company evaluates whether the price is subject to refund or adjustment to determine the net consideration to which the Company expects to be entitled.</w:t>
      </w:r>
    </w:p>
    <w:p>
      <w:pPr>
        <w:spacing w:after="0" w:line="1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i w:val="1"/>
          <w:iCs w:val="1"/>
          <w:color w:val="auto"/>
        </w:rPr>
        <w:t>Sales taxes</w:t>
      </w:r>
      <w:r>
        <w:rPr>
          <w:rFonts w:ascii="Times New Roman" w:cs="Times New Roman" w:eastAsia="Times New Roman" w:hAnsi="Times New Roman"/>
          <w:sz w:val="17"/>
          <w:szCs w:val="17"/>
          <w:color w:val="auto"/>
        </w:rPr>
        <w:t>—Consistent with prior periods, sales taxes collected from customers are presented on a net basis and as such are excluded from net revenue.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 sets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2022</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209,336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216,338</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4,832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4,832</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7,002</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221,170</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Direct</w:t>
            </w: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Wholesale/Other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133,101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137,257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w:t>
            </w:r>
          </w:p>
        </w:tc>
      </w:tr>
      <w:tr>
        <w:trPr>
          <w:trHeight w:val="20"/>
        </w:trPr>
        <w:tc>
          <w:tcPr>
            <w:tcW w:w="3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138,409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4,156</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142,566</w:t>
            </w:r>
          </w:p>
        </w:tc>
      </w:tr>
      <w:tr>
        <w:trPr>
          <w:trHeight w:val="20"/>
        </w:trPr>
        <w:tc>
          <w:tcPr>
            <w:tcW w:w="37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74"/>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67,797</w:t>
            </w: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Kitchen appliances</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40,551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and beauty</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Home office</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Housewares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26,093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17,204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142,566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December 31, 2023, the carrying amounts of these instruments approximated their fair values because of their short-term nature. The Company’s credit facility is carried at amortized cost at December 31, 2022 and December 31, 2023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Prefunded Warrants and stock purchase warrants issued in connection with the Company's common stock offering on March 1, 2022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Prefunded Warrants and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Based on the Company’s evaluation and due to certain terms in the warrant agreements, it concluded the Prefunded Warrants, and the stock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should be classified as liability with subsequent remeasurement as long as such warrants continue to be classified as liabilities.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53" w:name="page54"/>
    <w:bookmarkEnd w:id="53"/>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operates under one business component which is the same as its reporting unit based on the guidance in ASC Topic 350-20.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goodwill for impairment at least annually during the fourth quarter and whenever events or changes in circumstances indicate that the carrying value may not be recoverable. During 2022, we had events and conditions in the first quarter and third quarter that required an interim assessment of goodwill.</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evaluated current economic conditions,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March 31, 2022 and September 30, 2022. Accordingly, we concluded a triggering event had occurred and performed interim goodwill impairment analyses.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management in performing interim goodwill impairment tests.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sustained decline in the Company’s stock price leading up to and subsequent to the fiscal quarters ending March 31, 2022 and September 30, 2022, the Company used the market capitalization as of quarter-end in each case to determine the fair value of the reporting unit. As a result, the Company recorded goodwill impairment charges of $29.0 million and $90.9 million during the three months ended March 31, 2022 and September 30, 2022, respectively. There was no remaining goodwill on the balance sheet as of September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4, 2022, the Company acquired Step and Go, a brand in the health and wellness category, for $0.7 million. As part of the purchase price allocation of the acquisition, $0.5 million was attributed to goodwill. As our market capitalization was below net assets as of December 31, 2022, an impairment loss on goodwill of $0.5 million was recorded for the three months ended December 31, 2022, which is included in impairment loss on goodwill in the Consolidated Statement of Operations for the year-ended December 31, 2022.</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year-ended December 31, 2022, total goodwill impairment was approximately $120.4 million. There is no remaining goodwill balance as of December 31, 2022 and December 31, 2023.</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—We review long-lived assets for impairment when performance expectations, events, or changes in circumstances indicate that the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resulting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during the three months ending March 31, 2023 within impairment loss on intangibles on the consolidated statement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2023, the Company had a substantial decrease in its market capitalization, primarily relating to a decrease in share price. Further, the Company continues to see reduced net revenues across its portfolio due primarily to the current macroeconomic environment reducing demand for consumer discretionary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 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consolidated statement of operations.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188"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These fair value measurements require significant judgements using Level 3 inputs, such as discounted projected future cash flows, which are not observable from the market, directly or indirectly. There is uncertainty in the projected future cash flows used in the Company’s impairment analysis, which</w:t>
      </w:r>
    </w:p>
    <w:p>
      <w:pPr>
        <w:sectPr>
          <w:pgSz w:w="11900" w:h="16841" w:orient="portrait"/>
          <w:cols w:equalWidth="0" w:num="1">
            <w:col w:w="11240"/>
          </w:cols>
          <w:pgMar w:left="320" w:top="121" w:right="339" w:bottom="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t>requires the use of estimates and assumptions. If actual performance does not achieve the projections, or if the assumptions used in the analysis change in the future, the Company may 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year-ended December 31, 2022 and 2023, total impairment loss on intangibles were approximately $3.1 million and $39.7 million, respectively.</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—In accordance with FASB ASC Topic 805 “Business Combinations", acquired assets and liabilities assumed as part of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Accounting and Contingent Consideration</w:t>
      </w:r>
      <w:r>
        <w:rPr>
          <w:rFonts w:ascii="Times New Roman" w:cs="Times New Roman" w:eastAsia="Times New Roman" w:hAnsi="Times New Roman"/>
          <w:sz w:val="18"/>
          <w:szCs w:val="18"/>
          <w:color w:val="auto"/>
        </w:rPr>
        <w:t>—The Company’s acquisitions include contingent consideration as part of the purchase price. The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contingent consideration is estimated as of the acquisition date based on the present value of the contingent payments to be made using a weighted probability of possible payments. The unobservable inputs used in the determination of the fair value of the contingent consideration include management’s assumptions about the likelihood of payment based on the established benchmarks and discount rates based on internal rate of return analysis. The fair value measurement includes inputs that are Level 3 measurements. If actual results increase or decrease as compared to the assumption used in the Company’s analysis, the fair value of the contingent consideration obligations will increase or decrease, up to the contracted limit, as applicable. Changes in the fair value of the contingent earn-out consideration could cause a material impact and volatility in the Company’s operating results.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Inventory and Cost of Goods Sold</w:t>
      </w:r>
      <w:r>
        <w:rPr>
          <w:rFonts w:ascii="Times New Roman" w:cs="Times New Roman" w:eastAsia="Times New Roman" w:hAnsi="Times New Roman"/>
          <w:sz w:val="18"/>
          <w:szCs w:val="18"/>
          <w:color w:val="auto"/>
        </w:rPr>
        <w:t>—The Company’s inventory consists almost entirely of finished goods. The Company currently records inventory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balance sheet on a first-in first-out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may be required. Conversely, if we are able to sell inventories that had been written down to a level below the ultimate realized selling price in a previous period, sales would be recorded with a lower or no offsetting charge to cost of sales.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of goods sold” line item in the consolidated statements of operations consists of the book value of inventory sold to customers during the reporting period and amortization of inventory step-up from acquisitions. When circumstances dictate that the Company use net realizable value as the basis for recording inventory, it bases its estimates on expected future selling prices less expected disposal costs.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Sales and Distribution</w:t>
      </w:r>
      <w:r>
        <w:rPr>
          <w:rFonts w:ascii="Times New Roman" w:cs="Times New Roman" w:eastAsia="Times New Roman" w:hAnsi="Times New Roman"/>
          <w:sz w:val="18"/>
          <w:szCs w:val="18"/>
          <w:color w:val="auto"/>
        </w:rPr>
        <w:t>—Sales and distribution expenses consist of online advertising costs, marketing and promotional costs, sales and e-commerce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commissions, fulfillment, including shipping and handling, and warehouse costs (i.e. sales and distribution variable expenses). Further, sales and distribution expenses also include employee compensation and benefits and other related fixed costs. Costs associated with the Company’s advertising and sales promotion are expensed as incurred and are included in sales and distribution expenses. For the years-ended December 31, 2022 and 2023, the Company recognized $11.6 million and $9.1 million, respectively, for advertising costs, which consists primarily of online advertising expense. Shipping and handling expenses are included in the Company’s consolidated statements of operations within sales and distribution expenses. This includes pick and pack costs and outbound transportation costs to ship goods to customers performed by e-commerce platforms or incurred directly by the Company’s own fulfillment operations. The Company’s expense for shipping and handling was $47.4 million and $32.4 million during fiscal years 2022 and 2023, respectively.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and development expenses include compensation and employee benefits for technology development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travel related costs, and fees paid to outside consultants related to development of the Company’s owned intellectual property and technology.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include compensation and employee benefits for executive management,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legal, and human resources, facility costs, travel, professional service fees and other general overhead costs.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—Stock-based compensation expense to employees is measured based on the grant-date fair value of the awards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in the consolidated statements of operations over the period during which the employee is required to perform services in exchange for the award (the vesting period of the award). The fair value of restricted stock awards is based on the stock price on the date of the grant. The Company estimates the fair value of stock options granted using the Black-Scholes option valuation model.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highly subjective assumptions, including the fair value of the Company’s underlying common stock, the expected term of stock options, the expected volatility of the price of its common stock, risk-free interest rates and the expected dividend yield of its common stock. The assumptions used in the Company’s option-pricing model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are estimated as follows:</w:t>
      </w:r>
    </w:p>
    <w:p>
      <w:pPr>
        <w:spacing w:after="0" w:line="223" w:lineRule="exact"/>
        <w:rPr>
          <w:sz w:val="20"/>
          <w:szCs w:val="20"/>
          <w:color w:val="auto"/>
        </w:rPr>
      </w:pPr>
    </w:p>
    <w:p>
      <w:pPr>
        <w:ind w:left="1300" w:hanging="644"/>
        <w:spacing w:after="0" w:line="284" w:lineRule="auto"/>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based the risk-free interest rate used in the Black-Scholes valuation model on the implied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on U.S. Treasury zero-coupon bonds with an equivalent remaining term of the stock options for each stock option group.</w:t>
      </w:r>
    </w:p>
    <w:p>
      <w:pPr>
        <w:spacing w:after="0" w:line="374" w:lineRule="exact"/>
        <w:rPr>
          <w:rFonts w:ascii="Times New Roman" w:cs="Times New Roman" w:eastAsia="Times New Roman" w:hAnsi="Times New Roman"/>
          <w:sz w:val="18"/>
          <w:szCs w:val="18"/>
          <w:i w:val="1"/>
          <w:iCs w:val="1"/>
          <w:color w:val="auto"/>
        </w:rPr>
      </w:pPr>
    </w:p>
    <w:p>
      <w:pPr>
        <w:jc w:val="both"/>
        <w:ind w:left="1300" w:hanging="644"/>
        <w:spacing w:after="0" w:line="261" w:lineRule="auto"/>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 determines the expected term based on the average period the stock options are expected to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generally calculated as the midpoint of the stock options vesting term and contractual expiration period, as it does not have sufficient historical information to develop reasonable expectations about future exercise patterns and post-vesting employment termination behavior.</w:t>
      </w:r>
    </w:p>
    <w:p>
      <w:pPr>
        <w:spacing w:after="0" w:line="179" w:lineRule="exact"/>
        <w:rPr>
          <w:rFonts w:ascii="Times New Roman" w:cs="Times New Roman" w:eastAsia="Times New Roman" w:hAnsi="Times New Roman"/>
          <w:sz w:val="18"/>
          <w:szCs w:val="18"/>
          <w:i w:val="1"/>
          <w:iCs w:val="1"/>
          <w:color w:val="auto"/>
        </w:rPr>
      </w:pPr>
    </w:p>
    <w:p>
      <w:pPr>
        <w:jc w:val="both"/>
        <w:ind w:left="1300" w:hanging="644"/>
        <w:spacing w:after="0" w:line="261" w:lineRule="auto"/>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determines the price volatility factor based on the historical volatility of publicly-traded industry peers.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determine its peer group of companies, the Company considers public companies in the technology industry and selects those that are similar to the Company in size, stage of life cycle and financial leverage. The Company does not rely on implied volatilities of traded options in its industry peers’ common stock because the volume of activity is relatively low.</w:t>
      </w:r>
    </w:p>
    <w:p>
      <w:pPr>
        <w:spacing w:after="0" w:line="179"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has not paid and does not anticipate paying any cash dividends in the foreseeable future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uses an expected dividend yield of zero.</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assumptions used in the Black-Scholes option-pricing model changes significantly, stock-based compensation for future awards may differ materially compared with the awards granted previously. The Company recognizes forfeitures as they occur, which results in a reduction in compensation expense at the time of forfeiture.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—The functional currency of the Company’s foreign subsidiaries is the local currency. All assets and liabilities of foreign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translated at the current exchange rate as of the end of the period, and revenues and expenses are translated at the average exchange rates in effect during the period. The gain or loss resulting from the process of translating foreign currency financial statements into U.S. dollars is reflected as a foreign currency cumulative translation, an adopted accounting standard adjustment and reported as a component of accumulated other comprehensive income loss. Foreign currency transaction gains and losses resulting from or expected to result from transactions denominated in a currency other than the functional currency are recognized in other expense, net in the consolidated statements of operations. The Company recorded net loss from foreign currency transactions of $0.2 million for the year ended December 31, 2022 and a gain from foreign currency transactions of $0.2 million for the year-ended December 31, 2023.</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Net Loss Per Share</w:t>
      </w:r>
      <w:r>
        <w:rPr>
          <w:rFonts w:ascii="Times New Roman" w:cs="Times New Roman" w:eastAsia="Times New Roman" w:hAnsi="Times New Roman"/>
          <w:sz w:val="18"/>
          <w:szCs w:val="18"/>
          <w:color w:val="auto"/>
        </w:rPr>
        <w:t>—The Company computes basic earnings per share using the weighted-average number of shares of common stock outstanding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For periods in which the Company reports net losses, diluted net loss per share attributable to stockholders is the same as basic net loss per share attributable to stockholders, because potentially dilutive common shares are not assumed to have been issued if their effect is anti-dilutive.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—The Company reports segment information in accordance with ASC Topic No. 280 “Segment Reporting.” The Company has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reportable segment.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Warrant Liability</w:t>
      </w:r>
      <w:r>
        <w:rPr>
          <w:rFonts w:ascii="Times New Roman" w:cs="Times New Roman" w:eastAsia="Times New Roman" w:hAnsi="Times New Roman"/>
          <w:sz w:val="18"/>
          <w:szCs w:val="18"/>
          <w:color w:val="auto"/>
        </w:rPr>
        <w:t>—The fair values of the outstanding warrants were measured using the Black Scholes model. Inputs used to determine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 value of the underlying stock and estimated term result in a directionally similar impact to the periodic fair value</w:t>
      </w:r>
    </w:p>
    <w:p>
      <w:pPr>
        <w:sectPr>
          <w:pgSz w:w="11900" w:h="16838" w:orient="portrait"/>
          <w:cols w:equalWidth="0" w:num="1">
            <w:col w:w="11240"/>
          </w:cols>
          <w:pgMar w:left="320" w:top="121" w:right="339" w:bottom="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measurement of the outstanding warrant liability, and are recorded within the Change in fair market value of warrant line item on the statement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warrant liability was $3.5 million and $1.0 million at December 31, 2022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(Topic 842)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 842): Targeted Improvements. The cumulative effect of the transition adjustments was recognized as of the date of adoption.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The Company recorded an aggregate of approximately $0.7 million of right-of-use assets and a corresponding $0.7 million of lease liabilities upon adoption of this standard. Current Right-of-use assets of $0.2 million and corresponding lease liabilities are included in the prepaid and other current assets and accrued and other current liabilities line item respectively on the condensed consolidated balance sheets. Non-current Right-of-Use Assets of $0.1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(Topic 470) and Derivatives and Hedging— Contracts in Entity’s Own Equity (Topic 814): Accounting for Convertible Instruments and Contracts in an Entity’s Own Equity” (“ASU 2020-06”). ASU 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The Company adopted this standard on January 1, 2023, but it does not have a material impact on the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The Company adopted this standard on January 1, 2023, but it does not have a material impact on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2022, the FASB issued ASU 2022-04, Disclosures for Supplier Finance Arrangements. This amendment enhances the transparency of supplier finance programs. This standard is effective for fiscal years beginning after December 15, 2021, and interim periods within fiscal years beginning after December 15, 2022, except for amendment on roll forward information, which is effective for fiscal years beginning after December 15, 2023. Early adoption is permitted. The new guidance was early adopted on January 1, 2023, with no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8"/>
          <w:szCs w:val="18"/>
          <w:b w:val="1"/>
          <w:bCs w:val="1"/>
          <w:color w:val="auto"/>
        </w:rPr>
        <w:t>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JOBS Act permits an emerging growth company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the FASB finalized ASU 2023-09, Income Taxes (Topic 740). This ASU provides for certain updates to enhance the transparency about companies’ exposure to changes in tax legislation and the global tax risk they may face. Under the guidance, companies will be required to provide a breakout of amounts paid for taxes between federal, state, and foreign taxing jurisdictions, rather than a lump sum amount. Further, the rate reconciliation will require disaggregation into eight specific categories, with these categories further disaggregated by jurisdiction and for amounts exceeding 5 percent of their domestic tax rate. The rate reconciliation will need to also disclose both dollar amounts and percentages. This standard is effective for fiscal years beginning after December 15, 2024.</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(“ASU 2023-07”), which requires a company to disclose additional, more detailed information about a reportable segment’s significant expenses, even if there is one reportable segment, and is intended to improve the disclosures about a public entity’s reportable segments. The ASU is effective for fiscal years beginning after December 15, 2023, and for interim periods beginning after December 15, 2024, with early adoption permitted. We are currently evaluating the impact of the adoption of ASU 2023-07 on our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tcPr>
          <w:p>
            <w:pPr>
              <w:spacing w:after="0"/>
              <w:rPr>
                <w:sz w:val="20"/>
                <w:szCs w:val="20"/>
                <w:color w:val="auto"/>
              </w:rPr>
            </w:pPr>
          </w:p>
        </w:tc>
        <w:tc>
          <w:tcPr>
            <w:tcW w:w="6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2022 and 2023 (in thousands):</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on-hand</w:t>
            </w:r>
          </w:p>
        </w:tc>
        <w:tc>
          <w:tcPr>
            <w:tcW w:w="10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18,980</w:t>
            </w: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Inventory in-transit</w:t>
            </w:r>
          </w:p>
        </w:tc>
        <w:tc>
          <w:tcPr>
            <w:tcW w:w="5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Pr>
          <w:p>
            <w:pPr>
              <w:spacing w:after="0"/>
              <w:rPr>
                <w:sz w:val="18"/>
                <w:szCs w:val="18"/>
                <w:color w:val="auto"/>
              </w:rPr>
            </w:pPr>
          </w:p>
        </w:tc>
      </w:tr>
      <w:tr>
        <w:trPr>
          <w:trHeight w:val="229"/>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100" w:type="dxa"/>
            <w:vAlign w:val="bottom"/>
            <w:shd w:val="clear" w:color="auto" w:fill="CCEEFF"/>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Inventory on-hand is held either with Amazon, Walmart or the Company’s other third-party warehouses. The Company does not have any contractual right of returns with its contract manufacturers. The Company’s inventory on-hand held by Amazon was approximately $8.6 million and $5.0 million as of December 31, 2022 and December 31, 2023,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 as of December 31, 2022 and 2023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4"/>
                <w:szCs w:val="24"/>
                <w:color w:val="auto"/>
              </w:rPr>
            </w:pPr>
          </w:p>
        </w:tc>
        <w:tc>
          <w:tcPr>
            <w:tcW w:w="224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56"/>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Property and equipment consisted of the following as of December 31, 2022 and 2023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11"/>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Year-Ended December 31,</w:t>
            </w: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1,109</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8"/>
              </w:rPr>
              <w:t>(1,041)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853</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Depreciation expense for property and equipment totaled $0.4 million and $0.2 million during the years-ended December 31, 2022 and 2023, respectively.</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Level 1 assets at December 31, 2022 and 2023. The Company’s cash and restricted cash was $46.6 million and $22.2 million at December 31, 2022 and 2023, respectively, and included savings deposits and overnight investments.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facility is carried at amortized cost at December 31, 2022 and December 31, 2023 and the carrying amount approximates fair value as the stated interest rate approximates market rates currently available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a component of stockholders’ equity.</w:t>
      </w:r>
    </w:p>
    <w:p>
      <w:pPr>
        <w:spacing w:after="0" w:line="3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for the years-ended December 31, 2022 and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7"/>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7"/>
          </w:tcPr>
          <w:p>
            <w:pPr>
              <w:jc w:val="center"/>
              <w:ind w:left="6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Measurement Category</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20,023</w:t>
            </w:r>
          </w:p>
        </w:tc>
        <w:tc>
          <w:tcPr>
            <w:tcW w:w="12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432"/>
        </w:trPr>
        <w:tc>
          <w:tcPr>
            <w:tcW w:w="91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warrant activity during the year-ended December 31, 2023 (in thousands):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of January 1, 2023</w:t>
            </w:r>
          </w:p>
        </w:tc>
        <w:tc>
          <w:tcPr>
            <w:tcW w:w="3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w:t>
            </w: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of December 31, 2023</w:t>
            </w:r>
          </w:p>
        </w:tc>
        <w:tc>
          <w:tcPr>
            <w:tcW w:w="3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Prefunded Warrants and stock purchase warrants issued in connection with the Company's common stock offering on March 1, 2022 were measured using the Black Scholes model.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Prefunded Warrants and 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FASB Accounting Standards Codification Topic 815,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815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Based on the Company’s evaluation and due to certain terms in the warrant agreements, it concluded the Prefunded Warrants, and the stock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should be classified as liability with subsequent remeasurement as long as such warrants continue to be classified as liabilities.</w:t>
      </w:r>
    </w:p>
    <w:p>
      <w:pPr>
        <w:spacing w:after="0" w:line="21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December 31, 2022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freight forwarder</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4,998</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999"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99"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2022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current liabilities</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230" w:lineRule="exact"/>
        <w:rPr>
          <w:sz w:val="20"/>
          <w:szCs w:val="20"/>
          <w:color w:val="auto"/>
        </w:rPr>
      </w:pPr>
    </w:p>
    <w:p>
      <w:pPr>
        <w:ind w:right="6140" w:firstLine="8"/>
        <w:spacing w:after="0" w:line="503" w:lineRule="auto"/>
        <w:tabs>
          <w:tab w:leader="none" w:pos="66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TERM LOANS, AND WARRANTS Midcap Credit Facility</w:t>
      </w: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22, 2021, 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Credit Agreement minimum liquidity covenant, which includes the Company’s unrestricted U.S. cash plus the revolving loan availability, requires that Midcap shall not permit the credit party liquidity at any time to be less than (a) during the period commencing on February 1st through and including May 31st of each calendar year, $12.5 million and (b) at all other times, $15.0 million. The Credit Agreement includes events of default that are customary for these types of credit facilities, including the occurrence of a change of control. The Company is in compliance with the financial covenants contained within the Credit Agreement as of December 31, 2023. The MidCap credit facility was scheduled to mature in December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Midcap Warrant has an exercise price of $4.70 per share, subject to adjustment for stock splits, reverse stock splits, stock dividends and similar transactions, is immediately exercisable, has a term of ten years from the date of issuance and is exercisable on a cash or cashless basis.</w:t>
      </w:r>
    </w:p>
    <w:p>
      <w:pPr>
        <w:spacing w:after="0" w:line="16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See Subsequent Events (Note 19) for amendment to the Midcap Credit Facility.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2022 and 2023 (in thousands):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MidCap Credit Facility</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5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MidCap Credit Facility</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years-ended December 31, 2022 and 2023 (in thousands):</w:t>
      </w:r>
    </w:p>
    <w:p>
      <w:pPr>
        <w:spacing w:after="0" w:line="221"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3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2,696</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r>
      <w:tr>
        <w:trPr>
          <w:trHeight w:val="250"/>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4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3660" w:type="dxa"/>
            <w:vAlign w:val="bottom"/>
          </w:tcPr>
          <w:p>
            <w:pPr>
              <w:spacing w:after="0"/>
              <w:rPr>
                <w:sz w:val="24"/>
                <w:szCs w:val="24"/>
                <w:color w:val="auto"/>
              </w:rPr>
            </w:pPr>
          </w:p>
        </w:tc>
        <w:tc>
          <w:tcPr>
            <w:tcW w:w="534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F- 18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 and Warrants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 shares of the Company’s common stock (the “Shares”),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$2.91,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December 31, 2023, the Company has $1.1 million as the liability related to the Warrants.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2022, the Company entered into securities purchase agreements (the “September Purchase Agreements”) with certain accredited investors, pursuant to which, among other things, the Company agreed to sell and issue, in a registered direct offering (the “Registered Direct Offering”), an aggregate of 10,643,034 shares of its common stock and accompanying warrants to purchase an aggregate of 10,643,034 shares of its common stock. 10,526,368 of the shares and the accompanying warrants to purchase 10,526,368 shares of common stock were sold to certain accredited Purchasers that are not affiliated with the Company at a combined offering price of $1.90 per share and accompanying warrant to purchase one share of common stock. The remaining 116,666 of the shares and the accompanying warrants to purchase 116,666 shares of common stock were sold to certain insiders of the Company, at a combined offering price of $2.10 per share and accompanying warrant to purchase one share of common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Registered Direct Offering closed on October 4, 2022 and the Company issued and sold an aggregate of 10,643,034 shares of common stock to the Purchasers. The gross proceeds to the Company from the Registered Direct Offering were approximately $20.2 million, before deducting fees payable to the placement agent and other estimated offering expenses payable by the Company. The Company intended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ASC 815-40, the September Purchase Agreements represent legally binding contracts that meets the definition of a firm commitment and as such the Company recorded a derivative related to the offering of common stock (“forward contract”) and associated warrants for the three months ended September 30, 2022. The Company also concluded both the forward contract and the warrants should be classified within stockholders’ equity within the Condensed Consolidated Balance Sheet as of September 30, 2022. Additionally, the Company recorded $12.8 million derivative expense derived from the excess of the fair-value of the issuances of equity of common shares and common stock warrants over the anticipated proceeds to be received by the Company. This expense was recorded in Loss on Initial Issuance of Equity on the Consolidated Statement of Operations for the year-ended December 31, 2022.</w:t>
      </w:r>
    </w:p>
    <w:p>
      <w:pPr>
        <w:spacing w:after="0" w:line="212"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—The Company has one class of common shares issued and available. Each share of common stock has the right to one vote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 2022, we entered into Securities Purchase Agreements (the “Purchase Agreements”) with certain accredited investors identified on the signature pages to the Purchase Agreements (collectively, the “Purchasers”) pursuant to which, among other things, we issued and sold to the Purchasers, in a private placement transaction, (i) 6,436,322 shares of our common stock (the “Shares”), par value $0.0001 per share (“Common Stock”),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$2.91, for gross proceeds of approximately $27.5 million.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2022, we entered into securities purchase agreements (the “September Purchase Agreements”) with certain accredited investors, pursuant to which, among other things, we agreed to sell and issue, in a registered direct offering (the “Registered Direct Offering”), an aggregate of 10,643,034 shares of its Shares and accompanying warrants to purchase an aggregate of 10,643,034 shares of its common stock. 10,526,368 of the shares and the accompanying warrants to purchase 10,526,368 shares of common stock were sold to certain accredited purchasers that are not affiliated with us at a combined offering price of $1.90 per share and accompanying warrant to purchase one share of common stock. The remaining 116,666 shares of Common Stock and the accompanying warrants to purchase 116,666 shares of Common Stock were sold to certain of our insiders, at a combined offering price of $2.10 per share and accompanying warrant to purchase one share of common stock.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Registered Direct Offering closed on October 4, 2022 and the Company issued and sold an aggregate of 10,643,034 shares of common stock to the Purchasers. The gross proceeds to us from the Registered Direct Offering were approximately $20.2 million, before deducting fees payable to the placement agent and other estimated offering expenses payable by us. We intended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ectPr>
          <w:pgSz w:w="11900" w:h="16838" w:orient="portrait"/>
          <w:cols w:equalWidth="0" w:num="1">
            <w:col w:w="11240"/>
          </w:cols>
          <w:pgMar w:left="320" w:top="121" w:right="339" w:bottom="82"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ASC 815-40, the September Purchase Agreement represents a legally binding contract that meets the definition of a firm commitment and as such we recorded a derivative related to the offering of common stock (“forward contract”). Additionally, we recorded $12.8 million derivative expense derived from the excess of the fair-value of the issuances of equity of common shares and common stock warrants over the anticipated proceeds to be received by us. This expense was recorded in loss on initial issuance of equity on the consolidated statement of operations for the year-ended December 31, 2022.</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equity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December 31, 2023, 99,310 shares were reserved for awards available for future issuance under the Aterian 2014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December 31, 2023, 1,283,058 shares were reserved for awards available for future issuance under the 2018 Plan.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Plan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Board adopted the Aterian, Inc. 2019 Equity Plan (the “2019 Equity Plan”) on March 20, 2019. The 2019 Equity Plan was approved by its stockholders on May 24, 2019. As of December 31, 2023, there were no 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 to the remaining Participants in proportion to the number of shares of restricted common stock covered by outstanding awards that each such Participant holds.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 shares of the Company’s common stock (subject to adjustment for recapitalizations, stock splits, reorganizations and similar transactions). The Inducement Plan is administered by the Compensation Committee and expires ten years from the date of effectiveness. As of December 31, 2023, 2,205,001 shares were reserved for future issuance under the Inducement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options activity during the year-ended December 31, 2023:</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368,596</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63"/>
        </w:trPr>
        <w:tc>
          <w:tcPr>
            <w:tcW w:w="20" w:type="dxa"/>
            <w:vAlign w:val="bottom"/>
            <w:shd w:val="clear" w:color="auto" w:fill="CCEEFF"/>
          </w:tcPr>
          <w:p>
            <w:pPr>
              <w:spacing w:after="0"/>
              <w:rPr>
                <w:sz w:val="5"/>
                <w:szCs w:val="5"/>
                <w:color w:val="auto"/>
              </w:rPr>
            </w:pPr>
          </w:p>
        </w:tc>
        <w:tc>
          <w:tcPr>
            <w:tcW w:w="416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21" w:right="339" w:bottom="0" w:gutter="0" w:footer="0" w:header="0"/>
        </w:sectPr>
      </w:pPr>
    </w:p>
    <w:bookmarkStart w:id="65" w:name="page66"/>
    <w:bookmarkEnd w:id="65"/>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(172,292)</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9.32</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9.21</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7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1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2023</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196,304</w:t>
            </w:r>
          </w:p>
        </w:tc>
        <w:tc>
          <w:tcPr>
            <w:tcW w:w="120" w:type="dxa"/>
            <w:vAlign w:val="bottom"/>
          </w:tcPr>
          <w:p>
            <w:pPr>
              <w:spacing w:after="0"/>
              <w:rPr>
                <w:sz w:val="17"/>
                <w:szCs w:val="17"/>
                <w:color w:val="auto"/>
              </w:rPr>
            </w:pPr>
          </w:p>
        </w:tc>
        <w:tc>
          <w:tcPr>
            <w:tcW w:w="64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9.21</w:t>
            </w:r>
          </w:p>
        </w:tc>
        <w:tc>
          <w:tcPr>
            <w:tcW w:w="10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7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196,304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rPr>
              <w:t>9.21</w:t>
            </w:r>
          </w:p>
        </w:tc>
        <w:tc>
          <w:tcPr>
            <w:tcW w:w="100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700" w:type="dxa"/>
            <w:vAlign w:val="bottom"/>
            <w:tcBorders>
              <w:bottom w:val="single" w:sz="8" w:color="CCEEFF"/>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all options have been fully expensed.</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140" w:right="8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activity within the Company’s equity plans and changes for the year-ended December 31, 2023, is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11"/>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Nonvested at January 1, 2023</w:t>
            </w:r>
          </w:p>
        </w:tc>
        <w:tc>
          <w:tcPr>
            <w:tcW w:w="17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4,223,023</w:t>
            </w: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4.85</w:t>
            </w:r>
          </w:p>
        </w:tc>
      </w:tr>
      <w:tr>
        <w:trPr>
          <w:trHeight w:val="216"/>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13,138,725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(3,180,053)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5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(4,093,643)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10,088,052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unrecognized compensation expense related to unvested shares of restricted common stock was $7.3 million, which the Company expects to recognize over an estimated weighted-average period of 2.3 years.</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the total stock-based compensation expense by function, including expense related to consultants for years-ended December 31, 2022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41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1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w w:val="76"/>
              </w:rPr>
              <w:t>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43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5,014</w:t>
            </w:r>
          </w:p>
        </w:tc>
        <w:tc>
          <w:tcPr>
            <w:tcW w:w="10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2,439</w:t>
            </w:r>
          </w:p>
        </w:tc>
        <w:tc>
          <w:tcPr>
            <w:tcW w:w="5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c>
          <w:tcPr>
            <w:tcW w:w="5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4,483</w:t>
            </w:r>
          </w:p>
        </w:tc>
        <w:tc>
          <w:tcPr>
            <w:tcW w:w="560" w:type="dxa"/>
            <w:vAlign w:val="bottom"/>
          </w:tcPr>
          <w:p>
            <w:pPr>
              <w:spacing w:after="0"/>
              <w:rPr>
                <w:sz w:val="18"/>
                <w:szCs w:val="18"/>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3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6"/>
              </w:rPr>
              <w:t>14,594</w:t>
            </w:r>
          </w:p>
        </w:tc>
        <w:tc>
          <w:tcPr>
            <w:tcW w:w="10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8,336</w:t>
            </w:r>
          </w:p>
        </w:tc>
        <w:tc>
          <w:tcPr>
            <w:tcW w:w="56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430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F- 21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AND CONTINGENCIES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Inventory Purchases</w:t>
      </w:r>
      <w:r>
        <w:rPr>
          <w:rFonts w:ascii="Times New Roman" w:cs="Times New Roman" w:eastAsia="Times New Roman" w:hAnsi="Times New Roman"/>
          <w:sz w:val="18"/>
          <w:szCs w:val="18"/>
          <w:color w:val="auto"/>
        </w:rPr>
        <w:t>—As of December 31, 2022 and 2023, the Company had $13.5 million and $6.5 million, respectively, of inventory purchase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with vendors waiting to be fulfilled.</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2022 and December 31, 2023, the Company estimates that the potential liability, including current sales tax payable is approximately $0.7 million and $1.0 million, respectively, which has been recorded as an accrued liability. The Company believes this is the best estimate of an amount due to taxing agencies, given that such a potential loss is an unasserted liability that would be contested and subject to negotiation between the Company and the state, or decided by a court.</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—On May 2, 2021, the Company entered into a settlement agreement with one of the Company’s suppliers who agreed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Consolidated Financial Statements, the supplier has not paid in full its required first payment of $1.0 million nor has it delivered the required quantity of goods. The Company fully reserved $4.1 million within prepaid and other current assets on its Consolidated Financial Statements during the year-ended December 31, 2022 and December 31, 2023.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December 31, 2023.</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is party to various actions and claims arising in the normal course of business. The Company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Securities Class Action</w:t>
      </w:r>
      <w:r>
        <w:rPr>
          <w:rFonts w:ascii="Times New Roman" w:cs="Times New Roman" w:eastAsia="Times New Roman" w:hAnsi="Times New Roman"/>
          <w:sz w:val="18"/>
          <w:szCs w:val="18"/>
          <w:color w:val="auto"/>
        </w:rPr>
        <w:t>—Following a mediation, an initial settlement-in-principle, and further negotiations, on April 22, 2022,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its codefendants Yaniv Sarig, Fabrice Hamaide, and Arturo Rodriguez, entered into a formal settlement agreement to resolve the purported class action lawsuits filed in the U.S. District Court for the Southern District of New York (the “Court”) by Andrew Tate on May 13, 2021, and by Jeff Coon, on June 10, 2021, consolidated under the caption Tate v. Aterian, Inc., et. al., 21-cv-04323-VM (the “Action”).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Action, plaintiffs claimed that defendants made false and materially misleading statements and failed to disclose material adverse facts regarding the Company’s business, operations, and prospects, and that this was revealed on May 4, 2021, in a report issued by Culper Research. The Company and its codefendants denied, and continue to deny, that these allegations have any merit. The settlement agreement contains no admission of wrongdoing and expressly states that the Company and its codefendants have entered into a settlement solely to avoid the uncertainties, burden, and expense of further litigation.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settlement class consists of purchasers of the Company’s securities during the period from August 24, 2020, through May 3, 2021, inclusive (the “Class Period”). Under the terms of the proposed settlement, members of the settlement class release the Company and its codefendants from, among other things, all claims and causes of action of every nature and description, whether known or unknown, that were asserted in the Action; could have been asserted in the Action; relate in any way to transactions in the Company’s securities during the Class Period and any facts, transactions, or occurrences referred to in any of the pleadings or other documents filed in the Action. Under the agreement, the Company was to pay $1.3 million, within 10 business days of the Court’s preliminary approval of the settlement, which would, after final court approval, be distributed to claimants in the settlement class pursuant to the plan of allocation filed with the Court on May 4, 2022. To the extent permitted by the Court, this payment will also fund the legal fees of plaintiffs’ counsel and the costs of administering the settlement.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proposed settlement was preliminarily approved by the Court on May 6, 2022, and the Company thereafter paid $1.3 million into the designated escrow. On September 12, 2022, the Court entered a final judgment approving the class action settlement. The claims administrator is in the process of distributing funds to claimants. The Company does not anticipate any further action in this matter. In connection with the settlement, the Company accrued approximately $1.3 million during the year-ended December 31, 2021 and paid approximately $1.3 million in the second quarter of 2022.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Shareholder Derivative Actions Related to the Securities Class Action</w:t>
      </w:r>
      <w:r>
        <w:rPr>
          <w:rFonts w:ascii="Times New Roman" w:cs="Times New Roman" w:eastAsia="Times New Roman" w:hAnsi="Times New Roman"/>
          <w:sz w:val="18"/>
          <w:szCs w:val="18"/>
          <w:color w:val="auto"/>
        </w:rPr>
        <w:t>—On October 21, October 25 and November 10, 2021, three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derivative actions were filed on behalf of the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which was resolved via settlement in September 2022 The Company believes the allegations are without merit and continues to deny each of the claims and allegations of wrongdoing. On December 12, 2022, the parties reached an agreement and entered into a Stipulation and Agreement of Settlement (the “Stipulation”) to resolve this derivative action. Under the Stipulation, the Company agreed to adopt certain corporate governance reforms, the terms of which are outlined in Exhibit A to the Stipulation, and a payment of the Plaintiffs’ attorneys’ fees and expenses of $0.3 million The proposed settlement was preliminarily approved by the Court on December 29, 2022, the Company made the agreed $0.3 million payment, and received final approval to the settlement on March 17, 2023.</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Investor Contract Action</w:t>
      </w:r>
      <w:r>
        <w:rPr>
          <w:rFonts w:ascii="Times New Roman" w:cs="Times New Roman" w:eastAsia="Times New Roman" w:hAnsi="Times New Roman"/>
          <w:sz w:val="18"/>
          <w:szCs w:val="18"/>
          <w:color w:val="auto"/>
        </w:rPr>
        <w:t>—On September 20, 2021, Sabby Volatility Warrant Master Fund Ltd. (the “Investor”) sued the Company in the Supreme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York, New York County, alleging that the Company breached the Securities Purchase Agreement, dated June 10, 2021 (the “Purchase Agreement”), pursuant to which the Investor purchased 400,000 shares of the Company’s common stock, for an aggregate price of approximately $6.0 million. The Investor contended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parties reached a</w:t>
      </w:r>
    </w:p>
    <w:p>
      <w:pPr>
        <w:sectPr>
          <w:pgSz w:w="11900" w:h="16838" w:orient="portrait"/>
          <w:cols w:equalWidth="0" w:num="1">
            <w:col w:w="11240"/>
          </w:cols>
          <w:pgMar w:left="320" w:top="121" w:right="339" w:bottom="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settlement agreement for $1.6 million on October 11, 2022. In this action, the Company denied, and it continues to deny, the Investor’s allegations, and the settlement agreement contains no admission of wrongdoing; the Company nevertheless determined that a resolution was warranted to minimize the costs and risks of ongoing litigation. The Company recorded a $1.6 million expense in general and administrative expenses on the Consolidated Statement of Operations for the year-ended December 31, 2022.</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Mueller Action</w:t>
      </w:r>
      <w:r>
        <w:rPr>
          <w:rFonts w:ascii="Times New Roman" w:cs="Times New Roman" w:eastAsia="Times New Roman" w:hAnsi="Times New Roman"/>
          <w:sz w:val="18"/>
          <w:szCs w:val="18"/>
          <w:color w:val="auto"/>
        </w:rPr>
        <w:t>—In October 2021, the Company received a class action notification and pre-lawsuit demand letter demanding corrective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marketing, advertising and labeling of certain products under the Mueller brand (the “Mueller Action”). In April 2022, the parties reached an agreement in principle to resolve this potential action for $0.5 million in cash and $0.3 million worth of coupons, which the Company accrued $0.8 million in the three months ended March 31, 2022, subject to court approval. The court preliminarily approved the settlement on August 3, 2023 and has scheduled a hearing for final approval for May 2024. If that approval is not granted, the Company is prepared to continue the full defense of this action.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Earn-out Payment Dispute</w:t>
      </w:r>
      <w:r>
        <w:rPr>
          <w:rFonts w:ascii="Times New Roman" w:cs="Times New Roman" w:eastAsia="Times New Roman" w:hAnsi="Times New Roman"/>
          <w:sz w:val="18"/>
          <w:szCs w:val="18"/>
          <w:color w:val="auto"/>
        </w:rPr>
        <w:t>—On February 24, 2022, the Company received a notice disputing the Company’s calculation of the earn-out payment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amount (£6,902,816 or approximately $8.8 million) under the terms of the PPD Stock Purchase Agreement, whereas the Company believes they are not. Mr. Eitan and Mr. Nir filed a motion to compel arbitration in the Southern District of New York on September 14, 2022, which was granted on May 18, 2023. The parties engaged an independent accountant to resolve the dispute, as required by the PPD Stock Purchase Agreement and the Southern District of New York. In February 2024, the independent accountant ruled in favor of the Company and determined that the Company owes no earn-out. Therefore, the Company believes it has no liability to the sellers.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Nasdaq Listing - </w:t>
      </w:r>
      <w:r>
        <w:rPr>
          <w:rFonts w:ascii="Times New Roman" w:cs="Times New Roman" w:eastAsia="Times New Roman" w:hAnsi="Times New Roman"/>
          <w:sz w:val="18"/>
          <w:szCs w:val="18"/>
          <w:color w:val="auto"/>
        </w:rPr>
        <w:t>On April 24, 2023, we received a letter from the Listing Qualifications Staff of The Nasdaq Stock Market LLC indicating that,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closing bid price of our common stock for the last 30 consecutive business days, the Company is not currently in compliance with the requirement to maintain a minimum bid price of $1.00 per share for continued listing on The Nasdaq Capital Market, as set forth in Nasdaq Listing Rule 5550(a)(2). The Bid Price Notice provided a compliance period of 180 calendar days from the date of the Bid Price Notice, or until October 23, 2023, to regain compliance with the minimum closing bid requirement, pursuant to Nasdaq Listing Rule 5810(c)(3)(A). Following a request we made on October 13, 2023, on October 24, 2023, we received a letter from Nasdaq granting the Company an additional 180 days, or until April 22, 2024, to regain compliance with the minimum closing bid requirement.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Bid Price Notice has no immediate effect on the continued listing status of our common stock on The Nasdaq Capital Market, and, therefore, our listing remains fully effective.</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a compliance period of 180 calendar days from the date of the Extension Notice, or until April 22, 2024, to regain compliance with the minimum closing bid requirement, pursuant to Nasdaq Listing Rule 5810(c)(3)(A). If at any time before April 22, 2024, the closing bid price of our common stock closes at or above $1.00 per share for a minimum of 10 consecutive business days, subject to Nasdaq’s discretion to extend this period pursuant to Nasdaq Listing Rule 5810(c)(3)(H) to 20 consecutive business days, Nasdaq will provide written notification that the Company has achieved compliance with the minimum bid price requirement, and the matter would be resolved.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seek to regain compliance with all applicable Nasdaq requirements within the allotted compliance periods. If the Company does not regain compliance within the allotted compliance periods, Nasdaq will provide notice that the Common Stock will be subject to delisting. The Company would then be entitled to appeal that determination to a Nasdaq hearings panel. There can be no assurance that the Company will regain compliance with the minimum bid price requirement during the compliance period or maintain compliance with the other Nasdaq listing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—The Company’s minimum lease liabilities are not material to the Company's financial statements as of December 31, 2023.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for income taxes consisted of the following for the periods indicated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(71,600)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(3,831)</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(75,431)</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income tax provision were as follows for the periods indicated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r>
      <w:tr>
        <w:trPr>
          <w:trHeight w:val="210"/>
        </w:trPr>
        <w:tc>
          <w:tcPr>
            <w:tcW w:w="5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provision to the Company’s effective income tax provision is as follows for the periods indicated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(15,839)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4,455</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1,949</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FV contingent consideration</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 true-up adjustments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38,908</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13,253</w:t>
            </w:r>
          </w:p>
        </w:tc>
      </w:tr>
      <w:tr>
        <w:trPr>
          <w:trHeight w:val="20"/>
        </w:trPr>
        <w:tc>
          <w:tcPr>
            <w:tcW w:w="5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(0.19)% and 1.15% for the years-ended December 31, 2022 and December 31, 2023, respectively. The effective tax rate for 2022 was principally due to tax expense incurred on the operation of acquired goodwill that is deductible for tax purposes and which was fully impaired for book purposes during the year. The effective tax rate for 2023 was principally due to tax expense incurred on the operations of the Company's UK business, non-deductible executive stock compensation expense, and the change in fair value of the warrant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and liabilities as of the dates indicated were as follows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51,889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53,361</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2,239</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10,959</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11,317</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 (definite life)</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9,422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(indefinite life)</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21,386</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19,749</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0"/>
        </w:trPr>
        <w:tc>
          <w:tcPr>
            <w:tcW w:w="56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5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88,099</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101,252</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(86,224)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(99,477)</w:t>
            </w:r>
          </w:p>
        </w:tc>
      </w:tr>
      <w:tr>
        <w:trPr>
          <w:trHeight w:val="20"/>
        </w:trPr>
        <w:tc>
          <w:tcPr>
            <w:tcW w:w="56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3"/>
        </w:trPr>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-7620</wp:posOffset>
            </wp:positionV>
            <wp:extent cx="20485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ectPr>
          <w:pgSz w:w="11900" w:h="16891" w:orient="portrait"/>
          <w:cols w:equalWidth="0" w:num="1">
            <w:col w:w="11240"/>
          </w:cols>
          <w:pgMar w:left="320" w:top="121" w:right="339" w:bottom="0" w:gutter="0" w:footer="0" w:header="0"/>
        </w:sectPr>
      </w:pP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36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6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91" w:orient="portrait"/>
          <w:cols w:equalWidth="0" w:num="1">
            <w:col w:w="11240"/>
          </w:cols>
          <w:pgMar w:left="320" w:top="121" w:right="339" w:bottom="0" w:gutter="0" w:footer="0" w:header="0"/>
          <w:type w:val="continuous"/>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c>
          <w:tcPr>
            <w:tcW w:w="5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r>
      <w:tr>
        <w:trPr>
          <w:trHeight w:val="216"/>
        </w:trPr>
        <w:tc>
          <w:tcPr>
            <w:tcW w:w="11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(3,033)</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(1,781)</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5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ind w:left="1140"/>
              <w:spacing w:after="0"/>
              <w:rPr>
                <w:sz w:val="20"/>
                <w:szCs w:val="20"/>
                <w:color w:val="auto"/>
              </w:rPr>
            </w:pPr>
            <w:r>
              <w:rPr>
                <w:rFonts w:ascii="Times New Roman" w:cs="Times New Roman" w:eastAsia="Times New Roman" w:hAnsi="Times New Roman"/>
                <w:sz w:val="18"/>
                <w:szCs w:val="18"/>
                <w:color w:val="auto"/>
              </w:rPr>
              <w:t>F- 24</w:t>
            </w:r>
          </w:p>
        </w:tc>
        <w:tc>
          <w:tcPr>
            <w:tcW w:w="5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temporary differences due to differences in recognition of revenue and expenses for tax and financial reporting purposes, principally related to net operating losses, inventory, depreciation, and other expenses that are not currently deductible or realizable. At December 31, 2022, the Company had approximately $216.4 million of gross federal NOLs, which will begin to expire in fiscal year 2034 if unused and approximately $121.3 million apportioned state and local NOLs. At December 31, 2023, the Company had approximately $222.2 million of gross federal NOLs which will begin to expire in fiscal year 2034 if unused. The Company also has approximately $128.1 million apportioned state and local NOLs that expire between 2026 and 2036, depending on the state, if not used. The NOL carryforwards for federal and state income tax purposes which, generally, can be used to reduce future taxable income. The Company’s ability to utilize its NOL carryforwards may be limited pursuant to Section 382 of the Internal Revenue Code of 1986, as amended (the “Code”), if the Company has had a change in ownership of more than 50% of its capital stock over a three-year period pursuant to Section 382 of the Code. These complex changes of ownership rules generally focus on ownership changes involving stockholders owning directly or indirectly 5% or more of a company’s stock, including certain public “groups” of stockholders as set forth by Section 382 of the Code, including those arising from new stock issuances and other equity transactions.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COVID-19, various governments worldwide have enacted, or are in the process of enacting, measures to provide relief to businesses negatively affected by the pandemic. On March 27, 2021, the Coronavirus Aid, Relief and Economic Security Act ("CARES Act") was signed into law in the U.S. The CARES Act provides relief to U.S. corporations through financial assistance programs and modifications to certain payroll and income tax provisions. In connection with the CARES Act and other financial relief measures worldwide, the Company has utilized $1.3 million of payroll related credits for the year-ended December 31, 2022. The payroll related credits are recorded in other current liabilities within the consolidated balance sheet.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regularly assesses the realizability of its deferred tax assets and establishes a valuation allowance if it is more-likely-than-not that some portion of the deferred tax assets will not be realized. The ultimate realization of deferred tax assets is dependent upon the generation of future taxable income during the periods in which those temporary differences become deductible. Due to the Company’s history of net operating losses, the Company believes it is more likely than not its federal, state and foreign deferred tax assets will not be realized as of December 31,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major taxing jurisdictions are New Jersey, New York, Florida, Texas, Pennsylvania, Tennessee, Virginia, California, and the United Kingdom. The Company files a U.S. Consolidated income tax return as well as tax returns in certain foreign jurisdictions. The Company is subject to examination in these jurisdictions for all years since inception. Fiscal years outside the normal statute of limitations remain open to audit due to tax attributes generated in the early years which have been carried forward and may be audited in subsequent years when utilized. The Company is not currently under examination for income taxes in any jurisdiction. The Company may be subject to audits covering a variety of tax matters by taxing authorities in any taxing jurisdiction where the Company conducts business. While the Company believes that the tax returns filed, and tax positions taken are supportable and accurate, some tax authorities may not agree with the positions taken. This can give rise to tax uncertainties which, upon audit, may not be resolved in the Company’s favor. As of December 31, 2022 and 2023, the Company has not recorded any tax contingency accruals for uncertain tax positions.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2022, Congress passed the Inflation Reduction Act of 2022 (the “IRA”). The IRA introduces a new 15% corporate alternative minimum tax and includes a substantial package of energy and climate-related provisions, among other revenue raisers and incentives. A 1% excise tax on stock repurchases was also introduced in the IRA and this is effective January 1, 2023. On June 11, 2022, Congress passed the CHIPS Act of 2022. CHIPS adds a one-time investment tax credit equal to 25% of a company’s investment in facilities that manufacture semiconductors or semiconductor manufacturing equipment. We evaluated the provisions of the IRA and the CHIPS Act and determined that there was no material impact for the year-ended December 31, 2023.</w:t>
      </w:r>
    </w:p>
    <w:p>
      <w:pPr>
        <w:spacing w:after="0" w:line="21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6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(196,292)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(74,564)</w:t>
            </w:r>
          </w:p>
        </w:tc>
      </w:tr>
      <w:tr>
        <w:trPr>
          <w:trHeight w:val="198"/>
        </w:trPr>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basic and</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66,529,565</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78,155,590</w:t>
            </w:r>
          </w:p>
        </w:tc>
      </w:tr>
      <w:tr>
        <w:trPr>
          <w:trHeight w:val="25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(0.95)</w:t>
            </w:r>
          </w:p>
        </w:tc>
      </w:tr>
      <w:tr>
        <w:trPr>
          <w:trHeight w:val="196"/>
        </w:trPr>
        <w:tc>
          <w:tcPr>
            <w:tcW w:w="6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shares excluded from computation of net loss per share (in shares)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13,409,769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22,541,479</w:t>
            </w:r>
          </w:p>
        </w:tc>
      </w:tr>
    </w:tbl>
    <w:p>
      <w:pPr>
        <w:spacing w:after="0" w:line="19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All other outstanding potentially dilutive securities, including shares of restricted common stock, common stock options (See Note 11) and common stock warrants (See Note 2) were excluded from the computation of diluted net loss per share because including them would have had an anti-dilutive effect.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ectPr>
          <w:pgSz w:w="11900" w:h="16864" w:orient="portrait"/>
          <w:cols w:equalWidth="0" w:num="1">
            <w:col w:w="11240"/>
          </w:cols>
          <w:pgMar w:left="320" w:top="121" w:right="339" w:bottom="0"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right="9260" w:firstLine="8"/>
        <w:spacing w:after="0" w:line="503" w:lineRule="auto"/>
        <w:tabs>
          <w:tab w:leader="none" w:pos="64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Step and Go</w:t>
      </w: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4, 2022, the Company acquired Step and Go, a brand in the health and wellness category, for $0.7 million. The acquisition is deemed immaterial to the Company’s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Liability Considerations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 As part of the acquisition of the Smash Assets, the sellers of the Smash Assets are entitled to earn-out payments based on the achievement of certain contribution margin thresholds on certain products of the acquired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December 31, 2023, there was no remaining earn-out liability related to Smash Assets.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part of the acquisition of the assets of Squatty Potty, LLC (the “Squatty Potty Assets”), Squatty Potty is entitled to earn-out payments based on the achievement of certain contribution margin thresholds on certain products of the acquired business. As of May 5, 2021, the acquisition date, the initial fair value amount of the earn-out payment with respect to the Squatty Potty Assets was appropriately $3.5 million. During the year ended December 31, 2022, the Company paid $4.0 million to the seller to settle the contingent earn-out. As of December 31, 2022 and December 31, 2023, there was no remaining earn-out liability related to Squatty Potty.</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December 31,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Smash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Squatty Potty</w:t>
            </w:r>
          </w:p>
        </w:tc>
        <w:tc>
          <w:tcPr>
            <w:tcW w:w="26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9,223</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(5,240)</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earn-out liability</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(3,983)</w:t>
            </w:r>
          </w:p>
        </w:tc>
      </w:tr>
      <w:tr>
        <w:trPr>
          <w:trHeight w:val="20"/>
        </w:trPr>
        <w:tc>
          <w:tcPr>
            <w:tcW w:w="4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activity for contingent earn-out liabilities for the year ending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2022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Year-Ended December 31, 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Impairments </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119,941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(120,409)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080" w:right="40" w:hanging="316"/>
        <w:spacing w:after="0" w:line="253"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evaluated current economic conditions during 2022, including the impact of the Federal Reserve further increasing the risk-free interest rate, as well as the inflationary pressure on product and labor costs and operational impacts attributable to continued global supply chain disruptions. The Company believed that these conditions were factors in our market capitalization falling below the book value of net assets during the fiscal quarters ending March 31, 2022 and September 30, 2022. Accordingly, the Company concluded a triggering event had occurred in each of these periods and performed interim goodwill impairment analyses. As a result, the Company recorded a goodwill impairment charge of approximately $29.0 million and $90.9 during the three months ended March 31, 2022 and September 30, 2022, respectively. On October 4, 2022, the Company acquired Step and Go, a brand in the health and Wellness category, for $0.7 million. As part of the purchase price allocation of the acquisition, $0.5 million was attributed to goodwill. As our market capitalization was further reduced below net assets as of December 31, 2022, we concluded a triggering event has occurred to test goodwill, an impairment loss on goodwill of $0.5 million was recorded for the three months ended December 31, 2022, which is included in impairment loss on goodwill in the Consolidated Statement of Operations for the year-ended December 31, 2022.</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year-ended December 31, 2022, total goodwill impairment was approximately $120.4 million. There is no remaining goodwill balance as of December 31, 2022 and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2022 and December 31,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January 1, 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Year-Ended December 31, 2022</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187"/>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Impairments </w:t>
            </w:r>
            <w:r>
              <w:rPr>
                <w:rFonts w:ascii="Times New Roman" w:cs="Times New Roman" w:eastAsia="Times New Roman" w:hAnsi="Times New Roman"/>
                <w:sz w:val="27"/>
                <w:szCs w:val="27"/>
                <w:b w:val="1"/>
                <w:bCs w:val="1"/>
                <w:color w:val="auto"/>
                <w:vertAlign w:val="superscript"/>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100" w:type="dxa"/>
            <w:vAlign w:val="bottom"/>
          </w:tcPr>
          <w:p>
            <w:pPr>
              <w:spacing w:after="0"/>
              <w:rPr>
                <w:sz w:val="20"/>
                <w:szCs w:val="20"/>
                <w:color w:val="auto"/>
              </w:rPr>
            </w:pP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50,007</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(14,761)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54,757</w:t>
            </w: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January 1, 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187"/>
        </w:trPr>
        <w:tc>
          <w:tcPr>
            <w:tcW w:w="29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Impairments </w:t>
            </w:r>
            <w:r>
              <w:rPr>
                <w:rFonts w:ascii="Times New Roman" w:cs="Times New Roman" w:eastAsia="Times New Roman" w:hAnsi="Times New Roman"/>
                <w:sz w:val="27"/>
                <w:szCs w:val="27"/>
                <w:b w:val="1"/>
                <w:bCs w:val="1"/>
                <w:color w:val="auto"/>
                <w:vertAlign w:val="superscript"/>
              </w:rPr>
              <w:t>(2)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Net Book Value</w:t>
            </w:r>
          </w:p>
        </w:tc>
        <w:tc>
          <w:tcPr>
            <w:tcW w:w="100" w:type="dxa"/>
            <w:vAlign w:val="bottom"/>
          </w:tcPr>
          <w:p>
            <w:pPr>
              <w:spacing w:after="0"/>
              <w:rPr>
                <w:sz w:val="20"/>
                <w:szCs w:val="20"/>
                <w:color w:val="auto"/>
              </w:rPr>
            </w:pPr>
          </w:p>
        </w:tc>
      </w:tr>
      <w:tr>
        <w:trPr>
          <w:trHeight w:val="210"/>
        </w:trPr>
        <w:tc>
          <w:tcPr>
            <w:tcW w:w="29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Trademarks</w:t>
            </w:r>
            <w:r>
              <w:rPr>
                <w:rFonts w:ascii="Times New Roman" w:cs="Times New Roman" w:eastAsia="Times New Roman" w:hAnsi="Times New Roman"/>
                <w:sz w:val="24"/>
                <w:szCs w:val="24"/>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62,202</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7,140</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Customer relationships</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Total intangibles</w:t>
            </w:r>
            <w:r>
              <w:rPr>
                <w:rFonts w:ascii="Times New Roman" w:cs="Times New Roman" w:eastAsia="Times New Roman" w:hAnsi="Times New Roman"/>
                <w:sz w:val="24"/>
                <w:szCs w:val="24"/>
                <w:color w:val="auto"/>
                <w:vertAlign w:val="superscript"/>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11,320</w:t>
            </w:r>
          </w:p>
        </w:tc>
      </w:tr>
      <w:tr>
        <w:trPr>
          <w:trHeight w:val="20"/>
        </w:trPr>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80" w:right="80" w:hanging="319"/>
        <w:spacing w:after="0" w:line="254"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 charge of $3.1 million for the year-ended December 31, 2022.</w:t>
      </w:r>
    </w:p>
    <w:p>
      <w:pPr>
        <w:spacing w:after="0" w:line="3" w:lineRule="exact"/>
        <w:rPr>
          <w:rFonts w:ascii="Times New Roman" w:cs="Times New Roman" w:eastAsia="Times New Roman" w:hAnsi="Times New Roman"/>
          <w:sz w:val="18"/>
          <w:szCs w:val="18"/>
          <w:color w:val="auto"/>
        </w:rPr>
      </w:pPr>
    </w:p>
    <w:p>
      <w:pPr>
        <w:ind w:left="880" w:hanging="319"/>
        <w:spacing w:after="0" w:line="251"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2023, the Company made certain leadership changes in our essential oil business resulting in a change in strategy and outlook for the business which will result in a reduced portfolio offering. This reduction in the portfolio will be impactful to our essential oil business's future revenues and profitability and as a result the Company made revisions to our internal forecasts. The Company concluded that this change was an interim triggering event for the three months ending March 31, 2023 indicating the carrying value of our essential oil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$16.7 million in the three months ending March 31, 2023 within impairment loss on intangibles on the condensed consolidated statement of operations.</w:t>
      </w:r>
    </w:p>
    <w:p>
      <w:pPr>
        <w:spacing w:after="0" w:line="192" w:lineRule="exact"/>
        <w:rPr>
          <w:rFonts w:ascii="Times New Roman" w:cs="Times New Roman" w:eastAsia="Times New Roman" w:hAnsi="Times New Roman"/>
          <w:sz w:val="18"/>
          <w:szCs w:val="18"/>
          <w:color w:val="auto"/>
        </w:rPr>
      </w:pPr>
    </w:p>
    <w:p>
      <w:pPr>
        <w:ind w:left="880" w:right="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During the three months ended June 30, 2023, the Company had a substantial decrease in its market capitalization, primarily relating to a decrease in share price. Further, the Company continues to see reduced net revenues across its portfolio primarily due to the current macroeconomic environment reducing demand for consumer goods. Finally, during the three months ending June 30, 2023, the Company implemented a strategy of rationalizing certain less profitable products and reducing its product offering, specifically related to its kitchen appliance products. As a result of this rationalization, along with the reduced demand for its products, the Company has made certain revisions to its internal forecasts for its Paper business and Kitchen appliance business. The Company concluded that these factors were an interim</w:t>
      </w:r>
    </w:p>
    <w:p>
      <w:pPr>
        <w:sectPr>
          <w:pgSz w:w="11900" w:h="16838" w:orient="portrait"/>
          <w:cols w:equalWidth="0" w:num="1">
            <w:col w:w="11240"/>
          </w:cols>
          <w:pgMar w:left="320" w:top="121" w:right="339" w:bottom="0" w:gutter="0" w:footer="0" w:header="0"/>
        </w:sectPr>
      </w:pPr>
    </w:p>
    <w:bookmarkStart w:id="76" w:name="page77"/>
    <w:bookmarkEnd w:id="76"/>
    <w:p>
      <w:pPr>
        <w:ind w:left="320"/>
        <w:spacing w:after="0" w:line="254" w:lineRule="auto"/>
        <w:rPr>
          <w:sz w:val="20"/>
          <w:szCs w:val="20"/>
          <w:color w:val="auto"/>
        </w:rPr>
      </w:pPr>
      <w:r>
        <w:rPr>
          <w:rFonts w:ascii="Times New Roman" w:cs="Times New Roman" w:eastAsia="Times New Roman" w:hAnsi="Times New Roman"/>
          <w:sz w:val="18"/>
          <w:szCs w:val="18"/>
          <w:color w:val="auto"/>
        </w:rPr>
        <w:t>triggering event for the three months ending June 30, 2023 indicating the carrying value of our Paper and Kitchen appliance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$22.8 million for the Paper business and Kitchen appliance business during the three months ending June 30, 2023 within impairment loss on intangibles on the condensed consolidated statement of operations.</w:t>
      </w:r>
    </w:p>
    <w:p>
      <w:pPr>
        <w:spacing w:after="0" w:line="192" w:lineRule="exact"/>
        <w:rPr>
          <w:sz w:val="20"/>
          <w:szCs w:val="20"/>
          <w:color w:val="auto"/>
        </w:rPr>
      </w:pPr>
    </w:p>
    <w:p>
      <w:pPr>
        <w:ind w:left="320" w:right="20"/>
        <w:spacing w:after="0" w:line="252"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continued to see reduced revenue in its paper business resulting in certain revisions to its internal forecasts. Due to these revisions in forecast due to reduced demand,, The Company concluded this was an interim triggering event for the three months ending December 31, 2023 indicating the carrying value of our Paper business’s long-lived assets, including trademarks, may not be recoverable. Accordingly, the Company performed an interim impairment test of the trademark and assessed the recoverability of the related intangible assets by using level 3 inputs and comparing the carrying value of an asset group to the net undiscounted cash flow expected to be generated. The recoverability test indicated that certain definite-live trademark intangible assets were impaired. The Company concluded the carrying value of the trademark exceeded its estimated fair value which was determined utilizing the relief-from-royalty method to determine discounted projected future cash flows which resulted in an impairment charge. The Company recorded an intangible impairment charge of $0.3 million for the Paper business during the three months ending December 31, 2023 within impairment loss on intangibles on the consolidated statement of operations.</w:t>
      </w:r>
    </w:p>
    <w:p>
      <w:pPr>
        <w:spacing w:after="0" w:line="5" w:lineRule="exact"/>
        <w:rPr>
          <w:sz w:val="20"/>
          <w:szCs w:val="20"/>
          <w:color w:val="auto"/>
        </w:rPr>
      </w:pPr>
    </w:p>
    <w:p>
      <w:pPr>
        <w:ind w:left="320" w:right="240" w:hanging="319"/>
        <w:spacing w:after="0" w:line="260" w:lineRule="auto"/>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weighted-average remaining amortization period for Trademarks and Customer Relationships was 7.21 years and 7.33 years, respectively. The weighted-average remaining amortization period for total intangibles was 7.26 years.</w:t>
      </w:r>
    </w:p>
    <w:p>
      <w:pPr>
        <w:spacing w:after="0" w:line="18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880" w:top="121" w:right="3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our in-place intangible assets and favorable intangible assets for the next five years and thereafter (amounts in thousands):</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1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1,592</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3,524</w:t>
            </w:r>
          </w:p>
        </w:tc>
      </w:tr>
      <w:tr>
        <w:trPr>
          <w:trHeight w:val="20"/>
        </w:trPr>
        <w:tc>
          <w:tcPr>
            <w:tcW w:w="4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11,320</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9, 2023, the Company announced a plan to reduce expenses and re-align the organization’s structure by implementing a reduction in its current workforce impacting approximately 50 employees and 15 contractors, primarily in the Philippines. The headcount reduction is part of the Company's cost-saving initiatives to navigate challenges in the industry and to better position itself for future growth opportunities. The Company incurred $1.6 million of restructuring charges during the year-ended December 31, 2023, respectively.</w:t>
      </w:r>
    </w:p>
    <w:p>
      <w:pPr>
        <w:spacing w:after="0" w:line="178"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The accounting for the restructuring costs follows the provisions of ASC 420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sectPr>
          <w:pgSz w:w="11900" w:h="16838" w:orient="portrait"/>
          <w:cols w:equalWidth="0" w:num="1">
            <w:col w:w="11240"/>
          </w:cols>
          <w:pgMar w:left="320" w:top="121" w:right="339" w:bottom="771"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restructuring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bonus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Contract termination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restructuring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restructuring costs incurred during the year-ended December 31,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total restructuring reserve: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ind w:left="1180" w:hanging="1173"/>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916</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411</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w:t>
      </w:r>
    </w:p>
    <w:p>
      <w:pPr>
        <w:spacing w:after="0" w:line="9"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040" w:hanging="1033"/>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1,633</w:t>
      </w:r>
    </w:p>
    <w:p>
      <w:pPr>
        <w:spacing w:after="0" w:line="1099" w:lineRule="exact"/>
        <w:rPr>
          <w:sz w:val="20"/>
          <w:szCs w:val="20"/>
          <w:color w:val="auto"/>
        </w:rPr>
      </w:pPr>
    </w:p>
    <w:p>
      <w:pPr>
        <w:sectPr>
          <w:pgSz w:w="11900" w:h="16838" w:orient="portrait"/>
          <w:cols w:equalWidth="0" w:num="2">
            <w:col w:w="8960" w:space="720"/>
            <w:col w:w="1560"/>
          </w:cols>
          <w:pgMar w:left="320" w:top="121" w:right="339" w:bottom="771"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Retention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Usage-cash</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Usage-noncash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w:t>
            </w: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a liability of $0.2 million for restructuring costs, of which $0.1 million is included in accrued expenses and other current liabilities and $0.1 million is included in other liabilities on the consolidated balance sheet.</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will continue to assess the restructuring plan's progress and provide updates as required in future financial statements if there are material changes to the initial estimates or additional significant restructuring activities.</w:t>
      </w:r>
    </w:p>
    <w:p>
      <w:pPr>
        <w:spacing w:after="0" w:line="18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8, 2024, the Company committed to a fixed cost-cutting plan, including a reduction in workforce which will result in the termination of approximately 21 employees and 27 contractors globally. The Company expects to substantially complete this reduction by the end of the first quarter of 2024. The Company expects to recognize restructuring charges in connection with the plan, primarily related to severance, of $0.6 million. The Company expects the charges will be recognized primarily in the first quarter of 2024, with the majority of such charges anticipated to be paid by the end of the first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23, 2024, the Company amended its asset backed credit facility with MidCap Financial Trust. The Credit Facility term has been extended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2026 and gives Aterian access to $17.0 million in current commitments which can be increased, subject to certain conditions, to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The Credit Facility extension reduces the minimum liquidity financial covenant from a peak of $15.0 million to $6.8 million of U.S. cash on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availability in the Credit Facility. The extension fee was less than $0.1 million.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71"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principal executive officer and principal financial officer have concluded, based on their evaluation, that our disclosure controls and procedures were effective as of December 31, 2023. This Annual Report does not include an attestation report of our registered public accounting firm. Our independent registered public accounting firm will not be required to formally attest to the effectiveness of our internal control over financial reporting as long as we are an “emerging growth company” pursuant to the provisions of the JOBS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Our management, with the participation of our CEO and CFO, has evaluated the effectiveness of our disclosure controls and procedures, as such term is defined in Rules 13a-15(e) and 15d-15(e) under the Exchange Act, as of the end of the period covered by this Annual Report. Our internal control over financial reporting is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control objectives.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2023. In making this assessment, management used the criteria set forth in 2013 by the Committee of Sponsoring Organizations of the Treadway Commission (“COSO”) in “Internal Control-Integrated Framework.” Based on management’s assessment using the COSO criteria, management has concluded that our internal control over financial reporting was effective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Related Disclosure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none of our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and directors as of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0"/>
                <w:szCs w:val="20"/>
                <w:color w:val="auto"/>
              </w:rPr>
            </w:pPr>
          </w:p>
        </w:tc>
        <w:tc>
          <w:tcPr>
            <w:tcW w:w="50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Joseph A. Risico</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Chief Financial Officer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Roi Zahut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Phillip Lepper</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414"/>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Cynthia Williams</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the directors or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A. Risico </w:t>
      </w:r>
      <w:r>
        <w:rPr>
          <w:rFonts w:ascii="Times New Roman" w:cs="Times New Roman" w:eastAsia="Times New Roman" w:hAnsi="Times New Roman"/>
          <w:sz w:val="18"/>
          <w:szCs w:val="18"/>
          <w:color w:val="auto"/>
        </w:rPr>
        <w:t>has served as our Co-Chief Executive Officer since July 2023. Prior to that he served as the Chief Legal Officer since March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 of M&amp;A since July 2021. Prior to that, he served as our General Counsel since September 2018 and has served as General Counsel for Aterian Opco since February 2018. Prior to joining Aterian, Mr. Risico held a number of legal and business positions, most recently at AutoModality, Inc., a UAV flight control software company, where he served as Chief Operating Officer and General Counsel from February 2017 to February 2018, Ecovative Design LLC, a biomaterials company, where he served as General Counsel and Head of Business Development from August 2011 to February 2017, and 3M Company, where he served as the General Counsel of 3M’s corporate ventures business from May 2010 to July 2011. Mr. Risico started his legal career as a corporate associate at the law firm of Cravath, Swaine &amp; Moore LLP from August 2001 to June 2006. Mr. Risico holds a B.A. from New York University with concentrations in accounting and economics and a J.D. from Columbia Law School. Mr. Risico also holds a CPA (not active).</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has served as our Co-Chief Executive Officer since July 2023 and our Chief Financial Officer since March 2021. Prior to that, he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Senior Vice President of Finance since September 2017. Prior to joining the Company, Mr. Rodriguez served as Chief Accounting Officer and Global Controller for Piksel, Inc. from July 2012 to September 2017 and also held the role of Interim Chief Operating Officer in 2017. From 2000 to 2011, Mr. Rodriguez held several financial leadership roles with the Atari Group, most notably Acting Chief Financial Officer of Atari, Inc. (Nasdaq: ATAR) from 2007 to 2008, and Deputy CFO of Atari SA (Euronext: ATA) from 2008 to 2010. Mr. Rodriguez started his career at Arthur Andersen LLP in 1997 and is a CPA in the State of New York. Mr. Rodriguez holds a Bachelor of Business Administration – Accounting from Hofstra University.</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Phillip Lepper </w:t>
      </w:r>
      <w:r>
        <w:rPr>
          <w:rFonts w:ascii="Times New Roman" w:cs="Times New Roman" w:eastAsia="Times New Roman" w:hAnsi="Times New Roman"/>
          <w:sz w:val="18"/>
          <w:szCs w:val="18"/>
          <w:color w:val="auto"/>
        </w:rPr>
        <w:t>has been Aterian's Chief Revenue Office since September 2023, following his role as Senior Vice President of Revenue which he held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2023. Mr. Lepper joined Aterian in June 2021 as Vice President of Revenue. Prior to joining Aterian, Mr. Lepper served as the Senior Director of eCommerce at Packable from June 2020 until June 2021. Mr. Lepper previously worked at Oriental Trading Company as Head of Marketplace from April 2019 to June 2020 and at Spreetail as Director of New Channels from July 2018 until April of 2019. Mr. Lepper also previously held roles at Kaspien, Mister Car Wash and the Coca-Cola Company. Mr. Lepper holds a B.S. in Business Administration from Eastern Washington University.</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 Zahut </w:t>
      </w:r>
      <w:r>
        <w:rPr>
          <w:rFonts w:ascii="Times New Roman" w:cs="Times New Roman" w:eastAsia="Times New Roman" w:hAnsi="Times New Roman"/>
          <w:sz w:val="18"/>
          <w:szCs w:val="18"/>
          <w:color w:val="auto"/>
        </w:rPr>
        <w:t>has served as our Chief Technology Officer since January 2019. Prior to joining Aterian, he served in a number of roles, including as the CTO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Advanced Analytics global consulting team at IBM and as the architect of IBM Metropulse, a retail &amp; CPG analytics platform, from October 2016 to January 2019. Prior to that, Mr. Zahut lived in Israel where he held senior technical, business and data science roles in startups and consulting companies including IBM Israel from January 2015 to October 2016, Brainbow Ltd from October 2013 to January 2015 and Matrix IT Ltd, an information technology company, from October 2008 to October 2011, working across industries (CPG, industrial and defense). Mr. Zahut also served in the Israeli Air Force from September 2005 to October 2008 where he obtained the rank of Sergeant First Class. Mr.Zahut holds an MSc in Neuroscience with distinction from Bar Ilan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Bari A. Harlam </w:t>
      </w:r>
      <w:r>
        <w:rPr>
          <w:rFonts w:ascii="Times New Roman" w:cs="Times New Roman" w:eastAsia="Times New Roman" w:hAnsi="Times New Roman"/>
          <w:sz w:val="18"/>
          <w:szCs w:val="18"/>
          <w:color w:val="auto"/>
        </w:rPr>
        <w:t>has served as a director since February 2020, and is a business leader, marketer, educator and author. In February 2020, she co-founded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Trouble LLC, a pro-social, experience brand. Ms. Harlam has served on the Boards of Directors of Eastern Bank since February 2014, OneWater Marine Inc. (Nasdaq: ONEW) since May 2020, Rite Aid (NYSE: RAD) since September 2020 and Mattress Warehouse since February 2023 , and serves as the chair of the Compensation Committee for OneWater Marine Inc., as the chair of the Nominating and Governance Committee of Rite Aid and as the chair of the Risk, Trust, Innovation and Charitable Foundation Committees of Eastern Bank. From April 2018 to March 2020, she served as EVP, Chief Marketing Officer North America at Hudson’s Bay Company (TSX: HBC). Prior to her time at Hudson’s Bay Company, she was EVP, Membership, Marketing &amp; Analytics at BJ’s Wholesale Club (NYSE: BJ) from July 2012 to December 2016. Before joining BJ’s Wholesale Club, she served as Chief Marketing Officer at Swipely, now called Upserve, from August 2011 to July 2012 and prior to that, she served as SVP, Marketing at CVS Health (NYSE: CVS) from 2000 to August 2011. Early in her career, she was a Professor at Columbia University from July 1989 to July 1992 and The University of Rhode Island from July 1992 to July 2000. In addition, she was an Adjunct Professor at The Wharton School at The University of Pennsylvania from January 2015 to May 2018. She received a Bachelor of Science, a Master of Science and a Ph.D. in Marketing from The University of Pennsylvania, The Wharton School. We believe Ms. Harlam is qualified to serve as a member of our Board due to her experience in the consumer packaged goods and retail industries as well as her expertise in marketing.</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Kurtz </w:t>
      </w:r>
      <w:r>
        <w:rPr>
          <w:rFonts w:ascii="Times New Roman" w:cs="Times New Roman" w:eastAsia="Times New Roman" w:hAnsi="Times New Roman"/>
          <w:sz w:val="18"/>
          <w:szCs w:val="18"/>
          <w:color w:val="auto"/>
        </w:rPr>
        <w:t>has served as a director since August 2019. Mr. Kurtz is a senior financial and operations executive with over 30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as chief financial officer or chief operating officer at several private and public technology companies on the East Coast and in Silicon Valley. Since 2016, he has served as a member of the board of directors of Verint Systems Inc., a customer experience software SaaS company, and he currently serves as chairman of its Audit Committee and as a member of the Nominating &amp; Governance Committee. Mr. Kurtz has served as the Chief Financial and</w:t>
      </w:r>
    </w:p>
    <w:p>
      <w:pPr>
        <w:sectPr>
          <w:pgSz w:w="11900" w:h="16838" w:orient="portrait"/>
          <w:cols w:equalWidth="0" w:num="1">
            <w:col w:w="11240"/>
          </w:cols>
          <w:pgMar w:left="320" w:top="121" w:right="339" w:bottom="0" w:gutter="0" w:footer="0" w:header="0"/>
        </w:sectPr>
      </w:pPr>
    </w:p>
    <w:bookmarkStart w:id="80" w:name="page81"/>
    <w:bookmarkEnd w:id="80"/>
    <w:p>
      <w:pPr>
        <w:jc w:val="both"/>
        <w:spacing w:after="0" w:line="253" w:lineRule="auto"/>
        <w:rPr>
          <w:sz w:val="20"/>
          <w:szCs w:val="20"/>
          <w:color w:val="auto"/>
        </w:rPr>
      </w:pPr>
      <w:r>
        <w:rPr>
          <w:rFonts w:ascii="Times New Roman" w:cs="Times New Roman" w:eastAsia="Times New Roman" w:hAnsi="Times New Roman"/>
          <w:sz w:val="18"/>
          <w:szCs w:val="18"/>
          <w:color w:val="auto"/>
        </w:rPr>
        <w:t>Commercial Officer for Ripcord, Inc. since January 2021 and as its Chief Commercial Officer since April 2021 and served as its interim Chief Executive Officer from June 2021 through January 2022 while the company conducted a search for a chief executive officer. He is also a member of the Board of Ripcord Inc. Mr. Kurtz also served as a Strategic Advisor for Bloom Energy Corporation, a manufacturer of on-site power generation platforms, from January 2019 to January 2021 and previously served as its Chief Commercial Officer (from May 2015 to December 2018) and Chief Commercial &amp; Financial Officer (from March 2008 to May 2015). Mr. Kurtz has also held a number of CFO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 We believe Mr. Kurtz is qualified to serve as a member of our Board due to his experience in chief financial officer and chief operating officer roles and his experience in private and public technology companies.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Lattmann </w:t>
      </w:r>
      <w:r>
        <w:rPr>
          <w:rFonts w:ascii="Times New Roman" w:cs="Times New Roman" w:eastAsia="Times New Roman" w:hAnsi="Times New Roman"/>
          <w:sz w:val="18"/>
          <w:szCs w:val="18"/>
          <w:color w:val="auto"/>
        </w:rPr>
        <w:t>has served as a director since February 2022. Ms. Lattman has served on the board of directors of Superior Group of Companies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SGC) since February 2024, Farmer Focus, a private organic chicken company since November 2021, and Landsea Homes Corporation (Nasdaq: LSEA) from December 2021 through June 2023. She currently is a member of the nominating and governance committee of SGC and serves as the chair of the audit committee for Farmer Focus. Ms. Lattmann is currently the chief financial officer for The Row, an international luxury apparel retailer since July 2021. Previously, she worked for Bed Bath &amp; Beyond Inc. (Nasdaq: BBBY), from 1996 to 2019, where she held several roles, including chief financial officer and chief administrative officer. She began her professional career with Arthur Andersen LLP. Ms. Lattmann received her Bachelor of Science degree with honors from Bucknell University and is a certified public accountant. We believe Ms. Lattmann is qualified to serve as a member of our Board due to her extensive financial and leadership experience.</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Sarah Liebel </w:t>
      </w:r>
      <w:r>
        <w:rPr>
          <w:rFonts w:ascii="Times New Roman" w:cs="Times New Roman" w:eastAsia="Times New Roman" w:hAnsi="Times New Roman"/>
          <w:sz w:val="18"/>
          <w:szCs w:val="18"/>
          <w:color w:val="auto"/>
        </w:rPr>
        <w:t>has served as a director since February 2022. Ms. Liebel has served as Chief Growth Officer and President of Consumer Products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BetterUp, a digital coaching company, since March 2022. Prior to joining BetterUp, Ms. Liebel served as Chief Revenue Officer at 1stdibs.com, Inc. (Nasdaq: DIBS) from January 2019 to March 2022, where she oversaw the sales and operations teams at the company, including Customer Experience, Logistics, Business Operations, Trade &amp; Private Client sales. Before joining 1stdibs in 2015, Ms. Liebel was most recently at Groupon, Inc. (Nasdaq: GRPN). During her five year tenure at Groupon, she held a number of leadership roles, including running operations &amp; sales at Ideeli, a fashion flash sales e-commerce company, after it was acquired by Groupon, as well as leading deals on the corporate development team. Ms. Liebel received her Bachelor of Science from Tulane University and her MBA from Northwestern’s Kellogg School of Management. We believe Ms. Liebel is qualified to serve as a member of our Board due to her experience in revenue generation, e-commerce and business leadership.</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Cynthia Williams </w:t>
      </w:r>
      <w:r>
        <w:rPr>
          <w:rFonts w:ascii="Times New Roman" w:cs="Times New Roman" w:eastAsia="Times New Roman" w:hAnsi="Times New Roman"/>
          <w:sz w:val="18"/>
          <w:szCs w:val="18"/>
          <w:color w:val="auto"/>
        </w:rPr>
        <w:t>has served as a director since April 2022. Ms. Williams currently serves as President of the Wizards of the Coast and Digital Gaming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Division of Hasbro, Inc. (Nasdaq: HAS). Prior to her role at Hasbro, Inc., Ms. Williams served as Vice President and General Manager at Microsoft Corporation (Nasdaq: MSFT) from September 2018 to February 2022. She previously worked at Amazon.com, Inc. (Nasdaq: AMZN) from August 2007 to July 2018 where she led their Fulfillment by Amazon division. Ms. Williams received her BSBA from Western Carolina University in 1989 and her MBA from Wake Forest University in 1995. We believe Ms. Williams is qualified to serve as a member of our Board due to her significant technology and e-commerce expertise.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with Directors or Executive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legal proceedings related to any of our directors or executive officers that require disclosure pursuant to Items 103 or 401(f)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has adopted a Code of Conduct and Ethics that applies to all of our employees, officers and directors, including our Chief Executive Officer and other employees. We have posted the Code of Conduct and Ethics on our website at https://ir.aterian.io/corporate-governance/governance-highlights under “Governance Documents”. The Code of Conduct and Ethics can only be amended by the approval of our audit committee of the Board (the “Audit Committee”) and any waiver to the Code of Conduct and Ethics for an executive officer or director may only be granted by the Audit Committee and must be timely disclosed as required by applicable law. We expect that any amendments to the Code of Conduct and Ethics, or any waivers of its requirements, will be disclosed on our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Our Audit Committee is comprised of Mr. Kurtz, Ms. Lattmann and Ms. Liebel. Ms. Lattmann serves as Chairperson of the committee. Each member of the Audit Committee must be independent as defined under the applicable rules and listings standards of The Nasdaq Stock Market LLC (the “Nasdaq Rules”) and SEC rules and financially literate under the Nasdaq Rules. Our Board has determined that each member of the Audit Committee is “independent” and “financially literate” under the Nasdaq Rules and the SEC rules and that Ms. Lattmann is an “audit committee financial expert” under the rules of the SEC. The responsibilities of the Audit Committee are included in a written charter. The Audit Committee acts on behalf of our Board in fulfilling our Board’s oversight responsibilities with respect to our accounting and financial reporting processes, the systems of internal control over financial reporting and audits of financial statements and reports, and also assists our Board in its oversight of the quality and integrity of our financial statements and reports and the qualifications, independence and performance of our independent registered public accounting firm. For this purpose, the Audit Committee performs several functions. The Audit Committee’s responsibilities include, among others:</w:t>
      </w:r>
    </w:p>
    <w:p>
      <w:pPr>
        <w:spacing w:after="0" w:line="194" w:lineRule="exact"/>
        <w:rPr>
          <w:sz w:val="20"/>
          <w:szCs w:val="20"/>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 and</w:t>
      </w:r>
    </w:p>
    <w:p>
      <w:pPr>
        <w:sectPr>
          <w:pgSz w:w="11900" w:h="16838" w:orient="portrait"/>
          <w:cols w:equalWidth="0" w:num="1">
            <w:col w:w="11240"/>
          </w:cols>
          <w:pgMar w:left="320" w:top="121" w:right="339" w:bottom="0" w:gutter="0" w:footer="0" w:header="0"/>
        </w:sectPr>
      </w:pPr>
    </w:p>
    <w:bookmarkStart w:id="82" w:name="page83"/>
    <w:bookmarkEnd w:id="82"/>
    <w:p>
      <w:pPr>
        <w:jc w:val="both"/>
        <w:ind w:left="1300" w:hanging="644"/>
        <w:spacing w:after="0" w:line="25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the Audit Committee meets at least quarterly and with greater frequency if necessary. Our Board has adopted a written charter of the Audit Committee that is available to stockholders on our internet website at https://ir.aterian.io/corporate-governance/governance-highlights under “Governance Charters”.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from those that were described in our Definitive Proxy Statement for our 2023 Annual Meeting of Stockholders that was filed with the SEC on June 2,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own more than 10% of a registered class of our equity securities, to file reports of ownership and changes in ownership with the SEC. Officers, directors, and greater than 10% stockholders are required by SEC regulations to furnish us with copies of all Section 16(a) forms they file. Based solely upon a review of the copies of such forms and amendments thereto, we believe that, during 2023, none of our officers, directors, and greater than 10% beneficial owners failed to file on a timely basis the reports required by Section 16(a).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compensation for the following individuals who served as our name executive officers for the year that ended on December 31, 2023 (“Named Executive Officer”), which consists of our Co-Chief Executive Officers, up to two other most highly compensated executive officers who were serving as executive officers as of December 31, 2023, and up to two additional individuals who would have been most highly compensated executive officers but for the fact that such individual was not serving as an executive officer as of December 31, 2023 are:</w:t>
      </w:r>
    </w:p>
    <w:p>
      <w:pPr>
        <w:spacing w:after="0" w:line="174"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Yaniv Sarig, our Former Chief Executive Officer;</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Joseph A. Risico, our Co-Chief Executive Officer;</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Arturo Rodriguez, our Co-Chief Executive Officer and Chief Financial Officer;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 Zahut, our Chief Technology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to our Named Executive Officers for the fiscal years-ended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Salary/Fees</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7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0"/>
        </w:trPr>
        <w:tc>
          <w:tcPr>
            <w:tcW w:w="220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4"/>
                <w:szCs w:val="14"/>
                <w:color w:val="auto"/>
              </w:rPr>
              <w:t>Yaniv Sarig</w:t>
            </w:r>
            <w:r>
              <w:rPr>
                <w:rFonts w:ascii="Times New Roman" w:cs="Times New Roman" w:eastAsia="Times New Roman" w:hAnsi="Times New Roman"/>
                <w:sz w:val="22"/>
                <w:szCs w:val="22"/>
                <w:color w:val="auto"/>
                <w:vertAlign w:val="superscript"/>
              </w:rPr>
              <w:t>(2)</w:t>
            </w:r>
          </w:p>
        </w:tc>
        <w:tc>
          <w:tcPr>
            <w:tcW w:w="700" w:type="dxa"/>
            <w:vAlign w:val="bottom"/>
            <w:gridSpan w:val="4"/>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34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50,105</w:t>
            </w:r>
          </w:p>
        </w:tc>
        <w:tc>
          <w:tcPr>
            <w:tcW w:w="1100" w:type="dxa"/>
            <w:vAlign w:val="bottom"/>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352,904</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403,009</w:t>
            </w:r>
          </w:p>
        </w:tc>
        <w:tc>
          <w:tcPr>
            <w:tcW w:w="20" w:type="dxa"/>
            <w:vAlign w:val="bottom"/>
          </w:tcPr>
          <w:p>
            <w:pPr>
              <w:spacing w:after="0"/>
              <w:rPr>
                <w:sz w:val="17"/>
                <w:szCs w:val="17"/>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349,999</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1,051,900</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19,227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1,421,126</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A. Risico</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314,403</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834,059</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8,680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1,157,142</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310,000</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977,768</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8,309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1,296,077</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314,393</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834,059</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1,149,311</w:t>
            </w:r>
          </w:p>
        </w:tc>
        <w:tc>
          <w:tcPr>
            <w:tcW w:w="20" w:type="dxa"/>
            <w:vAlign w:val="bottom"/>
          </w:tcPr>
          <w:p>
            <w:pPr>
              <w:spacing w:after="0"/>
              <w:rPr>
                <w:sz w:val="18"/>
                <w:szCs w:val="18"/>
                <w:color w:val="auto"/>
              </w:rPr>
            </w:pPr>
          </w:p>
        </w:tc>
      </w:tr>
      <w:tr>
        <w:trPr>
          <w:trHeight w:val="21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Co-Chief Executive Officer and Chief Financial Officer</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310,000</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977,768</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1,288,647</w:t>
            </w:r>
          </w:p>
        </w:tc>
        <w:tc>
          <w:tcPr>
            <w:tcW w:w="2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Roi Zahut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310,011</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521,897</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7,853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839,761</w:t>
            </w:r>
          </w:p>
        </w:tc>
        <w:tc>
          <w:tcPr>
            <w:tcW w:w="20" w:type="dxa"/>
            <w:vAlign w:val="bottom"/>
          </w:tcPr>
          <w:p>
            <w:pPr>
              <w:spacing w:after="0"/>
              <w:rPr>
                <w:sz w:val="18"/>
                <w:szCs w:val="18"/>
                <w:color w:val="auto"/>
              </w:rPr>
            </w:pPr>
          </w:p>
        </w:tc>
      </w:tr>
      <w:tr>
        <w:trPr>
          <w:trHeight w:val="236"/>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310,000</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977,768</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1,294,723</w:t>
            </w:r>
          </w:p>
        </w:tc>
        <w:tc>
          <w:tcPr>
            <w:tcW w:w="20" w:type="dxa"/>
            <w:vAlign w:val="bottom"/>
          </w:tcPr>
          <w:p>
            <w:pPr>
              <w:spacing w:after="0"/>
              <w:rPr>
                <w:sz w:val="20"/>
                <w:szCs w:val="20"/>
                <w:color w:val="auto"/>
              </w:rPr>
            </w:pPr>
          </w:p>
        </w:tc>
      </w:tr>
    </w:tbl>
    <w:p>
      <w:pPr>
        <w:spacing w:after="0" w:line="177" w:lineRule="exact"/>
        <w:rPr>
          <w:sz w:val="20"/>
          <w:szCs w:val="20"/>
          <w:color w:val="auto"/>
        </w:rPr>
      </w:pPr>
    </w:p>
    <w:p>
      <w:pPr>
        <w:jc w:val="both"/>
        <w:ind w:left="660" w:hanging="652"/>
        <w:spacing w:after="0" w:line="254"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Financial Accounting Standards Board (“FASB”) Accounting Standard Codification (“ASC”) Topic 718. Assumptions used in the calculation of these amounts are included in Note 11 to our Consolidated Financial Statements included in this Annual Report on Form 10-K. These amounts do not reflect the actual economic value that will be realized by the Named Executive Officer upon the vesting of the restricted stock awards or the sale of the common stock underlying such restricted stock awards.</w:t>
      </w:r>
    </w:p>
    <w:p>
      <w:pPr>
        <w:spacing w:after="0" w:line="3" w:lineRule="exact"/>
        <w:rPr>
          <w:rFonts w:ascii="Times New Roman" w:cs="Times New Roman" w:eastAsia="Times New Roman" w:hAnsi="Times New Roman"/>
          <w:sz w:val="18"/>
          <w:szCs w:val="18"/>
          <w:color w:val="auto"/>
        </w:rPr>
      </w:pPr>
    </w:p>
    <w:p>
      <w:pPr>
        <w:ind w:left="660" w:right="460" w:hanging="652"/>
        <w:spacing w:after="0" w:line="273" w:lineRule="auto"/>
        <w:tabs>
          <w:tab w:leader="none" w:pos="6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26, 2023, Yaniv Sarig resigned as Chief Executive Officer of the Company and from the Board, effective as of July 26, 2023. In connection with his departure, Mr. Sarig and the Company entered into a Separation and Release Agreement, effective July 26, 2023 (the “Separation and Release Agreement”). Pursuant to the Separation and Release Agreement, Mr. Sarig was entitled to a lump sum payment of $350,000, which is included in All Other Compensation above. All of Mr. Sarig’s unvested equity awards were forfeited as of July 26,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Yaniv Sarig</w:t>
      </w:r>
      <w:r>
        <w:rPr>
          <w:rFonts w:ascii="Times New Roman" w:cs="Times New Roman" w:eastAsia="Times New Roman" w:hAnsi="Times New Roman"/>
          <w:sz w:val="18"/>
          <w:szCs w:val="18"/>
          <w:color w:val="auto"/>
        </w:rPr>
        <w:t>—We entered into an offer letter with Mr. Sarig, dated April 1, 2015. Pursuant to the offer letter, Mr. Sarig’s base salary was initially $120,000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year. During his employment, Mr. Sarig has received various base salary adjustments and his salary at the beginning of 2021 was $300,000 per year, which was increased to $350,000 per year, effective May 1, 2021. In January 2023, we amended Mr. Sarig’s salary to be received in mostly Common Stock. Per the terms of that amendment, Mr. Sarig is to receive $60,000 in cash and $290,000 in common stock of the Company after adding a 1.15x multiplier which results in 331,104 shares being issued based on the 20-day average closing price of the Company’s common stock on January 18, 2023. The shares were subject to vesting and would have vested in full on January 19, 2024. On July 26, 2023, Yaniv Sarig resigned as Chief Executive Officer of the Company and from the Board, effective as of July 26, 2023. In connection with his departure, Mr. Sarig and the Company entered into a Separation and Release Agreement, effective July 26, 2023 (the “Separation and Release Agreement”). Pursuant to the Separation and Release Agreement, Mr. Sarig is entitled to a lump sum payment of $0.4 million. All of Mr. Sarig’s unvested equity awards were forfeited as of July 26, 2023.</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A. Risico </w:t>
      </w:r>
      <w:r>
        <w:rPr>
          <w:rFonts w:ascii="Times New Roman" w:cs="Times New Roman" w:eastAsia="Times New Roman" w:hAnsi="Times New Roman"/>
          <w:sz w:val="18"/>
          <w:szCs w:val="18"/>
          <w:color w:val="auto"/>
        </w:rPr>
        <w:t>—We entered into an offer letter with Mr. Risico, dated February 8, 2018. Pursuant to the offer letter, Mr. Risico’s base salary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$250,000 per year. During his employment, Mr. Risico has received various base salary adjustments and his salary at the beginning of 2023 was $310,000 per year. Effective September 13, 2023, Mr. Risico received an increase in base salary to $325,000.</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Arturo Rodriguez </w:t>
      </w:r>
      <w:r>
        <w:rPr>
          <w:rFonts w:ascii="Times New Roman" w:cs="Times New Roman" w:eastAsia="Times New Roman" w:hAnsi="Times New Roman"/>
          <w:sz w:val="18"/>
          <w:szCs w:val="18"/>
          <w:color w:val="auto"/>
        </w:rPr>
        <w:t>—We entered into an offer letter with Mr. Rodriguez, dated September 18, 2017. Pursuant to the offer letter, Mr. Rodriguez’s base salary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initially $250,000 per year. During his employment, Mr. Rodriguez has received various base salary adjustments and his salary at the beginning of 2023 was $310,000 per year. Effective September 13, 2023, Mr. Rodriguez received an increase in base salary to $325,00.</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 Zahut </w:t>
      </w:r>
      <w:r>
        <w:rPr>
          <w:rFonts w:ascii="Times New Roman" w:cs="Times New Roman" w:eastAsia="Times New Roman" w:hAnsi="Times New Roman"/>
          <w:sz w:val="18"/>
          <w:szCs w:val="18"/>
          <w:color w:val="auto"/>
        </w:rPr>
        <w:t>— We entered into an offer letter with Mr. Zahut, dated January 14, 2019. Pursuant to the offer letter, Mr. Zahut's base salary was initially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$225,000 per year. During his employment, Mr. Zahut has received various base salary adjustments and his salary at the beginning of 2023 was $310,000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salaries recognize the experience, skills, knowledge, and responsibilities required of all employees, including our Named Executive Officers. Base salaries and base compensation are reviewed annually, typically in connection with our annual performance review process, and adjusted from time to time to realign salaries and compensation with market levels after taking into account individual responsibilities, performance and experience.</w:t>
      </w:r>
    </w:p>
    <w:p>
      <w:pPr>
        <w:sectPr>
          <w:pgSz w:w="11900" w:h="16899" w:orient="portrait"/>
          <w:cols w:equalWidth="0" w:num="1">
            <w:col w:w="11240"/>
          </w:cols>
          <w:pgMar w:left="320" w:top="121" w:right="339" w:bottom="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year-ended December 31, 2023, no bonuses were paid to our Named Executive Officers and none of our Named Executive Officers received any non-equity incentive compensation.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Named Executive Officers and from time to time may grant equity incentive awards to them.</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January 19, 2023 and June 12, 2023, we granted 333,104 and 2,037,781 shares of our common stock subject to restricted stock awards to Mr. Sarig , respectively, pursuant to the Aterian, Inc. 2018 Equity Incentive Plan (the “2018 Plan”), of which 28,135 shares vested immediately. The remaining 2,342,750 unvested shares were forfeited on July 26, 2023 when Mr. Sarig resigned from the Company.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12, 2023, we granted 949,357 shares each of our common stock subject to restricted stock awards to Mr. Risico, Mr. Rodriguez and Mr. Zahut, respectively, pursuant to the Aterian, Inc. 2018 Equity Incentive Plan (the “2018 Plan”), of which 24,920 shares vested immediately for the respective recipients. Of the balance, 1/3rd of the shares of restricted common stock shall vest on June 11, 2024, and 1/12th of shares of restricted common stock shall vest each quarterly period thereafter.</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13, 2023, we granted 945,946 shares each of our common stock subject to restricted stock awards to Mr. Risico and Mr. Rodriguez, respectively, pursuant to the Aterian, Inc. 2018 Equity Incentive Plan (the “2018 Plan”). Of the balance, 1/3rd of the shares of restricted common stock shall vest on September 13, 2024, and 1/12th of shares of restricted common stock shall vest each quarterly period thereafter, as described in more detail in the “Outstanding Equity Awards at December 31, 2023”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Plans and Benefits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provide healthcare coverage to our employees. In addition, we have adopted a 401(k) plan for eligible employees. However, we do not currently match any portion of the contributions made by our employees to the 401(k)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the Named Executive Officers at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87"/>
        </w:trPr>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4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 or</w:t>
            </w:r>
          </w:p>
        </w:tc>
      </w:t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r>
      <w:tr>
        <w:trPr>
          <w:trHeight w:val="216"/>
        </w:trPr>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14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1320" w:type="dxa"/>
            <w:vAlign w:val="bottom"/>
            <w:gridSpan w:val="3"/>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vested </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 xml:space="preserve"> ($)</w:t>
            </w:r>
          </w:p>
        </w:tc>
      </w:tr>
      <w:tr>
        <w:trPr>
          <w:trHeight w:val="216"/>
        </w:trPr>
        <w:tc>
          <w:tcPr>
            <w:tcW w:w="1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Yaniv Sarig </w:t>
            </w:r>
            <w:r>
              <w:rPr>
                <w:rFonts w:ascii="Times New Roman" w:cs="Times New Roman" w:eastAsia="Times New Roman" w:hAnsi="Times New Roman"/>
                <w:sz w:val="25"/>
                <w:szCs w:val="25"/>
                <w:color w:val="auto"/>
                <w:vertAlign w:val="superscript"/>
              </w:rPr>
              <w:t>(2)</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6/30/2021</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1/19/2023</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A. Risico</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12/28/2018</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26,937</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12/28/2028</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6/30/2021</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139,736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48,908</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924,437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323,553</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9/13/2023</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945,946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331,081</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9/15/2018</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22,742</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9/15/2028</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12/28/2018</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102,564</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9.72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12/28/2028</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6/30/2021</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139,736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48,908</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924,437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323,553</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9/13/2023</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945,946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331,081</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Roi Zahut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6/12/2019</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21,165</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6/12/2029</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6/30/2021</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5,600</w:t>
            </w:r>
          </w:p>
        </w:tc>
      </w:tr>
      <w:tr>
        <w:trPr>
          <w:trHeight w:val="216"/>
        </w:trPr>
        <w:tc>
          <w:tcPr>
            <w:tcW w:w="17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5/27/2022</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139,736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48,908</w:t>
            </w:r>
          </w:p>
        </w:tc>
      </w:tr>
      <w:tr>
        <w:trPr>
          <w:trHeight w:val="216"/>
        </w:trPr>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6/12/2023</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924,437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323,553</w:t>
            </w:r>
          </w:p>
        </w:tc>
      </w:tr>
    </w:tbl>
    <w:p>
      <w:pPr>
        <w:spacing w:after="0" w:line="198" w:lineRule="exact"/>
        <w:rPr>
          <w:sz w:val="20"/>
          <w:szCs w:val="20"/>
          <w:color w:val="auto"/>
        </w:rPr>
      </w:pPr>
    </w:p>
    <w:p>
      <w:pPr>
        <w:jc w:val="both"/>
        <w:ind w:left="660" w:hanging="652"/>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 value of the unvested shares underlying the restricted stock awards as of December 31, 2023, based on the closing price of our common stock on such date, as reported on the Nasdaq Capital Market, which was $0.35 per share. These amounts do not reflect the actual economic value that will be realized by the Named Executive Officer upon the vesting of the restricted stock awards or the sale of the common stock underlying such restricted stock awards.</w:t>
      </w:r>
    </w:p>
    <w:p>
      <w:pPr>
        <w:spacing w:after="0" w:line="2" w:lineRule="exact"/>
        <w:rPr>
          <w:rFonts w:ascii="Times New Roman" w:cs="Times New Roman" w:eastAsia="Times New Roman" w:hAnsi="Times New Roman"/>
          <w:sz w:val="18"/>
          <w:szCs w:val="18"/>
          <w:color w:val="auto"/>
        </w:rPr>
      </w:pPr>
    </w:p>
    <w:p>
      <w:pPr>
        <w:ind w:left="660" w:right="200" w:hanging="652"/>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26, 2023, Yaniv Sarig resigned as Chief Executive Officer of the Company and from the Board, effective as of July 26, 2023. All of Mr. Sarig’s unvested equity awards were forfeited as of July 26,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1, 2021, our compensation committee of the Board (the “Compensation Committee”) approved a formal non-employee director compensation policy. Pursuant to such policy, our non-employee directors were paid the following amounts for the year-ended December 31, 2023 (prorated for service for a partial year), which, at each director’s election was payable one-third in cash and two-thirds in shares of restricted common stock: (i) $150,000 per year to each director; (ii) $25,000 per year to the chairperson of the Board; (iii) $15,000 per year to the chairperson of the Audit Committee; (iv) $10,000 per year to the chairperson of each of the Compensation Committee and the nominating and corporate governance committee of the Board (the “Nominating and Corporate Governance Committee”); (v) $7,500 per year to other members of the Audit Committee; and (vi) $5,000 to other members of each of the Compensation Committee or the Nominating and Corporate Governance Committee. Our Nominating and Corporate Governance Committee was disbanded as of January 1, 2024 with its responsibilities being assumed by the full Board and the independent directors of the Board as appropriate.</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and effective, July 26, 2023, in connection with the appointment of Messrs. Risico and Rodriguez as Co-Chief Executive Officers, Mr. Kurtz and the Company entered into an Advisor Agreement, effective July 26, 2023 (the “Advisor Agreement”), pursuant to which Mr. Kurtz acts as an advisor to senior management of the Company. The initial term of the Advisor Agreement was six months and, subject to the agreement of the Company and Mr. Kurtz the Advisor Agreement was extended for an additional six month period. Mr. Kurtz is paid $10,000 per month for his services pursuant to the Advisor Agreement.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concerning compensation paid or accrued to the members of our Board for services rendered to us for the fiscal year-ended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4"/>
        </w:trPr>
        <w:tc>
          <w:tcPr>
            <w:tcW w:w="460" w:type="dxa"/>
            <w:vAlign w:val="bottom"/>
          </w:tcPr>
          <w:p>
            <w:pPr>
              <w:spacing w:after="0" w:line="17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180" w:type="dxa"/>
            <w:vAlign w:val="bottom"/>
            <w:tcBorders>
              <w:bottom w:val="single" w:sz="8" w:color="auto"/>
            </w:tcBorders>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auto"/>
                <w:w w:val="91"/>
              </w:rPr>
              <w:t>(1)</w:t>
            </w: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78"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900" w:type="dxa"/>
            <w:vAlign w:val="bottom"/>
          </w:tcPr>
          <w:p>
            <w:pPr>
              <w:jc w:val="center"/>
              <w:ind w:left="150"/>
              <w:spacing w:after="0" w:line="17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0"/>
              <w:spacing w:after="0" w:line="17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(3)</w:t>
            </w:r>
          </w:p>
        </w:tc>
        <w:tc>
          <w:tcPr>
            <w:tcW w:w="220" w:type="dxa"/>
            <w:vAlign w:val="bottom"/>
          </w:tcPr>
          <w:p>
            <w:pPr>
              <w:spacing w:after="0"/>
              <w:rPr>
                <w:sz w:val="16"/>
                <w:szCs w:val="16"/>
                <w:color w:val="auto"/>
              </w:rPr>
            </w:pPr>
          </w:p>
        </w:tc>
        <w:tc>
          <w:tcPr>
            <w:tcW w:w="1100" w:type="dxa"/>
            <w:vAlign w:val="bottom"/>
          </w:tcPr>
          <w:p>
            <w:pPr>
              <w:jc w:val="right"/>
              <w:ind w:right="410"/>
              <w:spacing w:after="0" w:line="178"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ind w:left="300"/>
              <w:spacing w:after="0" w:line="178"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6"/>
                <w:szCs w:val="16"/>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4"/>
        </w:trPr>
        <w:tc>
          <w:tcPr>
            <w:tcW w:w="462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Bari A. Harlam</w:t>
            </w:r>
          </w:p>
        </w:tc>
        <w:tc>
          <w:tcPr>
            <w:tcW w:w="1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line="183" w:lineRule="exact"/>
              <w:rPr>
                <w:sz w:val="20"/>
                <w:szCs w:val="20"/>
                <w:color w:val="auto"/>
              </w:rPr>
            </w:pPr>
            <w:r>
              <w:rPr>
                <w:rFonts w:ascii="Times New Roman" w:cs="Times New Roman" w:eastAsia="Times New Roman" w:hAnsi="Times New Roman"/>
                <w:sz w:val="18"/>
                <w:szCs w:val="18"/>
                <w:color w:val="auto"/>
              </w:rPr>
              <w:t>65,000</w:t>
            </w:r>
          </w:p>
        </w:tc>
        <w:tc>
          <w:tcPr>
            <w:tcW w:w="9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6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8"/>
                <w:szCs w:val="18"/>
                <w:color w:val="auto"/>
              </w:rPr>
              <w:t>89,189</w:t>
            </w:r>
          </w:p>
        </w:tc>
        <w:tc>
          <w:tcPr>
            <w:tcW w:w="1320" w:type="dxa"/>
            <w:vAlign w:val="bottom"/>
            <w:gridSpan w:val="2"/>
            <w:shd w:val="clear" w:color="auto" w:fill="CCEEFF"/>
          </w:tcPr>
          <w:p>
            <w:pPr>
              <w:jc w:val="right"/>
              <w:ind w:right="220"/>
              <w:spacing w:after="0" w:line="18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300"/>
              <w:spacing w:after="0" w:line="183" w:lineRule="exact"/>
              <w:rPr>
                <w:sz w:val="20"/>
                <w:szCs w:val="20"/>
                <w:color w:val="auto"/>
              </w:rPr>
            </w:pPr>
            <w:r>
              <w:rPr>
                <w:rFonts w:ascii="Times New Roman" w:cs="Times New Roman" w:eastAsia="Times New Roman" w:hAnsi="Times New Roman"/>
                <w:sz w:val="18"/>
                <w:szCs w:val="18"/>
                <w:color w:val="auto"/>
              </w:rPr>
              <w:t>154,189</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70,000</w:t>
            </w:r>
          </w:p>
        </w:tc>
        <w:tc>
          <w:tcPr>
            <w:tcW w:w="9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159,189</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62,500</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151,689</w:t>
            </w: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H. Kurtz</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144,435</w:t>
            </w:r>
          </w:p>
        </w:tc>
        <w:tc>
          <w:tcPr>
            <w:tcW w:w="9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89,189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233,624</w:t>
            </w: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Williams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72,500</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161,689</w:t>
            </w:r>
          </w:p>
        </w:tc>
      </w:tr>
    </w:tbl>
    <w:p>
      <w:pPr>
        <w:spacing w:after="0" w:line="198" w:lineRule="exact"/>
        <w:rPr>
          <w:sz w:val="20"/>
          <w:szCs w:val="20"/>
          <w:color w:val="auto"/>
        </w:rPr>
      </w:pPr>
    </w:p>
    <w:p>
      <w:pPr>
        <w:jc w:val="both"/>
        <w:ind w:left="660" w:hanging="652"/>
        <w:spacing w:after="0" w:line="289"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Yaniv Sarig, our Former President and Chief Executive Officer and one of our Named Executive Officers, is not included in this table as he was an employee of ours and therefore receives no compensation for his service as a director. Joseph A. Risico, Co-Chief Executive Officer and Arturo Rodriguez, Co-Chief Executive Officer and Chief Financial Officer are current employees and therefore receive no compensation for service as</w:t>
      </w:r>
    </w:p>
    <w:p>
      <w:pPr>
        <w:sectPr>
          <w:pgSz w:w="11900" w:h="16838" w:orient="portrait"/>
          <w:cols w:equalWidth="0" w:num="1">
            <w:col w:w="11240"/>
          </w:cols>
          <w:pgMar w:left="320" w:top="121" w:right="339" w:bottom="0" w:gutter="0" w:footer="0" w:header="0"/>
        </w:sectPr>
      </w:pPr>
    </w:p>
    <w:bookmarkStart w:id="87" w:name="page88"/>
    <w:bookmarkEnd w:id="87"/>
    <w:p>
      <w:pPr>
        <w:ind w:left="660"/>
        <w:spacing w:after="0" w:line="282" w:lineRule="auto"/>
        <w:rPr>
          <w:sz w:val="20"/>
          <w:szCs w:val="20"/>
          <w:color w:val="auto"/>
        </w:rPr>
      </w:pPr>
      <w:r>
        <w:rPr>
          <w:rFonts w:ascii="Times New Roman" w:cs="Times New Roman" w:eastAsia="Times New Roman" w:hAnsi="Times New Roman"/>
          <w:sz w:val="18"/>
          <w:szCs w:val="18"/>
          <w:color w:val="auto"/>
        </w:rPr>
        <w:t>directors. Mr. Sarig’s, Mr. Risico’s and Mr. Rodriguez’s compensation is included in the section entitled “Summary Compensation Table” of this Annual Report on Form 10-K above.</w:t>
      </w:r>
    </w:p>
    <w:p>
      <w:pPr>
        <w:spacing w:after="0" w:line="162" w:lineRule="exact"/>
        <w:rPr>
          <w:sz w:val="20"/>
          <w:szCs w:val="20"/>
          <w:color w:val="auto"/>
        </w:rPr>
      </w:pPr>
    </w:p>
    <w:p>
      <w:pPr>
        <w:jc w:val="both"/>
        <w:ind w:left="660" w:hanging="652"/>
        <w:spacing w:after="0" w:line="258"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option awards computed in accordance with FASB ASC Topic 718. Assumptions used in the calculation of these amounts are included in Note 11 to our Consolidated Financial Statements included in this Annual Report on Form 10-K. These amounts do not reflect the actual economic value that will be realized by the director upon the vesting of the stock options, the exercise of the stock options or the sale of the common stock underlying such stock options. As of December 31, 2023, none of our non-employee directors held options to purchase shares of common stock.</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restricted stock awards computed in accordance with FASB ASC Topic 718. Assumptions used in the calculation of these amounts are included in Note 11 to our Consolidated Financial Statements included in this Annual Report on Form 10-K. These amounts do not reflect the actual economic value that will be realized by the director upon the vesting of the restricted stock awards or the sale of the common stock underlying such restricted stock awards. As of December 31, 2023, our non-employee directors held the following number of shares of restricted common stock: Ms. Harlam 202,702 shares; Ms. Lattmann 223,280; Ms. Liebel 223,280; Mr. Kurtz; 202,702 and Ms. Williams 236,998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three directors, each of whom is a non-employee director: Ms. Harlam, Mr. Kurtz and Ms. Williams with Ms. Harlam serving as the Chairperson of the Compensation Committee. During 2023, none of the foregoing were an officer or employee of ours, was formerly an officer of ours or had any relationship requiring disclosure by us under Item 404 of Regulation S-K. No interlocking relationship as described in Item 407(e)(4) of Regulation S-K exists between any of our executive officers or Compensation Committee members, on the one hand, and the executive officers or compensation committee members of any other entity, on the other hand, nor has any such interlocking relationship existed in the past.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additional information as of December 31, 2023 with respect to the shares of common stock that may be issued upon the exercise of options and other rights under our existing equity compensation plans and arrangements in effect as of December 31, 2023. The information includes the number of shares covered by, and the weighted average exercise price of, outstanding options and the number of shares remaining available for future grant, excluding the shares to be issued upon exercise of outstanding options.</w:t>
      </w:r>
    </w:p>
    <w:p>
      <w:pPr>
        <w:sectPr>
          <w:pgSz w:w="11900" w:h="16900"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holders(5)</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1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220" w:type="dxa"/>
            <w:vAlign w:val="bottom"/>
          </w:tcPr>
          <w:p>
            <w:pPr>
              <w:spacing w:after="0"/>
              <w:rPr>
                <w:sz w:val="12"/>
                <w:szCs w:val="12"/>
                <w:color w:val="auto"/>
              </w:rPr>
            </w:pPr>
          </w:p>
        </w:tc>
        <w:tc>
          <w:tcPr>
            <w:tcW w:w="15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w:t>
            </w:r>
          </w:p>
        </w:tc>
        <w:tc>
          <w:tcPr>
            <w:tcW w:w="1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rights(b)</w:t>
            </w:r>
          </w:p>
        </w:tc>
        <w:tc>
          <w:tcPr>
            <w:tcW w:w="14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55"/>
        </w:trPr>
        <w:tc>
          <w:tcPr>
            <w:tcW w:w="15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warrants and rights(a)</w:t>
            </w:r>
          </w:p>
        </w:tc>
        <w:tc>
          <w:tcPr>
            <w:tcW w:w="220" w:type="dxa"/>
            <w:vAlign w:val="bottom"/>
          </w:tcPr>
          <w:p>
            <w:pPr>
              <w:spacing w:after="0"/>
              <w:rPr>
                <w:sz w:val="13"/>
                <w:szCs w:val="13"/>
                <w:color w:val="auto"/>
              </w:rPr>
            </w:pPr>
          </w:p>
        </w:tc>
        <w:tc>
          <w:tcPr>
            <w:tcW w:w="1560" w:type="dxa"/>
            <w:vAlign w:val="bottom"/>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1480" w:type="dxa"/>
            <w:vAlign w:val="bottom"/>
            <w:gridSpan w:val="2"/>
          </w:tcPr>
          <w:p>
            <w:pPr>
              <w:jc w:val="center"/>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column(a)(c)(2)</w:t>
            </w: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165,110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1,283,058</w:t>
            </w:r>
          </w:p>
        </w:tc>
        <w:tc>
          <w:tcPr>
            <w:tcW w:w="0" w:type="dxa"/>
            <w:vAlign w:val="bottom"/>
          </w:tcPr>
          <w:p>
            <w:pPr>
              <w:spacing w:after="0"/>
              <w:rPr>
                <w:sz w:val="1"/>
                <w:szCs w:val="1"/>
                <w:color w:val="auto"/>
              </w:rPr>
            </w:pPr>
          </w:p>
        </w:tc>
      </w:tr>
      <w:tr>
        <w:trPr>
          <w:trHeight w:val="234"/>
        </w:trPr>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6.28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2,304,353</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196,304</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9.21</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900" w:orient="portrait"/>
          <w:cols w:equalWidth="0" w:num="2">
            <w:col w:w="5600" w:space="720"/>
            <w:col w:w="4920"/>
          </w:cols>
          <w:pgMar w:left="320" w:top="121" w:right="339" w:bottom="0" w:gutter="0" w:footer="0" w:header="0"/>
          <w:type w:val="continuous"/>
        </w:sect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weighted average exercise price of outstanding options as of December 31, 2023.</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entirely of shares of common stock that remain available for future issuance under the 2018 Plan as of December 31, 2023.</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2023 under the 2018 Plan.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available for issuance under the 2018 Plan will automatically increase on January 1st of each year, for a period of not more than nine years, beginning January 1, 2020 and ending on (and including) January 1, 2028 by the lesser of (i) 15% of the shares deemed outstanding as of the preceding December 31, minus the number of shares in the share reserve (which for this purpose includes shares issued and issuable pursuant to the Aterian Group, Inc. Amended and Restated 2014 Equity Incentive Plan (the “2014 Plan”) as of immediately prior to the increase, or (ii) such number of shares as determined by our Board.</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outstanding as of December 31, 2023 under the 2014 Plan and securities remaining available for future issuance for the 2014 Plan and the Inducement Equity Incentive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2023, with respect to the beneficial ownership of shares of our common stock by:</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be the beneficial owner of more than five percent of our common stock.</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a review of Section 16 filings and/or Schedules 13D and 13G, if any, filed with the SEC. Other than as set forth below, we are not aware of any beneficial owner of more than five percent of our common stock as of March 14, 2023.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We have deemed shares of our common stock subject to warrants and options that are currently exercisable or exercisable within 60 days of March 14, 2023 to be outstanding and to be beneficially owned by the person holding the option for the purpose of computing the percentage ownership of that person but have not treated them as outstanding for the purpose of computing the percentage ownership of any other person. Percentage ownership of our common stock is based on 90,097,372 shares of our common stock outstanding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aware of any arrangements, including by pledge by any person of securities of the Company, of any operation which may at a subsequent date result in a change in control of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Aterian, Inc., 350 Springfield Avenue, Suite 200, Summit, NJ 07901.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00" w:type="dxa"/>
            <w:vAlign w:val="bottom"/>
            <w:vMerge w:val="restart"/>
          </w:tcPr>
          <w:p>
            <w:pPr>
              <w:spacing w:after="0"/>
              <w:rPr>
                <w:sz w:val="20"/>
                <w:szCs w:val="20"/>
                <w:color w:val="auto"/>
              </w:rPr>
            </w:pPr>
          </w:p>
        </w:tc>
        <w:tc>
          <w:tcPr>
            <w:tcW w:w="35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Beneficial Ownership of Common Stock</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14,080,303</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520 Madison Avenue, 7th Floor, New York, NY 10022</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Arturo Rodriguez</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2,418,545</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Risico</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2,403,977</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Roi Zahut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1,345,096</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type w:val="continuous"/>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Kurtz</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270,270</w:t>
            </w:r>
          </w:p>
        </w:tc>
        <w:tc>
          <w:tcPr>
            <w:tcW w:w="10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5"/>
              </w:rPr>
              <w:t>(6)</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Bari A. Harlam</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306,395</w:t>
            </w:r>
          </w:p>
        </w:tc>
        <w:tc>
          <w:tcPr>
            <w:tcW w:w="102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5"/>
              </w:rPr>
              <w:t>(7)</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Lattmann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374,193</w:t>
            </w:r>
          </w:p>
        </w:tc>
        <w:tc>
          <w:tcPr>
            <w:tcW w:w="102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5"/>
              </w:rPr>
              <w:t>(8)</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Williams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396,670</w:t>
            </w:r>
          </w:p>
        </w:tc>
        <w:tc>
          <w:tcPr>
            <w:tcW w:w="102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5"/>
              </w:rPr>
              <w:t>(9)</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Liebel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299,193</w:t>
            </w:r>
          </w:p>
        </w:tc>
        <w:tc>
          <w:tcPr>
            <w:tcW w:w="10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(10)</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8,826,728</w:t>
            </w:r>
          </w:p>
        </w:tc>
        <w:tc>
          <w:tcPr>
            <w:tcW w:w="1020" w:type="dxa"/>
            <w:vAlign w:val="bottom"/>
            <w:shd w:val="clear" w:color="auto" w:fill="CCEEFF"/>
          </w:tcPr>
          <w:p>
            <w:pPr>
              <w:jc w:val="center"/>
              <w:ind w:right="510"/>
              <w:spacing w:after="0"/>
              <w:rPr>
                <w:sz w:val="20"/>
                <w:szCs w:val="20"/>
                <w:color w:val="auto"/>
              </w:rPr>
            </w:pPr>
            <w:r>
              <w:rPr>
                <w:rFonts w:ascii="Times New Roman" w:cs="Times New Roman" w:eastAsia="Times New Roman" w:hAnsi="Times New Roman"/>
                <w:sz w:val="18"/>
                <w:szCs w:val="18"/>
                <w:color w:val="auto"/>
                <w:w w:val="99"/>
              </w:rPr>
              <w:t>(11)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Denotes less than 1%.</w:t>
            </w:r>
          </w:p>
        </w:tc>
        <w:tc>
          <w:tcPr>
            <w:tcW w:w="2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table, percentage ownership is calculated by dividing the number of shares beneficially owned by such person or group by the sum of the number of shares of common stock outstanding as of March 14, 2024, plus the number of shares of common stock that such person or group had the right to acquire within 60 days after March 14, 2024.</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14,080,303 warrants that are exercisable within 60 days after March 15, 2024. The securities are directly held by Armistice Capital Master Fund Ltd. (the “Master Fund”), a Cayman Islands exempted company, and may be deemed to be indirectly beneficially owned by (i) Armistice Capital, LLC (“Armistice”), as the investment manager of the Master Fund; and (ii) Steven Boyd, as the Managing Member of Armistice Capital. Armistice and Steven Boyd disclaim beneficial ownership of the reported securities except to the extent of their respective pecuniary interest therein. The address of Armistice Capital Master Fund Ltd. is c/o Armistice Capital, LLC, 510 Madison Avenue, 7th Floor, New York, NY 10022.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Rodriguez’s holdings consist of (i) 284,123 shares of common stock held directly, (ii) 125,306 shares of common stock issuable pursuant to stock options that are exercisable within 60 days after March 15, 2024, (iii) 1,994,831 shares of restricted common stock that are subject to vesting, and (iv) 14,285 of warrants that are exercisable within 60 days after March 15, 2024. The shares of restricted common stock have voting rights irrespective of any vesting requirements.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Risico's holdings consist of (i) 334,590 shares of common stock held directly, (ii) 26,937 shares of common stock issuable pursuant to stock options that are exercisable within 60 days after March 15, 2024, (iii) 1,994,831 shares of restricted common stock that are subject to vesting, and</w:t>
      </w:r>
    </w:p>
    <w:p>
      <w:pPr>
        <w:ind w:left="660" w:right="20" w:hanging="4"/>
        <w:spacing w:after="0" w:line="260" w:lineRule="auto"/>
        <w:tabs>
          <w:tab w:leader="none" w:pos="99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47,619 of warrants that are exercisable within 60 days after March 15, 2024. The shares of restricted common stock have voting rights irrespective of any vesting requirements.</w:t>
      </w:r>
    </w:p>
    <w:p>
      <w:pPr>
        <w:spacing w:after="0" w:line="18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Zahut’s holdings consist of (i) 267,903 shares of common stock held directly, (ii) 21,165 shares of common stock issuable pursuant to stock options that are exercisable within 60 days after March 15, 2024 (iii) 1,048,885 shares of restricted common stock that are subject to vesting and</w:t>
      </w:r>
    </w:p>
    <w:p>
      <w:pPr>
        <w:ind w:left="660" w:hanging="4"/>
        <w:spacing w:after="0" w:line="260" w:lineRule="auto"/>
        <w:tabs>
          <w:tab w:leader="none" w:pos="9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 of warrants that are exercisable within 60 days after March 15, 2024. The shares of restricted common stock have voting rights irrespective of any vesting requirements.</w:t>
      </w:r>
    </w:p>
    <w:p>
      <w:pPr>
        <w:spacing w:after="0" w:line="18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135,135 shares of common stock held directly, and (ii) 135,135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171,260 shares of common stock held directly, and (ii) 135,135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218,480 shares of common stock held directly, and (ii) 155,713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227,239 shares of common stock held directly, and (ii) 169,431 shares of restricted common stock that are subject to vesting. The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143,480 of shares of common stock held directly, and (ii) 155,713 shares of restricted common stock have voting rights irrespective of any vesting requirements.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shares included under “Named Executive Officers and Directors”, and the following held by one of our other executive officers: (i) 71,144 shares of common stock held directly, and (ii) 941,245 shares of restricted common stock that are subject to vesting. The shares of restricted common stock have voting rights irrespective of any vesting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director and executive officer compensation arrangements discussed in Part II, Item 8 of this Annual Report on Form 10-K, there have not been any transactions since January 1, 2023 that need to be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Party Transactions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effective as of June 14, 2019, administered by the Audit Committee. This policy applies, with certain exceptions set forth in Item 404 of Regulation S-K under the Securities Act of 1933, as amended (the “Securities Act”), to any transaction or series of transactions in which the Company is a participant, the amount involved exceeds $120,000, and a related person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 related person is any individual who is, or who has been at any time since the beginning of our last fiscal year, one of our directors or executive officers, or a nominee to become one of our directors, any person known to be the beneficial owner of more than 5% of any class of our voting securities or any immediate family member of any of the foregoing persons. Additionally, any firm, corporation or other entity by which any of the foregoing persons is employed or in which such person is a general partner or principal, or in a similar position, or in which such person has a 10% or greater beneficial ownership interest, will also be deemed to be a related person. Transactions involving compensation for services provided to us as an employee, consultant or director are not considered related-person transactions under this policy. As provided by our audit committee charter, our Audit Committee is responsible for reviewing and approving in advance any related party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requiring review are referred to the Audit Committee for approval, ratification or other 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Nasdaq Rules, a majority of the members of our Board must satisfy the Nasdaq criteria for “independence.” No director qualifies as independent under the Nasdaq Rules unless our Board affirmatively determines that the director does not have a relationship with us that would impair independence (directly or as a partner, stockholder or officer of an organization that has a relationship with us). Our Board has determined that Mses. Harlam, Lattmann, Liebel and Williams and Mr. Kurtz are independent directors as defined under the Nasdaq Rules. Messrs. Risico and Rodriguez are not independent under the Nasdaq Rules as a result of their positions as our Co-Chief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fiscal years-ended December 31, 2022 and December 31, 2023 by Deloitte &amp; Touche LLP, our independent registered public accounting firm for such periods. All fees described below were approved by the Audit Committee.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r>
      <w:tr>
        <w:trPr>
          <w:trHeight w:val="210"/>
        </w:trPr>
        <w:tc>
          <w:tcPr>
            <w:tcW w:w="80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1,524,207</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979,611</w:t>
            </w:r>
          </w:p>
        </w:tc>
      </w:tr>
      <w:tr>
        <w:trPr>
          <w:trHeight w:val="216"/>
        </w:trPr>
        <w:tc>
          <w:tcPr>
            <w:tcW w:w="8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Tax Fees </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65,500</w:t>
            </w:r>
          </w:p>
        </w:tc>
      </w:tr>
      <w:tr>
        <w:trPr>
          <w:trHeight w:val="216"/>
        </w:trPr>
        <w:tc>
          <w:tcPr>
            <w:tcW w:w="80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5"/>
                <w:szCs w:val="25"/>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1,617,971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1,045,111</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1"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actual fees for professional services performed by Deloitte &amp; Touche LLP for the audit of our 2022 and 2023 annual financial statements and the review of quarterly financial statements for 2022 and 2023. Audit fees also include $256,171 of 2022 fees for professional services performed by Deloitte &amp; Touche LLP for reviews of registration statements and issuances of consents, comfort letters and services that are normally provided in connection with regulatory filings or engagements. No such fees were incurred during 2023.</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tax compliance and consulting.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fees for an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Pre-Approval Policies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non-audit services rendered by our independent registered public accounting firm, Deloitte &amp; Touche LLP. The policy generally allows for pre-approval of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 By the adoption of this policy, the Audit Committee has delegated the authority to pre-approve services to the Chairperson of the Audit Committee, subject to certain limitations.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by Deloitte &amp; Touche LLP is compatible with maintaining the independent registered public accounting firm’s independence.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58"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are included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not required or the information required is included in the Company’s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have been filed or are being filed herewith and are numbered in accordance with Item 601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3"/>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Asset Purchase Agreement, dated December 1, 2021, by and</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among (i) Aterian, Inc. and Truweo, LLC, as Purchaser, (ii) 9830</w:t>
              </w:r>
            </w:hyperlink>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Macarthur LLC, Reliance Equities Group, LLC and ZN Direct</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LLC, as Sellers and (iii) Jelena Puzovic, as Founder.</w:t>
              </w:r>
            </w:hyperlink>
          </w:p>
        </w:tc>
        <w:tc>
          <w:tcPr>
            <w:tcW w:w="1060" w:type="dxa"/>
            <w:vAlign w:val="bottom"/>
            <w:gridSpan w:val="1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12/1/2021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4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Asset Purchase Agreement, dated February 2, 2022, by and</w:t>
              </w:r>
            </w:hyperlink>
          </w:p>
        </w:tc>
        <w:tc>
          <w:tcPr>
            <w:tcW w:w="560" w:type="dxa"/>
            <w:vAlign w:val="bottom"/>
            <w:gridSpan w:val="1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among (i) Aterian, Inc. and Truweo, LLC, as Purchaser, (ii)</w:t>
              </w:r>
            </w:hyperlink>
          </w:p>
        </w:tc>
        <w:tc>
          <w:tcPr>
            <w:tcW w:w="54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Healing Solutions, LLC, (iii) Jason R. Hope, and (iv) for the</w:t>
              </w:r>
            </w:hyperlink>
          </w:p>
        </w:tc>
        <w:tc>
          <w:tcPr>
            <w:tcW w:w="48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purposes of Section 5.11 and Article VII, Super Transcontinental</w:t>
              </w:r>
            </w:hyperlink>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Holdings LLC.</w:t>
              </w:r>
            </w:hyperlink>
          </w:p>
        </w:tc>
        <w:tc>
          <w:tcPr>
            <w:tcW w:w="3740" w:type="dxa"/>
            <w:vAlign w:val="bottom"/>
            <w:gridSpan w:val="25"/>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2/3/2021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Asset Purchase Agreement, dated May 5, 2022, by and among (i)</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the Company and Truweo, LLC, as Purchaser, (ii) Squatty Potty,</w:t>
              </w:r>
            </w:hyperlink>
          </w:p>
        </w:tc>
        <w:tc>
          <w:tcPr>
            <w:tcW w:w="4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LLC, and (iii) for the purposes of Section 5.7, Section 5.8,</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Section 5.11, Section 5.13 and Article VII, Edwards SP</w:t>
              </w:r>
            </w:hyperlink>
          </w:p>
        </w:tc>
        <w:tc>
          <w:tcPr>
            <w:tcW w:w="200" w:type="dxa"/>
            <w:vAlign w:val="bottom"/>
            <w:tcBorders>
              <w:top w:val="single" w:sz="8" w:color="0000EE"/>
            </w:tcBorders>
            <w:gridSpan w:val="2"/>
          </w:tcPr>
          <w:p>
            <w:pPr>
              <w:spacing w:after="0"/>
              <w:rPr>
                <w:sz w:val="17"/>
                <w:szCs w:val="17"/>
                <w:color w:val="auto"/>
              </w:rPr>
            </w:pPr>
          </w:p>
        </w:tc>
        <w:tc>
          <w:tcPr>
            <w:tcW w:w="6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Holdings, LLC, Team Lindsey, LLC, SLEKT Investments, LLC,</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Sachs Capital Fund II, LLC, Sachs Capital-Squatty, LLC and</w:t>
              </w:r>
            </w:hyperlink>
          </w:p>
        </w:tc>
        <w:tc>
          <w:tcPr>
            <w:tcW w:w="18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Bevel Acquisition II, LLC.</w:t>
              </w:r>
            </w:hyperlink>
          </w:p>
        </w:tc>
        <w:tc>
          <w:tcPr>
            <w:tcW w:w="440" w:type="dxa"/>
            <w:vAlign w:val="bottom"/>
            <w:gridSpan w:val="8"/>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5/11/2022</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47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Stock Purchase Agreement, dated May 5, 2022, by and among (i)</w:t>
              </w:r>
            </w:hyperlink>
          </w:p>
        </w:tc>
        <w:tc>
          <w:tcPr>
            <w:tcW w:w="1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the Company and Truweo, LLC, as Purchaser, (ii) Photo Paper</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Direct Ltd, (iii) Josef Eitan, and (iv) Ran Nir.</w:t>
              </w:r>
            </w:hyperlink>
          </w:p>
        </w:tc>
        <w:tc>
          <w:tcPr>
            <w:tcW w:w="1580" w:type="dxa"/>
            <w:vAlign w:val="bottom"/>
            <w:gridSpan w:val="19"/>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5/11/2022</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43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Correction of Certificate of Amendment to the</w:t>
              </w:r>
            </w:hyperlink>
          </w:p>
        </w:tc>
        <w:tc>
          <w:tcPr>
            <w:tcW w:w="480" w:type="dxa"/>
            <w:vAlign w:val="bottom"/>
            <w:gridSpan w:val="9"/>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Amended and Restated Certificate of Incorporation of Aterian,</w:t>
              </w:r>
            </w:hyperlink>
          </w:p>
        </w:tc>
        <w:tc>
          <w:tcPr>
            <w:tcW w:w="3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2">
              <w:r>
                <w:rPr>
                  <w:rFonts w:ascii="Times New Roman" w:cs="Times New Roman" w:eastAsia="Times New Roman" w:hAnsi="Times New Roman"/>
                  <w:sz w:val="18"/>
                  <w:szCs w:val="18"/>
                  <w:color w:val="0000EE"/>
                  <w:w w:val="94"/>
                </w:rPr>
                <w:t>Inc.</w:t>
              </w:r>
            </w:hyperlink>
          </w:p>
        </w:tc>
        <w:tc>
          <w:tcPr>
            <w:tcW w:w="4560" w:type="dxa"/>
            <w:vAlign w:val="bottom"/>
            <w:gridSpan w:val="2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4/30/2022</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Amended and Restated Certificate of Incorporation of Aterian,</w:t>
              </w:r>
            </w:hyperlink>
          </w:p>
        </w:tc>
        <w:tc>
          <w:tcPr>
            <w:tcW w:w="32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3">
              <w:r>
                <w:rPr>
                  <w:rFonts w:ascii="Times New Roman" w:cs="Times New Roman" w:eastAsia="Times New Roman" w:hAnsi="Times New Roman"/>
                  <w:sz w:val="18"/>
                  <w:szCs w:val="18"/>
                  <w:color w:val="0000EE"/>
                  <w:w w:val="94"/>
                </w:rPr>
                <w:t>Inc.</w:t>
              </w:r>
            </w:hyperlink>
          </w:p>
        </w:tc>
        <w:tc>
          <w:tcPr>
            <w:tcW w:w="4560" w:type="dxa"/>
            <w:vAlign w:val="bottom"/>
            <w:gridSpan w:val="2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4/30/2022</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Bylaws of Aterian, Inc.</w:t>
              </w:r>
            </w:hyperlink>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6/1/2022</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Common Stock Certificate.</w:t>
              </w:r>
            </w:hyperlink>
          </w:p>
        </w:tc>
        <w:tc>
          <w:tcPr>
            <w:tcW w:w="780" w:type="dxa"/>
            <w:vAlign w:val="bottom"/>
            <w:tcBorders>
              <w:top w:val="single" w:sz="8" w:color="0000EE"/>
            </w:tcBorders>
            <w:gridSpan w:val="2"/>
          </w:tcPr>
          <w:p>
            <w:pPr>
              <w:spacing w:after="0"/>
              <w:rPr>
                <w:sz w:val="24"/>
                <w:szCs w:val="24"/>
                <w:color w:val="auto"/>
              </w:rPr>
            </w:pPr>
          </w:p>
        </w:tc>
        <w:tc>
          <w:tcPr>
            <w:tcW w:w="1440" w:type="dxa"/>
            <w:vAlign w:val="bottom"/>
            <w:gridSpan w:val="18"/>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5/24/2020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Registration Rights Agreement, dated as of April 6,</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2018, among Aterian, Inc. and the purchasers party thereto.</w:t>
              </w:r>
            </w:hyperlink>
          </w:p>
        </w:tc>
        <w:tc>
          <w:tcPr>
            <w:tcW w:w="500" w:type="dxa"/>
            <w:vAlign w:val="bottom"/>
            <w:gridSpan w:val="10"/>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Warrant to Purchase Stock, issued to MidCap Financial Trust on</w:t>
              </w:r>
            </w:hyperlink>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September 4, 2018.</w:t>
              </w:r>
            </w:hyperlink>
          </w:p>
        </w:tc>
        <w:tc>
          <w:tcPr>
            <w:tcW w:w="220" w:type="dxa"/>
            <w:vAlign w:val="bottom"/>
            <w:gridSpan w:val="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4"/>
                <w:szCs w:val="24"/>
                <w:color w:val="auto"/>
              </w:rPr>
            </w:pPr>
          </w:p>
        </w:tc>
        <w:tc>
          <w:tcPr>
            <w:tcW w:w="4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Form of Warrant, issued to Katalyst Securities LLC and its</w:t>
              </w:r>
            </w:hyperlink>
          </w:p>
        </w:tc>
        <w:tc>
          <w:tcPr>
            <w:tcW w:w="60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assigns on September 4, 2018.</w:t>
              </w:r>
            </w:hyperlink>
          </w:p>
        </w:tc>
        <w:tc>
          <w:tcPr>
            <w:tcW w:w="2640" w:type="dxa"/>
            <w:vAlign w:val="bottom"/>
            <w:gridSpan w:val="2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0" w:type="dxa"/>
            <w:vAlign w:val="bottom"/>
          </w:tcPr>
          <w:p>
            <w:pPr>
              <w:spacing w:after="0"/>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4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of Warrant, issued to Horizon Technology Finance</w:t>
              </w:r>
            </w:hyperlink>
          </w:p>
        </w:tc>
        <w:tc>
          <w:tcPr>
            <w:tcW w:w="760" w:type="dxa"/>
            <w:vAlign w:val="bottom"/>
            <w:gridSpan w:val="15"/>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Corporation on December 31, 2020.</w:t>
              </w:r>
            </w:hyperlink>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4"/>
                <w:szCs w:val="24"/>
                <w:color w:val="auto"/>
              </w:rPr>
            </w:pPr>
          </w:p>
        </w:tc>
        <w:tc>
          <w:tcPr>
            <w:tcW w:w="46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Amendment No. 1 to Registration Rights Agreement, dated as of</w:t>
              </w:r>
            </w:hyperlink>
          </w:p>
        </w:tc>
        <w:tc>
          <w:tcPr>
            <w:tcW w:w="160" w:type="dxa"/>
            <w:vAlign w:val="bottom"/>
            <w:gridSpan w:val="4"/>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gridSpan w:val="28"/>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March 2, 2020, among Aterian, Inc. and the investors party</w:t>
              </w:r>
            </w:hyperlink>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thereto.</w:t>
              </w:r>
            </w:hyperlink>
          </w:p>
        </w:tc>
        <w:tc>
          <w:tcPr>
            <w:tcW w:w="560" w:type="dxa"/>
            <w:vAlign w:val="bottom"/>
            <w:gridSpan w:val="1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0" w:type="dxa"/>
            <w:vAlign w:val="bottom"/>
          </w:tcPr>
          <w:p>
            <w:pPr>
              <w:spacing w:after="0"/>
              <w:rPr>
                <w:sz w:val="1"/>
                <w:szCs w:val="1"/>
                <w:color w:val="auto"/>
              </w:rPr>
            </w:pPr>
          </w:p>
        </w:tc>
      </w:tr>
      <w:tr>
        <w:trPr>
          <w:trHeight w:val="669"/>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3"/>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0"/>
                <w:szCs w:val="20"/>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4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Warrant to Purchase Shares of Common Stock, issued to Third</w:t>
              </w:r>
            </w:hyperlink>
          </w:p>
        </w:tc>
        <w:tc>
          <w:tcPr>
            <w:tcW w:w="1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Creek Advisors, LLC on August 18, 2021.</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4"/>
                <w:szCs w:val="24"/>
                <w:color w:val="auto"/>
              </w:rPr>
            </w:pPr>
          </w:p>
        </w:tc>
        <w:tc>
          <w:tcPr>
            <w:tcW w:w="4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Warrant to Purchase Stock, dated December 22, 2022.</w:t>
              </w:r>
            </w:hyperlink>
          </w:p>
        </w:tc>
        <w:tc>
          <w:tcPr>
            <w:tcW w:w="180" w:type="dxa"/>
            <w:vAlign w:val="bottom"/>
            <w:gridSpan w:val="7"/>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24"/>
                <w:szCs w:val="24"/>
                <w:color w:val="auto"/>
              </w:rPr>
            </w:pPr>
          </w:p>
        </w:tc>
        <w:tc>
          <w:tcPr>
            <w:tcW w:w="2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Description of Securities of Aterian, Inc.</w:t>
              </w:r>
            </w:hyperlink>
          </w:p>
        </w:tc>
        <w:tc>
          <w:tcPr>
            <w:tcW w:w="1780" w:type="dxa"/>
            <w:vAlign w:val="bottom"/>
            <w:gridSpan w:val="23"/>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2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Indemnification Agreement.</w:t>
              </w:r>
            </w:hyperlink>
          </w:p>
        </w:tc>
        <w:tc>
          <w:tcPr>
            <w:tcW w:w="2040" w:type="dxa"/>
            <w:vAlign w:val="bottom"/>
            <w:gridSpan w:val="27"/>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2014 Amended and Restated Equity Incentive Plan.</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4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Form of Stock Option Grant Notice and Form of Stock Option</w:t>
              </w:r>
            </w:hyperlink>
          </w:p>
        </w:tc>
        <w:tc>
          <w:tcPr>
            <w:tcW w:w="2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Agreement (2014 Amended and Restated Equity Incentive Plan).</w:t>
              </w:r>
            </w:hyperlink>
          </w:p>
        </w:tc>
        <w:tc>
          <w:tcPr>
            <w:tcW w:w="2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2018 Equity Incentive Plan.</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20" w:type="dxa"/>
            <w:vAlign w:val="bottom"/>
          </w:tcPr>
          <w:p>
            <w:pPr>
              <w:spacing w:after="0"/>
              <w:rPr>
                <w:sz w:val="24"/>
                <w:szCs w:val="24"/>
                <w:color w:val="auto"/>
              </w:rPr>
            </w:pPr>
          </w:p>
        </w:tc>
        <w:tc>
          <w:tcPr>
            <w:tcW w:w="47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Notice of Stock Option Grant and Form of Stock Option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Award Agreement (2018 Equity Incentive Plan).</w:t>
              </w:r>
            </w:hyperlink>
          </w:p>
        </w:tc>
        <w:tc>
          <w:tcPr>
            <w:tcW w:w="1220" w:type="dxa"/>
            <w:vAlign w:val="bottom"/>
            <w:gridSpan w:val="17"/>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20" w:type="dxa"/>
            <w:vAlign w:val="bottom"/>
          </w:tcPr>
          <w:p>
            <w:pPr>
              <w:spacing w:after="0"/>
              <w:rPr>
                <w:sz w:val="24"/>
                <w:szCs w:val="24"/>
                <w:color w:val="auto"/>
              </w:rPr>
            </w:pPr>
          </w:p>
        </w:tc>
        <w:tc>
          <w:tcPr>
            <w:tcW w:w="42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Form of Notice of Grant of Restricted Shares and Form of</w:t>
              </w:r>
            </w:hyperlink>
          </w:p>
        </w:tc>
        <w:tc>
          <w:tcPr>
            <w:tcW w:w="5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Restricted Share Award Agreement (2018 Equity Incentive Plan).</w:t>
              </w:r>
            </w:hyperlink>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Aterian, Inc. 2020 Equity Plan.</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120" w:type="dxa"/>
            <w:vAlign w:val="bottom"/>
          </w:tcPr>
          <w:p>
            <w:pPr>
              <w:spacing w:after="0"/>
              <w:rPr>
                <w:sz w:val="24"/>
                <w:szCs w:val="24"/>
                <w:color w:val="auto"/>
              </w:rPr>
            </w:pPr>
          </w:p>
        </w:tc>
        <w:tc>
          <w:tcPr>
            <w:tcW w:w="42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Notice of Grant of Restricted Shares and Form of</w:t>
              </w:r>
            </w:hyperlink>
          </w:p>
        </w:tc>
        <w:tc>
          <w:tcPr>
            <w:tcW w:w="5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Restricted Share Award Agreement (Aterian, Inc. 2020 Equity</w:t>
              </w:r>
            </w:hyperlink>
          </w:p>
        </w:tc>
        <w:tc>
          <w:tcPr>
            <w:tcW w:w="2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Plan).</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dated May 14, 2018, by and between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Aterian Group, Inc. and Joseph Risico.</w:t>
              </w:r>
            </w:hyperlink>
          </w:p>
        </w:tc>
        <w:tc>
          <w:tcPr>
            <w:tcW w:w="1660" w:type="dxa"/>
            <w:vAlign w:val="bottom"/>
            <w:tcBorders>
              <w:top w:val="single" w:sz="8" w:color="0000EE"/>
            </w:tcBorders>
            <w:gridSpan w:val="14"/>
          </w:tcPr>
          <w:p>
            <w:pPr>
              <w:spacing w:after="0"/>
              <w:rPr>
                <w:sz w:val="17"/>
                <w:szCs w:val="17"/>
                <w:color w:val="auto"/>
              </w:rPr>
            </w:pPr>
          </w:p>
        </w:tc>
        <w:tc>
          <w:tcPr>
            <w:tcW w:w="240" w:type="dxa"/>
            <w:vAlign w:val="bottom"/>
            <w:gridSpan w:val="10"/>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464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Employment Agreement dated January 1, 2016, by and between</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Aterian Group, Inc. and Mihal Chaouat-Fix.</w:t>
              </w:r>
            </w:hyperlink>
          </w:p>
        </w:tc>
        <w:tc>
          <w:tcPr>
            <w:tcW w:w="1520" w:type="dxa"/>
            <w:vAlign w:val="bottom"/>
            <w:gridSpan w:val="20"/>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dated April 1, 2015, by and between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Aterian Group, Inc. and Yaniv Sarig.</w:t>
              </w:r>
            </w:hyperlink>
          </w:p>
        </w:tc>
        <w:tc>
          <w:tcPr>
            <w:tcW w:w="1780" w:type="dxa"/>
            <w:vAlign w:val="bottom"/>
            <w:tcBorders>
              <w:top w:val="single" w:sz="8" w:color="0000EE"/>
            </w:tcBorders>
            <w:gridSpan w:val="17"/>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45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Independent Contractor Agreement dated August 14, 2017, by</w:t>
              </w:r>
            </w:hyperlink>
          </w:p>
        </w:tc>
        <w:tc>
          <w:tcPr>
            <w:tcW w:w="22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and between Aterian Group, Inc. and Tomer Pascal.</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Employment Agreement dated November 27, 2018, by and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between Aterian Group, Inc. and Roi Zahut.</w:t>
              </w:r>
            </w:hyperlink>
          </w:p>
        </w:tc>
        <w:tc>
          <w:tcPr>
            <w:tcW w:w="1080" w:type="dxa"/>
            <w:vAlign w:val="bottom"/>
            <w:tcBorders>
              <w:top w:val="single" w:sz="8" w:color="0000EE"/>
            </w:tcBorders>
            <w:gridSpan w:val="9"/>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4"/>
                <w:szCs w:val="24"/>
                <w:color w:val="auto"/>
              </w:rPr>
            </w:pPr>
          </w:p>
        </w:tc>
        <w:tc>
          <w:tcPr>
            <w:tcW w:w="47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Restated Voting Agreement dated March 13, 2020, by and among</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MV II, LLC, Maximus Yaney, Larisa Storozhenko and Aterian,</w:t>
              </w:r>
            </w:hyperlink>
          </w:p>
        </w:tc>
        <w:tc>
          <w:tcPr>
            <w:tcW w:w="1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7">
              <w:r>
                <w:rPr>
                  <w:rFonts w:ascii="Times New Roman" w:cs="Times New Roman" w:eastAsia="Times New Roman" w:hAnsi="Times New Roman"/>
                  <w:sz w:val="18"/>
                  <w:szCs w:val="18"/>
                  <w:color w:val="0000EE"/>
                  <w:w w:val="94"/>
                </w:rPr>
                <w:t>Inc.</w:t>
              </w:r>
            </w:hyperlink>
          </w:p>
        </w:tc>
        <w:tc>
          <w:tcPr>
            <w:tcW w:w="4440" w:type="dxa"/>
            <w:vAlign w:val="bottom"/>
            <w:gridSpan w:val="30"/>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4"/>
                <w:szCs w:val="24"/>
                <w:color w:val="auto"/>
              </w:rPr>
            </w:pPr>
          </w:p>
        </w:tc>
        <w:tc>
          <w:tcPr>
            <w:tcW w:w="45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Lock-Up, Voting and Standstill Agreement, dated December 1,</w:t>
              </w:r>
            </w:hyperlink>
          </w:p>
        </w:tc>
        <w:tc>
          <w:tcPr>
            <w:tcW w:w="1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2021, by and between Aterian, Inc. and 9830 Macarthur LLC.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4"/>
                <w:szCs w:val="24"/>
                <w:color w:val="auto"/>
              </w:rPr>
            </w:pPr>
          </w:p>
        </w:tc>
        <w:tc>
          <w:tcPr>
            <w:tcW w:w="47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Non-Negotiable Promissory Note, dated December 1, 2021, from</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Aterian, Inc. to 9830 Macarthur LLC.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Lock-Up, Voting and Standstill Agreement, dated February 2,</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6"/>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2022, by and between Aterian Inc. and Healing Solutions, LLC.</w:t>
              </w:r>
            </w:hyperlink>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4"/>
                <w:szCs w:val="24"/>
                <w:color w:val="auto"/>
              </w:rPr>
            </w:pPr>
          </w:p>
        </w:tc>
        <w:tc>
          <w:tcPr>
            <w:tcW w:w="460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Manufacturing Supply Agreement, dated February 2, 2022, by</w:t>
              </w:r>
            </w:hyperlink>
          </w:p>
        </w:tc>
        <w:tc>
          <w:tcPr>
            <w:tcW w:w="12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and between Aterian Group, Inc. and Healing Solutions, LLC.</w:t>
              </w:r>
            </w:hyperlink>
          </w:p>
        </w:tc>
        <w:tc>
          <w:tcPr>
            <w:tcW w:w="220" w:type="dxa"/>
            <w:vAlign w:val="bottom"/>
            <w:gridSpan w:val="9"/>
          </w:tcPr>
          <w:p>
            <w:pPr>
              <w:spacing w:after="0"/>
              <w:rPr>
                <w:sz w:val="17"/>
                <w:szCs w:val="17"/>
                <w:color w:val="auto"/>
              </w:rPr>
            </w:pPr>
          </w:p>
        </w:tc>
      </w:tr>
      <w:tr>
        <w:trPr>
          <w:trHeight w:val="87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29"/>
          </w:tcPr>
          <w:p>
            <w:pPr>
              <w:ind w:left="1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4"/>
                <w:szCs w:val="24"/>
                <w:color w:val="auto"/>
              </w:rPr>
            </w:pPr>
          </w:p>
        </w:tc>
        <w:tc>
          <w:tcPr>
            <w:tcW w:w="4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Consulting Agreement, dated February 2, 2022, by and between</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Aterian Group, Inc. and Richard Perry.</w:t>
              </w:r>
            </w:hyperlink>
          </w:p>
        </w:tc>
        <w:tc>
          <w:tcPr>
            <w:tcW w:w="1920" w:type="dxa"/>
            <w:vAlign w:val="bottom"/>
            <w:gridSpan w:val="25"/>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4"/>
                <w:szCs w:val="24"/>
                <w:color w:val="auto"/>
              </w:rPr>
            </w:pPr>
          </w:p>
        </w:tc>
        <w:tc>
          <w:tcPr>
            <w:tcW w:w="4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Consulting Agreement, dated February 2, 2022, by and between</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1"/>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Aterian Group, Inc. and Christopher Marshall.</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gridSpan w:val="1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4"/>
                <w:szCs w:val="24"/>
                <w:color w:val="auto"/>
              </w:rPr>
            </w:pPr>
          </w:p>
        </w:tc>
        <w:tc>
          <w:tcPr>
            <w:tcW w:w="4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Consulting Agreement, dated February 2, 2022, by and between</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Aterian Group, Inc. and Quinn McCullough.</w:t>
              </w:r>
            </w:hyperlink>
          </w:p>
        </w:tc>
        <w:tc>
          <w:tcPr>
            <w:tcW w:w="1500" w:type="dxa"/>
            <w:vAlign w:val="bottom"/>
            <w:gridSpan w:val="19"/>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4"/>
                <w:szCs w:val="24"/>
                <w:color w:val="auto"/>
              </w:rPr>
            </w:pPr>
          </w:p>
        </w:tc>
        <w:tc>
          <w:tcPr>
            <w:tcW w:w="4720" w:type="dxa"/>
            <w:vAlign w:val="bottom"/>
            <w:gridSpan w:val="31"/>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Transition Services Agreement, dated February 2, 2022, by and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between Healing Solutions, LLC and Truweo, LLC.</w:t>
              </w:r>
            </w:hyperlink>
          </w:p>
        </w:tc>
        <w:tc>
          <w:tcPr>
            <w:tcW w:w="800" w:type="dxa"/>
            <w:vAlign w:val="bottom"/>
            <w:tcBorders>
              <w:top w:val="single" w:sz="8" w:color="0000EE"/>
            </w:tcBorders>
            <w:gridSpan w:val="9"/>
          </w:tcPr>
          <w:p>
            <w:pPr>
              <w:spacing w:after="0"/>
              <w:rPr>
                <w:sz w:val="17"/>
                <w:szCs w:val="17"/>
                <w:color w:val="auto"/>
              </w:rPr>
            </w:pPr>
          </w:p>
        </w:tc>
        <w:tc>
          <w:tcPr>
            <w:tcW w:w="160" w:type="dxa"/>
            <w:vAlign w:val="bottom"/>
            <w:gridSpan w:val="6"/>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11/9/2021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12/27/2022</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03/16/2023</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4.9</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5/24/2020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333-232087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5/28/2921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333-232087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6/12/2020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r>
      <w:tr>
        <w:trPr>
          <w:trHeight w:val="43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333-256635</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5/28/2022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8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10.10</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10.11</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86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333-231381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5/10/2020</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12/1/2021</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10.4</w:t>
            </w:r>
          </w:p>
        </w:tc>
      </w:tr>
      <w:tr>
        <w:trPr>
          <w:trHeight w:val="648"/>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42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4"/>
                <w:szCs w:val="24"/>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64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10.6</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10.7</w:t>
            </w:r>
          </w:p>
        </w:tc>
      </w:tr>
      <w:tr>
        <w:trPr>
          <w:trHeight w:val="64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001-38937</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2/3/2022</w:t>
            </w:r>
          </w:p>
        </w:tc>
        <w:tc>
          <w:tcPr>
            <w:tcW w:w="1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10.8</w:t>
            </w:r>
          </w:p>
        </w:tc>
      </w:tr>
    </w:tbl>
    <w:p>
      <w:pPr>
        <w:sectPr>
          <w:pgSz w:w="11900" w:h="16838" w:orient="portrait"/>
          <w:cols w:equalWidth="0" w:num="2">
            <w:col w:w="5980" w:space="120"/>
            <w:col w:w="5140"/>
          </w:cols>
          <w:pgMar w:left="320" w:top="324" w:right="339" w:bottom="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17"/>
                <w:szCs w:val="17"/>
                <w:color w:val="auto"/>
              </w:rPr>
            </w:pPr>
          </w:p>
        </w:tc>
        <w:tc>
          <w:tcPr>
            <w:tcW w:w="43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Voting and Standstill Agreement, dated May 5, 2022, by and</w:t>
              </w:r>
            </w:hyperlink>
          </w:p>
        </w:tc>
        <w:tc>
          <w:tcPr>
            <w:tcW w:w="3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between Aterian, Inc. and Squatty Potty, LLC.</w:t>
              </w:r>
            </w:hyperlink>
          </w:p>
        </w:tc>
        <w:tc>
          <w:tcPr>
            <w:tcW w:w="1380" w:type="dxa"/>
            <w:vAlign w:val="bottom"/>
            <w:gridSpan w:val="22"/>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4"/>
                <w:szCs w:val="24"/>
                <w:color w:val="auto"/>
              </w:rPr>
            </w:pPr>
          </w:p>
        </w:tc>
        <w:tc>
          <w:tcPr>
            <w:tcW w:w="4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Consulting Agreement, dated May 5, 2022, by and between</w:t>
              </w:r>
            </w:hyperlink>
          </w:p>
        </w:tc>
        <w:tc>
          <w:tcPr>
            <w:tcW w:w="4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Aterian Group, Inc. and Bernie Kropfelder.</w:t>
              </w:r>
            </w:hyperlink>
          </w:p>
        </w:tc>
        <w:tc>
          <w:tcPr>
            <w:tcW w:w="1600" w:type="dxa"/>
            <w:vAlign w:val="bottom"/>
            <w:gridSpan w:val="23"/>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4"/>
                <w:szCs w:val="24"/>
                <w:color w:val="auto"/>
              </w:rPr>
            </w:pPr>
          </w:p>
        </w:tc>
        <w:tc>
          <w:tcPr>
            <w:tcW w:w="4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Consulting Agreement, dated May 5, 2022, by and between</w:t>
              </w:r>
            </w:hyperlink>
          </w:p>
        </w:tc>
        <w:tc>
          <w:tcPr>
            <w:tcW w:w="4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Aterian Group, Inc. and Tani Alger.</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4"/>
                <w:szCs w:val="24"/>
                <w:color w:val="auto"/>
              </w:rPr>
            </w:pPr>
          </w:p>
        </w:tc>
        <w:tc>
          <w:tcPr>
            <w:tcW w:w="4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Consulting Agreement, dated May 5, 2022, by and between</w:t>
              </w:r>
            </w:hyperlink>
          </w:p>
        </w:tc>
        <w:tc>
          <w:tcPr>
            <w:tcW w:w="420" w:type="dxa"/>
            <w:vAlign w:val="bottom"/>
            <w:gridSpan w:val="1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Aterian Group, Inc. and Jeff Ela.</w:t>
              </w:r>
            </w:hyperlink>
          </w:p>
        </w:tc>
        <w:tc>
          <w:tcPr>
            <w:tcW w:w="2360" w:type="dxa"/>
            <w:vAlign w:val="bottom"/>
            <w:gridSpan w:val="27"/>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4"/>
                <w:szCs w:val="24"/>
                <w:color w:val="auto"/>
              </w:rPr>
            </w:pPr>
          </w:p>
        </w:tc>
        <w:tc>
          <w:tcPr>
            <w:tcW w:w="4720" w:type="dxa"/>
            <w:vAlign w:val="bottom"/>
            <w:gridSpan w:val="3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Transition Services Agreement, dated May 5, 2022, by and</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between Squatty Potty, LLC and Truweo, LLC.</w:t>
              </w:r>
            </w:hyperlink>
          </w:p>
        </w:tc>
        <w:tc>
          <w:tcPr>
            <w:tcW w:w="800" w:type="dxa"/>
            <w:vAlign w:val="bottom"/>
            <w:tcBorders>
              <w:top w:val="single" w:sz="8" w:color="0000EE"/>
            </w:tcBorders>
            <w:gridSpan w:val="5"/>
          </w:tcPr>
          <w:p>
            <w:pPr>
              <w:spacing w:after="0"/>
              <w:rPr>
                <w:sz w:val="17"/>
                <w:szCs w:val="17"/>
                <w:color w:val="auto"/>
              </w:rPr>
            </w:pPr>
          </w:p>
        </w:tc>
        <w:tc>
          <w:tcPr>
            <w:tcW w:w="480" w:type="dxa"/>
            <w:vAlign w:val="bottom"/>
            <w:gridSpan w:val="15"/>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4"/>
                <w:szCs w:val="24"/>
                <w:color w:val="auto"/>
              </w:rPr>
            </w:pPr>
          </w:p>
        </w:tc>
        <w:tc>
          <w:tcPr>
            <w:tcW w:w="43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Shareholder Agreement, dated May 5, 2022, by and between</w:t>
              </w:r>
            </w:hyperlink>
          </w:p>
        </w:tc>
        <w:tc>
          <w:tcPr>
            <w:tcW w:w="34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Aterian, Inc. and Josef Eitan.</w:t>
              </w:r>
            </w:hyperlink>
          </w:p>
        </w:tc>
        <w:tc>
          <w:tcPr>
            <w:tcW w:w="2620" w:type="dxa"/>
            <w:vAlign w:val="bottom"/>
            <w:gridSpan w:val="29"/>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tcPr>
          <w:p>
            <w:pPr>
              <w:spacing w:after="0"/>
              <w:rPr>
                <w:sz w:val="24"/>
                <w:szCs w:val="24"/>
                <w:color w:val="auto"/>
              </w:rPr>
            </w:pPr>
          </w:p>
        </w:tc>
        <w:tc>
          <w:tcPr>
            <w:tcW w:w="43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Shareholder Agreement, dated May 5, 2022, by and between</w:t>
              </w:r>
            </w:hyperlink>
          </w:p>
        </w:tc>
        <w:tc>
          <w:tcPr>
            <w:tcW w:w="34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Aterian, Inc. and Ran Nir.</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4"/>
                <w:szCs w:val="24"/>
                <w:color w:val="auto"/>
              </w:rPr>
            </w:pPr>
          </w:p>
        </w:tc>
        <w:tc>
          <w:tcPr>
            <w:tcW w:w="470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to Lock-Up, Voting and Standstill Agreement, dated</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as of May 31, 2022, by and between Aterian, Inc. and Healing</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Solutions LLC.</w:t>
              </w:r>
            </w:hyperlink>
          </w:p>
        </w:tc>
        <w:tc>
          <w:tcPr>
            <w:tcW w:w="3360" w:type="dxa"/>
            <w:vAlign w:val="bottom"/>
            <w:tcBorders>
              <w:top w:val="single" w:sz="8" w:color="0000EE"/>
            </w:tcBorders>
            <w:gridSpan w:val="27"/>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20" w:type="dxa"/>
            <w:vAlign w:val="bottom"/>
          </w:tcPr>
          <w:p>
            <w:pPr>
              <w:spacing w:after="0"/>
              <w:rPr>
                <w:sz w:val="24"/>
                <w:szCs w:val="24"/>
                <w:color w:val="auto"/>
              </w:rPr>
            </w:pPr>
          </w:p>
        </w:tc>
        <w:tc>
          <w:tcPr>
            <w:tcW w:w="4700" w:type="dxa"/>
            <w:vAlign w:val="bottom"/>
            <w:tcBorders>
              <w:bottom w:val="single" w:sz="8" w:color="0000EE"/>
            </w:tcBorders>
            <w:gridSpan w:val="36"/>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Amendment to Lock-Up, Voting and Standstill Agreement, dated</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as of May 31, 2022, by and between Aterian, Inc. and 9830</w:t>
              </w:r>
            </w:hyperlink>
          </w:p>
        </w:tc>
        <w:tc>
          <w:tcPr>
            <w:tcW w:w="440" w:type="dxa"/>
            <w:vAlign w:val="bottom"/>
            <w:gridSpan w:val="1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Macarthur LLC.</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4"/>
                <w:szCs w:val="24"/>
                <w:color w:val="auto"/>
              </w:rPr>
            </w:pPr>
          </w:p>
        </w:tc>
        <w:tc>
          <w:tcPr>
            <w:tcW w:w="466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Credit and Security Agreement, dated as December 22, 2022, by</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and Aterian, Inc. and its subsidiaries party thereto as “Credit</w:t>
              </w:r>
            </w:hyperlink>
          </w:p>
        </w:tc>
        <w:tc>
          <w:tcPr>
            <w:tcW w:w="3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Parties”, the lenders party thereto from time to time and Midcap</w:t>
              </w:r>
            </w:hyperlink>
          </w:p>
        </w:tc>
        <w:tc>
          <w:tcPr>
            <w:tcW w:w="10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Funding IV Trust, as administrative agent</w:t>
              </w:r>
            </w:hyperlink>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20" w:type="dxa"/>
            <w:vAlign w:val="bottom"/>
          </w:tcPr>
          <w:p>
            <w:pPr>
              <w:spacing w:after="0"/>
              <w:rPr>
                <w:sz w:val="24"/>
                <w:szCs w:val="24"/>
                <w:color w:val="auto"/>
              </w:rPr>
            </w:pPr>
          </w:p>
        </w:tc>
        <w:tc>
          <w:tcPr>
            <w:tcW w:w="34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Amended Yaniv Sarig Employment Agreement</w:t>
              </w:r>
            </w:hyperlink>
          </w:p>
        </w:tc>
        <w:tc>
          <w:tcPr>
            <w:tcW w:w="1300" w:type="dxa"/>
            <w:vAlign w:val="bottom"/>
            <w:gridSpan w:val="21"/>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41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Amendment to Joseph A. Risico Employment Agreement</w:t>
              </w:r>
            </w:hyperlink>
          </w:p>
        </w:tc>
        <w:tc>
          <w:tcPr>
            <w:tcW w:w="560" w:type="dxa"/>
            <w:vAlign w:val="bottom"/>
            <w:gridSpan w:val="17"/>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42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Amendment to Arturo Rodriguez Employment Agreement</w:t>
              </w:r>
            </w:hyperlink>
          </w:p>
        </w:tc>
        <w:tc>
          <w:tcPr>
            <w:tcW w:w="500" w:type="dxa"/>
            <w:vAlign w:val="bottom"/>
            <w:gridSpan w:val="16"/>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20" w:type="dxa"/>
            <w:vAlign w:val="bottom"/>
          </w:tcPr>
          <w:p>
            <w:pPr>
              <w:spacing w:after="0"/>
              <w:rPr>
                <w:sz w:val="24"/>
                <w:szCs w:val="24"/>
                <w:color w:val="auto"/>
              </w:rPr>
            </w:pPr>
          </w:p>
        </w:tc>
        <w:tc>
          <w:tcPr>
            <w:tcW w:w="4720" w:type="dxa"/>
            <w:vAlign w:val="bottom"/>
            <w:gridSpan w:val="37"/>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Advisor Agreement, dated July 26, 2023, by and between</w:t>
              </w:r>
            </w:hyperlink>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Aterian, Inc. and William Kurtz.</w:t>
              </w:r>
            </w:hyperlink>
          </w:p>
        </w:tc>
        <w:tc>
          <w:tcPr>
            <w:tcW w:w="1800" w:type="dxa"/>
            <w:vAlign w:val="bottom"/>
            <w:tcBorders>
              <w:top w:val="single" w:sz="8" w:color="0000EE"/>
            </w:tcBorders>
            <w:gridSpan w:val="10"/>
          </w:tcPr>
          <w:p>
            <w:pPr>
              <w:spacing w:after="0"/>
              <w:rPr>
                <w:sz w:val="17"/>
                <w:szCs w:val="17"/>
                <w:color w:val="auto"/>
              </w:rPr>
            </w:pPr>
          </w:p>
        </w:tc>
        <w:tc>
          <w:tcPr>
            <w:tcW w:w="580" w:type="dxa"/>
            <w:vAlign w:val="bottom"/>
            <w:gridSpan w:val="18"/>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120" w:type="dxa"/>
            <w:vAlign w:val="bottom"/>
          </w:tcPr>
          <w:p>
            <w:pPr>
              <w:spacing w:after="0"/>
              <w:rPr>
                <w:sz w:val="24"/>
                <w:szCs w:val="24"/>
                <w:color w:val="auto"/>
              </w:rPr>
            </w:pPr>
          </w:p>
        </w:tc>
        <w:tc>
          <w:tcPr>
            <w:tcW w:w="1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3100" w:type="dxa"/>
            <w:vAlign w:val="bottom"/>
            <w:gridSpan w:val="33"/>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21.1 *</w:t>
            </w:r>
          </w:p>
        </w:tc>
        <w:tc>
          <w:tcPr>
            <w:tcW w:w="120" w:type="dxa"/>
            <w:vAlign w:val="bottom"/>
          </w:tcPr>
          <w:p>
            <w:pPr>
              <w:spacing w:after="0"/>
              <w:rPr>
                <w:sz w:val="24"/>
                <w:szCs w:val="24"/>
                <w:color w:val="auto"/>
              </w:rPr>
            </w:pPr>
          </w:p>
        </w:tc>
        <w:tc>
          <w:tcPr>
            <w:tcW w:w="2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List of Subsidiaries of the Registrant.</w:t>
            </w:r>
          </w:p>
        </w:tc>
        <w:tc>
          <w:tcPr>
            <w:tcW w:w="2020" w:type="dxa"/>
            <w:vAlign w:val="bottom"/>
            <w:gridSpan w:val="25"/>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Consent of Deloitte &amp; Touche LLP, Independent Registered</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42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60" w:type="dxa"/>
            <w:vAlign w:val="bottom"/>
            <w:gridSpan w:val="1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w:t>
            </w:r>
          </w:p>
        </w:tc>
        <w:tc>
          <w:tcPr>
            <w:tcW w:w="120" w:type="dxa"/>
            <w:vAlign w:val="bottom"/>
          </w:tcPr>
          <w:p>
            <w:pPr>
              <w:spacing w:after="0"/>
              <w:rPr>
                <w:sz w:val="24"/>
                <w:szCs w:val="24"/>
                <w:color w:val="auto"/>
              </w:rPr>
            </w:pPr>
          </w:p>
        </w:tc>
        <w:tc>
          <w:tcPr>
            <w:tcW w:w="472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to this Annual</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Report on Form 10-K).</w:t>
            </w:r>
          </w:p>
        </w:tc>
      </w:tr>
      <w:tr>
        <w:trPr>
          <w:trHeight w:val="87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0"/>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24"/>
                <w:szCs w:val="24"/>
                <w:color w:val="auto"/>
              </w:rPr>
            </w:pPr>
          </w:p>
        </w:tc>
        <w:tc>
          <w:tcPr>
            <w:tcW w:w="470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w w:val="99"/>
              </w:rPr>
              <w:t>Certifications of the Principal Executive Officer pursuant to Rule</w:t>
            </w: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13a-14(a) or 15d-14(a) of the Securities Exchange Act of 1934.</w:t>
            </w:r>
          </w:p>
        </w:tc>
        <w:tc>
          <w:tcPr>
            <w:tcW w:w="120" w:type="dxa"/>
            <w:vAlign w:val="bottom"/>
            <w:gridSpan w:val="6"/>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13a-14(a) or 15d-14(a) of the Securities Exchange Act of 1934.</w:t>
            </w:r>
          </w:p>
        </w:tc>
        <w:tc>
          <w:tcPr>
            <w:tcW w:w="40" w:type="dxa"/>
            <w:vAlign w:val="bottom"/>
            <w:tcBorders>
              <w:top w:val="single" w:sz="8" w:color="0000EE"/>
            </w:tcBorders>
            <w:gridSpan w:val="2"/>
          </w:tcPr>
          <w:p>
            <w:pPr>
              <w:spacing w:after="0"/>
              <w:rPr>
                <w:sz w:val="17"/>
                <w:szCs w:val="17"/>
                <w:color w:val="auto"/>
              </w:rPr>
            </w:pPr>
          </w:p>
        </w:tc>
        <w:tc>
          <w:tcPr>
            <w:tcW w:w="80" w:type="dxa"/>
            <w:vAlign w:val="bottom"/>
            <w:gridSpan w:val="4"/>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Certifications of the Principal Financial Officer pursuant to Rule</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13a-14(a) or 15d-14(a) of the Securities Exchange Act of 1934.</w:t>
            </w:r>
          </w:p>
        </w:tc>
        <w:tc>
          <w:tcPr>
            <w:tcW w:w="60" w:type="dxa"/>
            <w:vAlign w:val="bottom"/>
            <w:tcBorders>
              <w:top w:val="single" w:sz="8" w:color="0000EE"/>
            </w:tcBorders>
            <w:gridSpan w:val="3"/>
          </w:tcPr>
          <w:p>
            <w:pPr>
              <w:spacing w:after="0"/>
              <w:rPr>
                <w:sz w:val="17"/>
                <w:szCs w:val="17"/>
                <w:color w:val="auto"/>
              </w:rPr>
            </w:pPr>
          </w:p>
        </w:tc>
        <w:tc>
          <w:tcPr>
            <w:tcW w:w="80" w:type="dxa"/>
            <w:vAlign w:val="bottom"/>
            <w:gridSpan w:val="4"/>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Certifications of the Principal Executive Officer and Principal</w:t>
            </w: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760" w:type="dxa"/>
            <w:vAlign w:val="bottom"/>
            <w:gridSpan w:val="17"/>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pursuant to 18 U.S.C. Section 1350, as adopted</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906 of the Sarbanes-Oxley Act of 2002.</w:t>
            </w:r>
          </w:p>
        </w:tc>
        <w:tc>
          <w:tcPr>
            <w:tcW w:w="360" w:type="dxa"/>
            <w:vAlign w:val="bottom"/>
            <w:tcBorders>
              <w:top w:val="single" w:sz="8" w:color="0000EE"/>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97.1*</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Policy Relating to Recovery of Erroneously Awarded</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880" w:type="dxa"/>
            <w:vAlign w:val="bottom"/>
            <w:gridSpan w:val="1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40" w:type="dxa"/>
            <w:vAlign w:val="bottom"/>
            <w:gridSpan w:val="36"/>
          </w:tcPr>
          <w:p>
            <w:pPr>
              <w:spacing w:after="0" w:line="20" w:lineRule="exact"/>
              <w:rPr>
                <w:sz w:val="1"/>
                <w:szCs w:val="1"/>
                <w:color w:val="auto"/>
              </w:rPr>
            </w:pPr>
          </w:p>
        </w:tc>
      </w:tr>
      <w:tr>
        <w:trPr>
          <w:trHeight w:val="45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47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34"/>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10.4</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10.5</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10.6</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5/11/2022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10.7</w:t>
            </w:r>
          </w:p>
        </w:tc>
      </w:tr>
      <w:tr>
        <w:trPr>
          <w:trHeight w:val="86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8/9/2022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86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8/9/2022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1080"/>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12/27/2022</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03/16/2023</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10.33</w:t>
            </w:r>
          </w:p>
        </w:tc>
      </w:tr>
      <w:tr>
        <w:trPr>
          <w:trHeight w:val="432"/>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11/08/2023</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11/08/2023</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7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001-38937</w:t>
            </w: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07/27/2023</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19685</wp:posOffset>
            </wp:positionV>
            <wp:extent cx="32575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19" w:lineRule="exact"/>
        <w:rPr>
          <w:sz w:val="20"/>
          <w:szCs w:val="20"/>
          <w:color w:val="auto"/>
        </w:rPr>
      </w:pPr>
    </w:p>
    <w:p>
      <w:pPr>
        <w:spacing w:after="0"/>
        <w:tabs>
          <w:tab w:leader="none" w:pos="980" w:val="left"/>
          <w:tab w:leader="none" w:pos="2380" w:val="left"/>
          <w:tab w:leader="none" w:pos="3860" w:val="left"/>
        </w:tabs>
        <w:rPr>
          <w:sz w:val="20"/>
          <w:szCs w:val="20"/>
          <w:color w:val="auto"/>
        </w:rPr>
      </w:pP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Number</w:t>
      </w:r>
      <w:r>
        <w:rPr>
          <w:sz w:val="20"/>
          <w:szCs w:val="20"/>
          <w:color w:val="auto"/>
        </w:rPr>
        <w:tab/>
      </w:r>
      <w:r>
        <w:rPr>
          <w:rFonts w:ascii="Times New Roman" w:cs="Times New Roman" w:eastAsia="Times New Roman" w:hAnsi="Times New Roman"/>
          <w:sz w:val="18"/>
          <w:szCs w:val="18"/>
          <w:b w:val="1"/>
          <w:bCs w:val="1"/>
          <w:color w:val="auto"/>
        </w:rPr>
        <w:t>Filing Date</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19685</wp:posOffset>
            </wp:positionV>
            <wp:extent cx="32575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2">
            <w:col w:w="5980" w:space="480"/>
            <w:col w:w="4460"/>
          </w:cols>
          <w:pgMar w:left="320" w:top="324" w:right="659" w:bottom="0" w:gutter="0" w:footer="0" w:header="0"/>
        </w:sectPr>
      </w:pPr>
    </w:p>
    <w:bookmarkStart w:id="95" w:name="page96"/>
    <w:bookmarkEnd w:id="95"/>
    <w:tbl>
      <w:tblPr>
        <w:tblLayout w:type="fixed"/>
        <w:tblInd w:w="2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84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84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260" w:hanging="820"/>
        <w:spacing w:after="0"/>
        <w:tabs>
          <w:tab w:leader="none" w:pos="12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9" w:lineRule="exact"/>
        <w:rPr>
          <w:sz w:val="20"/>
          <w:szCs w:val="20"/>
          <w:color w:val="auto"/>
        </w:rPr>
      </w:pPr>
    </w:p>
    <w:p>
      <w:pPr>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spacing w:after="0" w:line="1" w:lineRule="exact"/>
        <w:rPr>
          <w:sz w:val="20"/>
          <w:szCs w:val="20"/>
          <w:color w:val="auto"/>
        </w:rPr>
      </w:pPr>
    </w:p>
    <w:p>
      <w:pPr>
        <w:ind w:left="660" w:hanging="652"/>
        <w:spacing w:after="0" w:line="260"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Arturo Rodriguez</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Co-Chief Executive Officer and Chief Financial Officer</w:t>
            </w:r>
          </w:p>
        </w:tc>
      </w:tr>
      <w:tr>
        <w:trPr>
          <w:trHeight w:val="432"/>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Date: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48"/>
        </w:trPr>
        <w:tc>
          <w:tcPr>
            <w:tcW w:w="676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F-39</w:t>
            </w:r>
          </w:p>
        </w:tc>
        <w:tc>
          <w:tcPr>
            <w:tcW w:w="4480" w:type="dxa"/>
            <w:vAlign w:val="bottom"/>
          </w:tcPr>
          <w:p>
            <w:pPr>
              <w:spacing w:after="0"/>
              <w:rPr>
                <w:sz w:val="24"/>
                <w:szCs w:val="24"/>
                <w:color w:val="auto"/>
              </w:rPr>
            </w:pPr>
          </w:p>
        </w:tc>
      </w:tr>
      <w:tr>
        <w:trPr>
          <w:trHeight w:val="115"/>
        </w:trPr>
        <w:tc>
          <w:tcPr>
            <w:tcW w:w="676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jointly and severally, Arturo Rodriguez and Joseph A. Risico, and each of them acting individually, as his or her attorney-in-fact, each with full power of substitution and resubstitution, for him or her in any and all capacities, to sign any and all amendments to this Annual Report on Form 10-K, and to file the same, with exhibits thereto and other documents in connection therewith, with the Securities and Exchange Commission, granting unto said attorneys-in-fact full power and authority to do and perform each and every act and thing requisite and necessary to be done in connection therewith as fully to all intents and purposes as he or she might or could do in person, hereby ratifying and confirming all that said attorneys-in-fact, or their substitute or substitutes, may lawfully do or cause to be done by virtue hereof.</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031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Joseph A. Risico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03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Joseph A. Risico</w:t>
      </w:r>
    </w:p>
    <w:p>
      <w:pPr>
        <w:spacing w:after="0" w:line="200" w:lineRule="exact"/>
        <w:rPr>
          <w:sz w:val="20"/>
          <w:szCs w:val="20"/>
          <w:color w:val="auto"/>
        </w:rPr>
      </w:pPr>
    </w:p>
    <w:p>
      <w:pPr>
        <w:spacing w:after="0" w:line="2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031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William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William Kurtz</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Susan Lattmann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Susan Lattmann</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Sarah Liebel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Sarah Liebel</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Cynthia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031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Cynthia Williams</w:t>
      </w:r>
    </w:p>
    <w:p>
      <w:pPr>
        <w:spacing w:after="0" w:line="2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Bari Harlam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Bari Harlam</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Co-Chief Executive Officer and Director</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25"/>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Chief Financial Officer and</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61"/>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62"/>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19, 2024</w:t>
            </w:r>
          </w:p>
        </w:tc>
      </w:tr>
      <w:tr>
        <w:trPr>
          <w:trHeight w:val="648"/>
        </w:trPr>
        <w:tc>
          <w:tcPr>
            <w:tcW w:w="48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F-40</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2">
            <w:col w:w="3360" w:space="720"/>
            <w:col w:w="7160"/>
          </w:cols>
          <w:pgMar w:left="320" w:top="121" w:right="33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List of Subsidiaries of Aterian, Inc.</w:t>
            </w:r>
          </w:p>
        </w:tc>
      </w:tr>
      <w:tr>
        <w:trPr>
          <w:trHeight w:val="410"/>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Aterian Group, Inc.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Xtava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Sunlabz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RIF6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Vremi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hOmelabs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Vidazen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Urban Source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ZephyrBeauty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Discocart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Vueti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Punched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SweetHomeDealz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KitchenVox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Exorider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Kinetic Wave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3GirlsFromNY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ChicAlley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BoxWhale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Aussie Health Co,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Truweo,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Spiralizer,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PurSteam,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Products for Change,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Pohl &amp; Schmidt,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Mueller Austria,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Maison Contempo,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KNDirect,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Planet,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Chromatic Jammer,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Trucom,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Posture Products,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Rencare,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Kitchen Products,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Healing Solutions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First Hour Commerce (Remedy)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 Trading Company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Choice Product Selection (Remedy)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Finest Screen (Remedy)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Sari Foods,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Squatty Potty USA LLC</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Photo Paper Direct, LLC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Photo Paper Direct Limited</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Innovations Limited</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Mohawk Technology Ltd. Co.</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Innovations Canada Inc.</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Mohawk Group Poland Sp. z.o.o.</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Mohawk Research &amp; Development Ltd.</w:t>
            </w:r>
          </w:p>
        </w:tc>
        <w:tc>
          <w:tcPr>
            <w:tcW w:w="3120" w:type="dxa"/>
            <w:vAlign w:val="bottom"/>
          </w:tcPr>
          <w:p>
            <w:pPr>
              <w:spacing w:after="0"/>
              <w:rPr>
                <w:sz w:val="18"/>
                <w:szCs w:val="18"/>
                <w:color w:val="auto"/>
              </w:rPr>
            </w:pPr>
          </w:p>
        </w:tc>
        <w:tc>
          <w:tcPr>
            <w:tcW w:w="44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Mohawk Group Inc. Philippines Branch</w:t>
            </w:r>
          </w:p>
        </w:tc>
        <w:tc>
          <w:tcPr>
            <w:tcW w:w="31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Philippines</w:t>
            </w:r>
          </w:p>
        </w:tc>
      </w:tr>
    </w:tbl>
    <w:p>
      <w:pPr>
        <w:sectPr>
          <w:pgSz w:w="11900" w:h="16838" w:orient="portrait"/>
          <w:cols w:equalWidth="0" w:num="1">
            <w:col w:w="11240"/>
          </w:cols>
          <w:pgMar w:left="320" w:top="11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333-23087, 333-251295, 333-256612, 333-263906, 333-265298, and 333-270669 on Form S-8 of our report dated March 19, 2024, relating to the consolidated financial statements of Aterian, Inc. and subsidiaries appearing in this Annual Report on Form 10-K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2024</w:t>
      </w:r>
    </w:p>
    <w:p>
      <w:pPr>
        <w:sectPr>
          <w:pgSz w:w="11900" w:h="16838" w:orient="portrait"/>
          <w:cols w:equalWidth="0" w:num="1">
            <w:col w:w="11240"/>
          </w:cols>
          <w:pgMar w:left="320" w:top="117" w:right="339" w:bottom="1440" w:gutter="0" w:footer="0" w:header="0"/>
        </w:sectPr>
      </w:pPr>
    </w:p>
    <w:bookmarkStart w:id="100" w:name="page101"/>
    <w:bookmarkEnd w:id="10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FINANCIAL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Risico, certify that:</w:t>
      </w:r>
    </w:p>
    <w:p>
      <w:pPr>
        <w:spacing w:after="0" w:line="225" w:lineRule="exact"/>
        <w:rPr>
          <w:sz w:val="20"/>
          <w:szCs w:val="20"/>
          <w:color w:val="auto"/>
        </w:rPr>
      </w:pPr>
    </w:p>
    <w:p>
      <w:pPr>
        <w:ind w:left="680" w:hanging="186"/>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Aterian, Inc.;</w:t>
      </w:r>
    </w:p>
    <w:p>
      <w:pPr>
        <w:spacing w:after="0" w:line="22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68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6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6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50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4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0" w:firstLine="4"/>
        <w:spacing w:after="0" w:line="282" w:lineRule="auto"/>
        <w:tabs>
          <w:tab w:leader="none" w:pos="147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48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6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4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50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A. Risico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A. Risico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(Co-Principal Executive Officer)</w:t>
      </w:r>
    </w:p>
    <w:p>
      <w:pPr>
        <w:sectPr>
          <w:pgSz w:w="11900" w:h="16838" w:orient="portrait"/>
          <w:cols w:equalWidth="0" w:num="1">
            <w:col w:w="11240"/>
          </w:cols>
          <w:pgMar w:left="320" w:top="117" w:right="339" w:bottom="1440" w:gutter="0" w:footer="0" w:header="0"/>
        </w:sectPr>
      </w:pPr>
    </w:p>
    <w:bookmarkStart w:id="101" w:name="page102"/>
    <w:bookmarkEnd w:id="10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FINANCIAL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225" w:lineRule="exact"/>
        <w:rPr>
          <w:sz w:val="20"/>
          <w:szCs w:val="20"/>
          <w:color w:val="auto"/>
        </w:rPr>
      </w:pPr>
    </w:p>
    <w:p>
      <w:pPr>
        <w:ind w:left="840" w:hanging="184"/>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Aterian, Inc.;</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4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3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(Co-Principal Executive and Financial Officer)</w:t>
      </w:r>
    </w:p>
    <w:p>
      <w:pPr>
        <w:sectPr>
          <w:pgSz w:w="11900" w:h="16838" w:orient="portrait"/>
          <w:cols w:equalWidth="0" w:num="1">
            <w:col w:w="11240"/>
          </w:cols>
          <w:pgMar w:left="320" w:top="117" w:right="339" w:bottom="1440" w:gutter="0" w:footer="0" w:header="0"/>
        </w:sectPr>
      </w:pPr>
    </w:p>
    <w:bookmarkStart w:id="102" w:name="page103"/>
    <w:bookmarkEnd w:id="102"/>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Aterian, Inc. (the “Company”) for the period ended December 31, 2023 as filed with the Securities and Exchange Commission on the date hereof (the “Report”), the undersigned hereby certify, pursuant to 18 U.S.C. Section 1350, as adopted pursuant to Section 906 of the Sarbanes-Oxley Act of 2002, to their knowledge that:</w:t>
      </w:r>
    </w:p>
    <w:p>
      <w:pPr>
        <w:spacing w:after="0" w:line="176" w:lineRule="exact"/>
        <w:rPr>
          <w:sz w:val="20"/>
          <w:szCs w:val="20"/>
          <w:color w:val="auto"/>
        </w:rPr>
      </w:pPr>
    </w:p>
    <w:p>
      <w:pPr>
        <w:ind w:left="720" w:hanging="262"/>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 Joseph A. Risico</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 / Arturo Rodriguez</w:t>
            </w:r>
          </w:p>
        </w:tc>
      </w:tr>
      <w:tr>
        <w:trPr>
          <w:trHeight w:val="191"/>
        </w:trPr>
        <w:tc>
          <w:tcPr>
            <w:tcW w:w="5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A. Risico</w:t>
            </w:r>
          </w:p>
        </w:tc>
        <w:tc>
          <w:tcPr>
            <w:tcW w:w="46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Co-Chief Executive Officer and Chief Financial Officer</w:t>
            </w: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(Co-Principal Executive Officer)</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i w:val="1"/>
                <w:iCs w:val="1"/>
                <w:color w:val="auto"/>
              </w:rPr>
              <w:t>(Co-Principal Executive and Financial Officer)</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March 19, 2024</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March 19, 2024</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103" w:name="page104"/>
    <w:bookmarkEnd w:id="103"/>
    <w:p>
      <w:pPr>
        <w:ind w:left="10320"/>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FINANCIAL EXECUTIVE OFFICER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225" w:lineRule="exact"/>
        <w:rPr>
          <w:sz w:val="20"/>
          <w:szCs w:val="20"/>
          <w:color w:val="auto"/>
        </w:rPr>
      </w:pPr>
    </w:p>
    <w:p>
      <w:pPr>
        <w:ind w:left="840" w:hanging="184"/>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Aterian, Inc.;</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3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60" w:firstLine="6"/>
        <w:spacing w:after="0" w:line="266" w:lineRule="auto"/>
        <w:tabs>
          <w:tab w:leader="none" w:pos="165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8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60" w:firstLine="6"/>
        <w:spacing w:after="0" w:line="282" w:lineRule="auto"/>
        <w:tabs>
          <w:tab w:leader="none" w:pos="16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7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(Co-Principal Executive and Financial Officer)</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31"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9"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3"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AND GUIDELINES WITH RESPECT TO</w:t>
      </w:r>
    </w:p>
    <w:p>
      <w:pPr>
        <w:spacing w:after="0" w:line="31"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CERTAIN TRANSACTIONS IN COMPANY SECURITIES</w:t>
      </w:r>
    </w:p>
    <w:p>
      <w:pPr>
        <w:spacing w:after="0" w:line="200" w:lineRule="exact"/>
        <w:rPr>
          <w:sz w:val="20"/>
          <w:szCs w:val="20"/>
          <w:color w:val="auto"/>
        </w:rPr>
      </w:pPr>
    </w:p>
    <w:p>
      <w:pPr>
        <w:spacing w:after="0" w:line="219" w:lineRule="exact"/>
        <w:rPr>
          <w:sz w:val="20"/>
          <w:szCs w:val="20"/>
          <w:color w:val="auto"/>
        </w:rPr>
      </w:pPr>
    </w:p>
    <w:p>
      <w:pPr>
        <w:jc w:val="both"/>
        <w:ind w:left="4" w:firstLine="666"/>
        <w:spacing w:after="0" w:line="259"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xml:space="preserve">”) provides guidelines to employees, officers and directors of </w:t>
      </w:r>
      <w:r>
        <w:rPr>
          <w:rFonts w:ascii="Times New Roman" w:cs="Times New Roman" w:eastAsia="Times New Roman" w:hAnsi="Times New Roman"/>
          <w:sz w:val="18"/>
          <w:szCs w:val="18"/>
          <w:b w:val="1"/>
          <w:bCs w:val="1"/>
          <w:color w:val="auto"/>
        </w:rPr>
        <w:t>Aterian, INC.</w:t>
      </w:r>
      <w:r>
        <w:rPr>
          <w:rFonts w:ascii="Times New Roman" w:cs="Times New Roman" w:eastAsia="Times New Roman" w:hAnsi="Times New Roman"/>
          <w:sz w:val="18"/>
          <w:szCs w:val="18"/>
          <w:color w:val="auto"/>
        </w:rPr>
        <w:t xml:space="preserve"> and each of its subsidiaries, branches, representative offices and similar entities (collectively,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transactions in the Company’s securities. The Company has adopted this Policy and the procedures set forth herein to help prevent insider trading and to assist the Company’s employees, officers and directors in complying with their obligations under the federal securities laws. Employees, officers and directors are individually responsible for understanding and complying with this Policy.</w:t>
      </w:r>
    </w:p>
    <w:p>
      <w:pPr>
        <w:spacing w:after="0" w:line="179" w:lineRule="exact"/>
        <w:rPr>
          <w:sz w:val="20"/>
          <w:szCs w:val="20"/>
          <w:color w:val="auto"/>
        </w:rPr>
      </w:pPr>
    </w:p>
    <w:p>
      <w:pPr>
        <w:ind w:left="324" w:hanging="324"/>
        <w:spacing w:after="0"/>
        <w:tabs>
          <w:tab w:leader="none" w:pos="32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pplicability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66"/>
        <w:spacing w:after="0" w:line="253"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common stock, restricted stock, restricted stock units, stock appreciation rights, performance units, deferred share units, options and warrants to purchase common stock and any other debt or equity securities the Company may issue from time to time, such as bonds, preferred stock and convertible notes and debentures, as well as to derivative securities relating to the Company’s securities, whether or not issued by the Company, such as exchange-traded options. This Policy applies to all directors, officers and employees (including part-time and temporary employees) of the Company and members of their immediate families who reside with them or anyone else who lives in their household, and family members who live elsewhere but whose transactions in the Company’s securities are directed by them or subject to their influence and control (collectively referred to herein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This Policy also applies to any entities controlled by individuals subject to this Policy, including any corporations, partnerships or trusts, and transactions by such entities should be treated for purposes of this Policy and applicable securities laws as if they were for the individual’s own account. The Company may also determine that other persons should be subject to this Policy, such as contractors or consultants who receive or have access to Material Nonpublic Information (as defined below). Furthermore, this Policy imposes specific blackout period and pre-clearance procedures on directors, officers and certain other designated employees of the Company who receive or have access to Material Nonpublic Information and/or are subject to the reporting provisions and trading restrictions of Section 16 (“</w:t>
      </w:r>
      <w:r>
        <w:rPr>
          <w:rFonts w:ascii="Times New Roman" w:cs="Times New Roman" w:eastAsia="Times New Roman" w:hAnsi="Times New Roman"/>
          <w:sz w:val="18"/>
          <w:szCs w:val="18"/>
          <w:b w:val="1"/>
          <w:bCs w:val="1"/>
          <w:i w:val="1"/>
          <w:iCs w:val="1"/>
          <w:color w:val="auto"/>
        </w:rPr>
        <w:t>Section 16</w:t>
      </w:r>
      <w:r>
        <w:rPr>
          <w:rFonts w:ascii="Times New Roman" w:cs="Times New Roman" w:eastAsia="Times New Roman" w:hAnsi="Times New Roman"/>
          <w:sz w:val="18"/>
          <w:szCs w:val="18"/>
          <w:color w:val="auto"/>
        </w:rPr>
        <w:t>”)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 w:firstLine="666"/>
        <w:spacing w:after="0" w:line="268" w:lineRule="auto"/>
        <w:rPr>
          <w:sz w:val="20"/>
          <w:szCs w:val="20"/>
          <w:color w:val="auto"/>
        </w:rPr>
      </w:pPr>
      <w:r>
        <w:rPr>
          <w:rFonts w:ascii="Times New Roman" w:cs="Times New Roman" w:eastAsia="Times New Roman" w:hAnsi="Times New Roman"/>
          <w:sz w:val="18"/>
          <w:szCs w:val="18"/>
          <w:color w:val="auto"/>
        </w:rPr>
        <w:t>The current “</w:t>
      </w:r>
      <w:r>
        <w:rPr>
          <w:rFonts w:ascii="Times New Roman" w:cs="Times New Roman" w:eastAsia="Times New Roman" w:hAnsi="Times New Roman"/>
          <w:sz w:val="18"/>
          <w:szCs w:val="18"/>
          <w:b w:val="1"/>
          <w:bCs w:val="1"/>
          <w:i w:val="1"/>
          <w:iCs w:val="1"/>
          <w:color w:val="auto"/>
        </w:rPr>
        <w:t>Insider Trading Compliance Officer</w:t>
      </w:r>
      <w:r>
        <w:rPr>
          <w:rFonts w:ascii="Times New Roman" w:cs="Times New Roman" w:eastAsia="Times New Roman" w:hAnsi="Times New Roman"/>
          <w:sz w:val="18"/>
          <w:szCs w:val="18"/>
          <w:color w:val="auto"/>
        </w:rPr>
        <w:t xml:space="preserve">” referred to herein is the General Counsel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in the General Counsel’s absence or with respect to a proposed transaction in the Company’s securities by the General Counsel, the Insider Trading Compliance Officer is the co-Chief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345440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117" w:right="339" w:bottom="1440" w:gutter="0" w:footer="0" w:header="0"/>
        </w:sectPr>
      </w:pPr>
    </w:p>
    <w:bookmarkStart w:id="105" w:name="page106"/>
    <w:bookmarkEnd w:id="105"/>
    <w:p>
      <w:pPr>
        <w:ind w:left="340" w:hanging="331"/>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onpublic</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6" w:lineRule="auto"/>
        <w:rPr>
          <w:sz w:val="20"/>
          <w:szCs w:val="20"/>
          <w:color w:val="auto"/>
        </w:rPr>
      </w:pPr>
      <w:r>
        <w:rPr>
          <w:rFonts w:ascii="Times New Roman" w:cs="Times New Roman" w:eastAsia="Times New Roman" w:hAnsi="Times New Roman"/>
          <w:sz w:val="18"/>
          <w:szCs w:val="18"/>
          <w:color w:val="auto"/>
        </w:rPr>
        <w:t>It is not possible to define all categories of material information. However, information should be regarded as material if there is a substantial likelihood that it would be considered important to a reasonable investor in making a voting decision or an investment decision to buy, hold or sell securities. Any information that could be expected to affect the market price of the Company’s securities, whether such information is positive or negative, should be considered material. Because trading that receives scrutiny will be evaluated after the fact with the benefit of hindsight, questions as to the materiality of particular information should be resolved in favor of materiality, and trading should be avoided. Directors, officers and certain other employees of the Company are subject to the Blackout Period provisions described in Section F.1 of this Policy.</w:t>
      </w:r>
    </w:p>
    <w:p>
      <w:pPr>
        <w:spacing w:after="0" w:line="18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62" w:lineRule="exact"/>
        <w:rPr>
          <w:sz w:val="20"/>
          <w:szCs w:val="20"/>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forecasts;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22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government agencies, such as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issuance of patents or the acquisition or disposition of other material intellectual property rights;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a pending or proposed merger, acquisition or tender offer;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a pending or proposed acquisition or disposition of significant assets;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or developments in, strategic partnerships, joint ventures, collaborations or other relationships;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discoveries or significant changes or developments in products or product lines, research or technologies;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research results or developments regarding strategic collaborators;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approvals or rejections or material correspondence from regulatory bodies;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 or supplier;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expansion or curtailment of operations;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or decreases in revenues; •</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splits and stock repurchase programs;</w:t>
      </w:r>
    </w:p>
    <w:p>
      <w:pPr>
        <w:spacing w:after="0" w:line="225" w:lineRule="exact"/>
        <w:rPr>
          <w:sz w:val="20"/>
          <w:szCs w:val="20"/>
          <w:color w:val="auto"/>
        </w:rPr>
      </w:pPr>
    </w:p>
    <w:p>
      <w:pPr>
        <w:ind w:left="980" w:hanging="323"/>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w:t>
      </w:r>
    </w:p>
    <w:p>
      <w:pPr>
        <w:spacing w:after="0" w:line="225" w:lineRule="exact"/>
        <w:rPr>
          <w:rFonts w:ascii="Times New Roman" w:cs="Times New Roman" w:eastAsia="Times New Roman" w:hAnsi="Times New Roman"/>
          <w:sz w:val="18"/>
          <w:szCs w:val="18"/>
          <w:color w:val="auto"/>
        </w:rPr>
      </w:pPr>
    </w:p>
    <w:p>
      <w:pPr>
        <w:ind w:left="20" w:right="4820" w:firstLine="637"/>
        <w:spacing w:after="0" w:line="500" w:lineRule="auto"/>
        <w:tabs>
          <w:tab w:leader="none" w:pos="9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or the resolution of such litigation; • Significant related party transactions;</w:t>
      </w:r>
    </w:p>
    <w:p>
      <w:pPr>
        <w:spacing w:after="0" w:line="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an auditor’s report may no longer be relied upon; and</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or senior management.</w:t>
      </w:r>
    </w:p>
    <w:p>
      <w:pPr>
        <w:spacing w:after="0" w:line="221"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is material information about the Company that (1) has not been previously disclosed to the general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Dow Jones “broad tape,” newswire services, a broadcast on widely-available radio or television programs, publication in a widely-available newspaper, magazine or news website, or in a document filed with the SEC that is available on the SEC’s website or (2) has not been available to the general public for at least two (2) Trading Days. As used in this Policy, the term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or the primary quotation system or national securities exchange on which the Company’s common stock is then traded or listed, is open for trading. For purposes of this Policy,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354330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360" w:right="339" w:bottom="1440" w:gutter="0" w:footer="0" w:header="0"/>
        </w:sectPr>
      </w:pPr>
    </w:p>
    <w:bookmarkStart w:id="106" w:name="page107"/>
    <w:bookmarkEnd w:id="106"/>
    <w:p>
      <w:pPr>
        <w:ind w:left="5404"/>
        <w:spacing w:after="0"/>
        <w:rPr>
          <w:sz w:val="20"/>
          <w:szCs w:val="20"/>
          <w:color w:val="auto"/>
        </w:rPr>
      </w:pPr>
      <w:r>
        <w:rPr>
          <w:rFonts w:ascii="Times New Roman" w:cs="Times New Roman" w:eastAsia="Times New Roman" w:hAnsi="Times New Roman"/>
          <w:sz w:val="18"/>
          <w:szCs w:val="18"/>
          <w:b w:val="1"/>
          <w:bCs w:val="1"/>
          <w:u w:val="single" w:color="auto"/>
          <w:color w:val="auto"/>
        </w:rPr>
        <w:t>Statement of Policy</w:t>
      </w:r>
    </w:p>
    <w:p>
      <w:pPr>
        <w:spacing w:after="0" w:line="225" w:lineRule="exact"/>
        <w:rPr>
          <w:sz w:val="20"/>
          <w:szCs w:val="20"/>
          <w:color w:val="auto"/>
        </w:rPr>
      </w:pPr>
    </w:p>
    <w:p>
      <w:pPr>
        <w:ind w:left="344" w:hanging="331"/>
        <w:spacing w:after="0"/>
        <w:tabs>
          <w:tab w:leader="none" w:pos="34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666"/>
        <w:spacing w:after="0" w:line="282" w:lineRule="auto"/>
        <w:rPr>
          <w:sz w:val="20"/>
          <w:szCs w:val="20"/>
          <w:color w:val="auto"/>
        </w:rPr>
      </w:pPr>
      <w:r>
        <w:rPr>
          <w:rFonts w:ascii="Times New Roman" w:cs="Times New Roman" w:eastAsia="Times New Roman" w:hAnsi="Times New Roman"/>
          <w:sz w:val="18"/>
          <w:szCs w:val="18"/>
          <w:color w:val="auto"/>
        </w:rPr>
        <w:t>It is the policy of the Company to oppose the unauthorized disclosure of any nonpublic information acquired in the workplace, the use of Material Nonpublic Information in securities trading, and any other violation of applicable securities laws.</w:t>
      </w:r>
    </w:p>
    <w:p>
      <w:pPr>
        <w:spacing w:after="0" w:line="158" w:lineRule="exact"/>
        <w:rPr>
          <w:sz w:val="20"/>
          <w:szCs w:val="20"/>
          <w:color w:val="auto"/>
        </w:rPr>
      </w:pPr>
    </w:p>
    <w:p>
      <w:pPr>
        <w:ind w:left="324" w:hanging="324"/>
        <w:spacing w:after="0"/>
        <w:tabs>
          <w:tab w:leader="none" w:pos="3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pecific</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20" w:firstLine="662"/>
        <w:spacing w:after="0" w:line="253" w:lineRule="auto"/>
        <w:tabs>
          <w:tab w:leader="none" w:pos="981"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on Material Nonpublic Information</w:t>
      </w:r>
      <w:r>
        <w:rPr>
          <w:rFonts w:ascii="Times New Roman" w:cs="Times New Roman" w:eastAsia="Times New Roman" w:hAnsi="Times New Roman"/>
          <w:sz w:val="18"/>
          <w:szCs w:val="18"/>
          <w:color w:val="auto"/>
        </w:rPr>
        <w:t>. No employee, officer or director of the Company and no Family Member of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any other person designated by this Policy or by the Insider Trading Compliance Officer as subject to this Policy), shall engage in any transaction involving a purchase or sale of the Company’s securities, including any offer to purchase or offer to sell (other than pursuant to a trading plan that complies with SEC Rule 10b5- 1 and is implemented in accordance with Section G of this Policy), during any period commencing with the date that he or she possesses Material Nonpublic Information and ending at the close of business on the second Trading Day following the date of public disclosure of that information, or at such time as such nonpublic information is no longer material. If, for example, the Company were to make an announcement of previously Material Nonpublic Information on a Monday, employees, officers and directors who had access to such information prior to such time shall not trade in the Company’s securities prior to that Thursday. “Purchase” and “sale” are defined broadly under the federal securities laws. “</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color w:val="auto"/>
        </w:rPr>
        <w:t>” includes not only the actual purchase of a security, but any contract to purchase or otherwise acquire a security.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color w:val="auto"/>
        </w:rPr>
        <w:t>” includes not only the actual sale of a security, but also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89" w:lineRule="exact"/>
        <w:rPr>
          <w:rFonts w:ascii="Times New Roman" w:cs="Times New Roman" w:eastAsia="Times New Roman" w:hAnsi="Times New Roman"/>
          <w:sz w:val="18"/>
          <w:szCs w:val="18"/>
          <w:b w:val="1"/>
          <w:bCs w:val="1"/>
          <w:color w:val="auto"/>
        </w:rPr>
      </w:pPr>
    </w:p>
    <w:p>
      <w:pPr>
        <w:ind w:left="4" w:right="340" w:firstLine="662"/>
        <w:spacing w:after="0" w:line="268" w:lineRule="auto"/>
        <w:tabs>
          <w:tab w:leader="none" w:pos="981"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No employee, officer or director of the Company shall disclose or pass on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Nonpublic Information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including a Family Member or friend, nor shall such person make recommendations or express opinions on the basis of Material Nonpublic Information with respect to trading in the Company’s securities.</w:t>
      </w:r>
    </w:p>
    <w:p>
      <w:pPr>
        <w:spacing w:after="0" w:line="170" w:lineRule="exact"/>
        <w:rPr>
          <w:rFonts w:ascii="Times New Roman" w:cs="Times New Roman" w:eastAsia="Times New Roman" w:hAnsi="Times New Roman"/>
          <w:sz w:val="18"/>
          <w:szCs w:val="18"/>
          <w:b w:val="1"/>
          <w:bCs w:val="1"/>
          <w:color w:val="auto"/>
        </w:rPr>
      </w:pPr>
    </w:p>
    <w:p>
      <w:pPr>
        <w:ind w:left="24" w:right="560" w:firstLine="642"/>
        <w:spacing w:after="0" w:line="286" w:lineRule="auto"/>
        <w:tabs>
          <w:tab w:leader="none" w:pos="987"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of Nonpublic Information</w:t>
      </w:r>
      <w:r>
        <w:rPr>
          <w:rFonts w:ascii="Times New Roman" w:cs="Times New Roman" w:eastAsia="Times New Roman" w:hAnsi="Times New Roman"/>
          <w:sz w:val="18"/>
          <w:szCs w:val="18"/>
          <w:color w:val="auto"/>
        </w:rPr>
        <w:t>. Nonpublic information relating to the Company is the property of the Company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unauthorized disclosure of such information is forbidden.</w:t>
      </w:r>
    </w:p>
    <w:p>
      <w:pPr>
        <w:spacing w:after="0" w:line="154" w:lineRule="exact"/>
        <w:rPr>
          <w:rFonts w:ascii="Times New Roman" w:cs="Times New Roman" w:eastAsia="Times New Roman" w:hAnsi="Times New Roman"/>
          <w:sz w:val="18"/>
          <w:szCs w:val="18"/>
          <w:b w:val="1"/>
          <w:bCs w:val="1"/>
          <w:color w:val="auto"/>
        </w:rPr>
      </w:pPr>
    </w:p>
    <w:p>
      <w:pPr>
        <w:ind w:left="344" w:hanging="331"/>
        <w:spacing w:after="0"/>
        <w:tabs>
          <w:tab w:leader="none" w:pos="34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riminal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ivil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isciplinary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80" w:firstLine="662"/>
        <w:spacing w:after="0" w:line="268" w:lineRule="auto"/>
        <w:tabs>
          <w:tab w:leader="none" w:pos="985" w:val="left"/>
        </w:tabs>
        <w:numPr>
          <w:ilvl w:val="2"/>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Insider Trading</w:t>
      </w:r>
      <w:r>
        <w:rPr>
          <w:rFonts w:ascii="Times New Roman" w:cs="Times New Roman" w:eastAsia="Times New Roman" w:hAnsi="Times New Roman"/>
          <w:sz w:val="18"/>
          <w:szCs w:val="18"/>
          <w:color w:val="auto"/>
        </w:rPr>
        <w:t>. Any employee, officer or director of the Company who engages in a transaction in the Company’s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 time when he or she has knowledge of Material Nonpublic Information may be subject to an SEC civil investigation, cease and desist order or other administrative action, and incur federal and state law penalties and sanctions, including but not limited to:</w:t>
      </w:r>
    </w:p>
    <w:p>
      <w:pPr>
        <w:spacing w:after="0" w:line="174" w:lineRule="exact"/>
        <w:rPr>
          <w:rFonts w:ascii="Times New Roman" w:cs="Times New Roman" w:eastAsia="Times New Roman" w:hAnsi="Times New Roman"/>
          <w:sz w:val="18"/>
          <w:szCs w:val="18"/>
          <w:b w:val="1"/>
          <w:bCs w:val="1"/>
          <w:color w:val="auto"/>
        </w:rPr>
      </w:pPr>
    </w:p>
    <w:p>
      <w:pPr>
        <w:ind w:left="984" w:hanging="323"/>
        <w:spacing w:after="0"/>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 years in jail;</w:t>
      </w:r>
    </w:p>
    <w:p>
      <w:pPr>
        <w:spacing w:after="0" w:line="225" w:lineRule="exact"/>
        <w:rPr>
          <w:rFonts w:ascii="Times New Roman" w:cs="Times New Roman" w:eastAsia="Times New Roman" w:hAnsi="Times New Roman"/>
          <w:sz w:val="18"/>
          <w:szCs w:val="18"/>
          <w:color w:val="auto"/>
        </w:rPr>
      </w:pPr>
    </w:p>
    <w:p>
      <w:pPr>
        <w:ind w:left="984" w:hanging="323"/>
        <w:spacing w:after="0"/>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of up to $5,000,000;</w:t>
      </w:r>
    </w:p>
    <w:p>
      <w:pPr>
        <w:spacing w:after="0" w:line="225" w:lineRule="exact"/>
        <w:rPr>
          <w:rFonts w:ascii="Times New Roman" w:cs="Times New Roman" w:eastAsia="Times New Roman" w:hAnsi="Times New Roman"/>
          <w:sz w:val="18"/>
          <w:szCs w:val="18"/>
          <w:color w:val="auto"/>
        </w:rPr>
      </w:pPr>
    </w:p>
    <w:p>
      <w:pPr>
        <w:ind w:left="984" w:hanging="323"/>
        <w:spacing w:after="0"/>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(3) times the profit gained or loss avoided as a result of the insider trading;</w:t>
      </w:r>
    </w:p>
    <w:p>
      <w:pPr>
        <w:spacing w:after="0" w:line="225" w:lineRule="exact"/>
        <w:rPr>
          <w:rFonts w:ascii="Times New Roman" w:cs="Times New Roman" w:eastAsia="Times New Roman" w:hAnsi="Times New Roman"/>
          <w:sz w:val="18"/>
          <w:szCs w:val="18"/>
          <w:color w:val="auto"/>
        </w:rPr>
      </w:pPr>
    </w:p>
    <w:p>
      <w:pPr>
        <w:ind w:left="984" w:hanging="323"/>
        <w:spacing w:after="0"/>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civil enforcement injunctions; and</w:t>
      </w:r>
    </w:p>
    <w:p>
      <w:pPr>
        <w:spacing w:after="0" w:line="225" w:lineRule="exact"/>
        <w:rPr>
          <w:rFonts w:ascii="Times New Roman" w:cs="Times New Roman" w:eastAsia="Times New Roman" w:hAnsi="Times New Roman"/>
          <w:sz w:val="18"/>
          <w:szCs w:val="18"/>
          <w:color w:val="auto"/>
        </w:rPr>
      </w:pPr>
    </w:p>
    <w:p>
      <w:pPr>
        <w:ind w:left="984" w:hanging="323"/>
        <w:spacing w:after="0"/>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bar from serving as an officer or director of a public company.</w:t>
      </w:r>
    </w:p>
    <w:p>
      <w:pPr>
        <w:spacing w:after="0" w:line="223" w:lineRule="exact"/>
        <w:rPr>
          <w:sz w:val="20"/>
          <w:szCs w:val="20"/>
          <w:color w:val="auto"/>
        </w:rPr>
      </w:pPr>
    </w:p>
    <w:p>
      <w:pPr>
        <w:ind w:left="4" w:right="20" w:firstLine="666"/>
        <w:spacing w:after="0" w:line="284" w:lineRule="auto"/>
        <w:rPr>
          <w:sz w:val="20"/>
          <w:szCs w:val="20"/>
          <w:color w:val="auto"/>
        </w:rPr>
      </w:pPr>
      <w:r>
        <w:rPr>
          <w:rFonts w:ascii="Times New Roman" w:cs="Times New Roman" w:eastAsia="Times New Roman" w:hAnsi="Times New Roman"/>
          <w:sz w:val="18"/>
          <w:szCs w:val="18"/>
          <w:color w:val="auto"/>
        </w:rPr>
        <w:t xml:space="preserve">There is no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to the rule against insider trading. Use of inside information to gain personal benefit is as illegal with respect to one share of stock as it is with respect to a large number of shares.</w:t>
      </w:r>
    </w:p>
    <w:p>
      <w:pPr>
        <w:spacing w:after="0" w:line="156" w:lineRule="exact"/>
        <w:rPr>
          <w:sz w:val="20"/>
          <w:szCs w:val="20"/>
          <w:color w:val="auto"/>
        </w:rPr>
      </w:pPr>
    </w:p>
    <w:p>
      <w:pPr>
        <w:ind w:left="984" w:hanging="318"/>
        <w:spacing w:after="0"/>
        <w:tabs>
          <w:tab w:leader="none" w:pos="98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Tipping</w:t>
      </w:r>
      <w:r>
        <w:rPr>
          <w:rFonts w:ascii="Times New Roman" w:cs="Times New Roman" w:eastAsia="Times New Roman" w:hAnsi="Times New Roman"/>
          <w:sz w:val="18"/>
          <w:szCs w:val="18"/>
          <w:color w:val="auto"/>
        </w:rPr>
        <w:t>. Any employee, officer or director of the Company who tips (“</w:t>
      </w:r>
      <w:r>
        <w:rPr>
          <w:rFonts w:ascii="Times New Roman" w:cs="Times New Roman" w:eastAsia="Times New Roman" w:hAnsi="Times New Roman"/>
          <w:sz w:val="18"/>
          <w:szCs w:val="18"/>
          <w:b w:val="1"/>
          <w:bCs w:val="1"/>
          <w:i w:val="1"/>
          <w:iCs w:val="1"/>
          <w:color w:val="auto"/>
        </w:rPr>
        <w:t>tippers</w:t>
      </w:r>
      <w:r>
        <w:rPr>
          <w:rFonts w:ascii="Times New Roman" w:cs="Times New Roman" w:eastAsia="Times New Roman" w:hAnsi="Times New Roman"/>
          <w:sz w:val="18"/>
          <w:szCs w:val="18"/>
          <w:color w:val="auto"/>
        </w:rPr>
        <w:t>”) a third party (commonly referred to as a</w:t>
      </w:r>
    </w:p>
    <w:p>
      <w:pPr>
        <w:spacing w:after="0" w:line="31"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may also be liable for improper transactions by tippees to whom they have tipped Material Nonpublic Information regarding the Company or to whom they have made recommendations or expressed opinions on the basis of such information as to trading in the Company’s securities. Tippers and tippees would be subject to the same penalties and sanctions as described above, and the SEC has imposed large penalties even when the tipper or tippee did not profit from the trading. The SEC and the national securities exchanges use sophisticated electronic surveillance techniques to assess and uncover insider trading.</w:t>
      </w:r>
    </w:p>
    <w:p>
      <w:pPr>
        <w:spacing w:after="0" w:line="183" w:lineRule="exact"/>
        <w:rPr>
          <w:sz w:val="20"/>
          <w:szCs w:val="20"/>
          <w:color w:val="auto"/>
        </w:rPr>
      </w:pPr>
    </w:p>
    <w:p>
      <w:pPr>
        <w:ind w:left="24" w:right="60" w:firstLine="642"/>
        <w:spacing w:after="0" w:line="286" w:lineRule="auto"/>
        <w:tabs>
          <w:tab w:leader="none" w:pos="987"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Control Persons</w:t>
      </w:r>
      <w:r>
        <w:rPr>
          <w:rFonts w:ascii="Times New Roman" w:cs="Times New Roman" w:eastAsia="Times New Roman" w:hAnsi="Times New Roman"/>
          <w:sz w:val="18"/>
          <w:szCs w:val="18"/>
          <w:color w:val="auto"/>
        </w:rPr>
        <w:t>. The Company and its supervisory personnel, if they fail to take appropriate steps to prevent illegal insider trading, may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circumstances be subject to the following penalties, among others:</w:t>
      </w:r>
    </w:p>
    <w:p>
      <w:pPr>
        <w:spacing w:after="0" w:line="158" w:lineRule="exact"/>
        <w:rPr>
          <w:rFonts w:ascii="Times New Roman" w:cs="Times New Roman" w:eastAsia="Times New Roman" w:hAnsi="Times New Roman"/>
          <w:sz w:val="18"/>
          <w:szCs w:val="18"/>
          <w:b w:val="1"/>
          <w:bCs w:val="1"/>
          <w:color w:val="auto"/>
        </w:rPr>
      </w:pPr>
    </w:p>
    <w:p>
      <w:pPr>
        <w:ind w:left="984" w:hanging="323"/>
        <w:spacing w:after="0"/>
        <w:tabs>
          <w:tab w:leader="none" w:pos="9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the greater of $1,525,000 (subject to adjustment) or three (3)</w:t>
      </w:r>
    </w:p>
    <w:p>
      <w:pPr>
        <w:spacing w:after="0" w:line="225"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8"/>
          <w:szCs w:val="18"/>
          <w:color w:val="auto"/>
        </w:rPr>
        <w:t>times the profit gained or loss avoided as a result of the employee’s violation; and</w:t>
      </w:r>
    </w:p>
    <w:p>
      <w:pPr>
        <w:spacing w:after="0" w:line="225" w:lineRule="exact"/>
        <w:rPr>
          <w:sz w:val="20"/>
          <w:szCs w:val="20"/>
          <w:color w:val="auto"/>
        </w:rPr>
      </w:pPr>
    </w:p>
    <w:p>
      <w:pPr>
        <w:ind w:left="1324" w:right="4560" w:hanging="663"/>
        <w:spacing w:after="0" w:line="498" w:lineRule="auto"/>
        <w:tabs>
          <w:tab w:leader="none" w:pos="99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for individuals of up to $5,000,000 and for entities of up to $25,000,000.</w:t>
      </w:r>
    </w:p>
    <w:p>
      <w:pPr>
        <w:spacing w:after="0" w:line="1" w:lineRule="exact"/>
        <w:rPr>
          <w:rFonts w:ascii="Times New Roman" w:cs="Times New Roman" w:eastAsia="Times New Roman" w:hAnsi="Times New Roman"/>
          <w:sz w:val="18"/>
          <w:szCs w:val="18"/>
          <w:color w:val="auto"/>
        </w:rPr>
      </w:pPr>
    </w:p>
    <w:p>
      <w:pPr>
        <w:ind w:left="4" w:right="100" w:firstLine="662"/>
        <w:spacing w:after="0" w:line="262" w:lineRule="auto"/>
        <w:tabs>
          <w:tab w:leader="none" w:pos="985"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Possible Company-Imposed Disciplinary Actions</w:t>
      </w:r>
      <w:r>
        <w:rPr>
          <w:rFonts w:ascii="Times New Roman" w:cs="Times New Roman" w:eastAsia="Times New Roman" w:hAnsi="Times New Roman"/>
          <w:sz w:val="18"/>
          <w:szCs w:val="18"/>
          <w:color w:val="auto"/>
        </w:rPr>
        <w:t>. Violations of this Policy will not be tolerated. Any employee who violates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in this Policy may be subject to disciplinary action, which, depending on the nature of the violation and the history of the employee, may range from a warning or reprimand up to and including ineligibility for future participation in the Company’s equity incentive plans, termination of the employment relationship and, in appropriate cases, civil legal action or referral for regulatory or criminal prosecution.</w:t>
      </w:r>
    </w:p>
    <w:p>
      <w:pPr>
        <w:spacing w:after="0" w:line="176" w:lineRule="exact"/>
        <w:rPr>
          <w:rFonts w:ascii="Times New Roman" w:cs="Times New Roman" w:eastAsia="Times New Roman" w:hAnsi="Times New Roman"/>
          <w:sz w:val="18"/>
          <w:szCs w:val="18"/>
          <w:b w:val="1"/>
          <w:bCs w:val="1"/>
          <w:color w:val="auto"/>
        </w:rPr>
      </w:pPr>
    </w:p>
    <w:p>
      <w:pPr>
        <w:ind w:left="344" w:hanging="331"/>
        <w:spacing w:after="0"/>
        <w:tabs>
          <w:tab w:leader="none" w:pos="344"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andatory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uidelines</w:t>
      </w:r>
      <w:r>
        <w:rPr>
          <w:rFonts w:ascii="Times New Roman" w:cs="Times New Roman" w:eastAsia="Times New Roman" w:hAnsi="Times New Roman"/>
          <w:sz w:val="18"/>
          <w:szCs w:val="18"/>
          <w:color w:val="auto"/>
        </w:rPr>
        <w:t>.</w:t>
      </w:r>
    </w:p>
    <w:p>
      <w:pPr>
        <w:sectPr>
          <w:pgSz w:w="11900" w:h="16838" w:orient="portrait"/>
          <w:cols w:equalWidth="0" w:num="1">
            <w:col w:w="11124"/>
          </w:cols>
          <w:pgMar w:left="436" w:top="576" w:right="339" w:bottom="154" w:gutter="0" w:footer="0" w:header="0"/>
        </w:sectPr>
      </w:pPr>
    </w:p>
    <w:bookmarkStart w:id="107" w:name="page108"/>
    <w:bookmarkEnd w:id="107"/>
    <w:p>
      <w:pPr>
        <w:ind w:right="240" w:firstLine="662"/>
        <w:spacing w:after="0" w:line="254" w:lineRule="auto"/>
        <w:tabs>
          <w:tab w:leader="none" w:pos="97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Trading Blackout Period. </w:t>
      </w:r>
      <w:r>
        <w:rPr>
          <w:rFonts w:ascii="Times New Roman" w:cs="Times New Roman" w:eastAsia="Times New Roman" w:hAnsi="Times New Roman"/>
          <w:sz w:val="18"/>
          <w:szCs w:val="18"/>
          <w:color w:val="auto"/>
        </w:rPr>
        <w:t>To ensure compliance with this Policy and applicable securities laws, and to avoid even the appearance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trading on the basis of inside information, the Company requires that its directors and executive officers, each of whom is set forth on </w:t>
      </w:r>
      <w:r>
        <w:rPr>
          <w:rFonts w:ascii="Times New Roman" w:cs="Times New Roman" w:eastAsia="Times New Roman" w:hAnsi="Times New Roman"/>
          <w:sz w:val="18"/>
          <w:szCs w:val="18"/>
          <w:b w:val="1"/>
          <w:bCs w:val="1"/>
          <w:color w:val="auto"/>
        </w:rPr>
        <w:t>APPENDIX A</w:t>
      </w:r>
      <w:r>
        <w:rPr>
          <w:rFonts w:ascii="Times New Roman" w:cs="Times New Roman" w:eastAsia="Times New Roman" w:hAnsi="Times New Roman"/>
          <w:sz w:val="18"/>
          <w:szCs w:val="18"/>
          <w:color w:val="auto"/>
        </w:rPr>
        <w:t xml:space="preserve"> attached hereto, any other employees in the finance department of the Company set forth on </w:t>
      </w:r>
      <w:r>
        <w:rPr>
          <w:rFonts w:ascii="Times New Roman" w:cs="Times New Roman" w:eastAsia="Times New Roman" w:hAnsi="Times New Roman"/>
          <w:sz w:val="18"/>
          <w:szCs w:val="18"/>
          <w:b w:val="1"/>
          <w:bCs w:val="1"/>
          <w:color w:val="auto"/>
        </w:rPr>
        <w:t>APPENDIX B</w:t>
      </w:r>
      <w:r>
        <w:rPr>
          <w:rFonts w:ascii="Times New Roman" w:cs="Times New Roman" w:eastAsia="Times New Roman" w:hAnsi="Times New Roman"/>
          <w:sz w:val="18"/>
          <w:szCs w:val="18"/>
          <w:color w:val="auto"/>
        </w:rPr>
        <w:t xml:space="preserve"> attached hereto, and any other employees designated by the Insider Trading Compliance Officer as subject to the Blackout Period (as defined below) prohibitions because of their access to the Company’s internal financial statements or other Material Nonpublic Information regarding the Company’s performance during annual and quarterly fiscal periods, which employees are set forth on </w:t>
      </w:r>
      <w:r>
        <w:rPr>
          <w:rFonts w:ascii="Times New Roman" w:cs="Times New Roman" w:eastAsia="Times New Roman" w:hAnsi="Times New Roman"/>
          <w:sz w:val="18"/>
          <w:szCs w:val="18"/>
          <w:b w:val="1"/>
          <w:bCs w:val="1"/>
          <w:color w:val="auto"/>
        </w:rPr>
        <w:t>APPENDIX C</w:t>
      </w:r>
      <w:r>
        <w:rPr>
          <w:rFonts w:ascii="Times New Roman" w:cs="Times New Roman" w:eastAsia="Times New Roman" w:hAnsi="Times New Roman"/>
          <w:sz w:val="18"/>
          <w:szCs w:val="18"/>
          <w:color w:val="auto"/>
        </w:rPr>
        <w:t xml:space="preserve"> attached hereto (each of the individuals identified in </w:t>
      </w:r>
      <w:r>
        <w:rPr>
          <w:rFonts w:ascii="Times New Roman" w:cs="Times New Roman" w:eastAsia="Times New Roman" w:hAnsi="Times New Roman"/>
          <w:sz w:val="18"/>
          <w:szCs w:val="18"/>
          <w:b w:val="1"/>
          <w:bCs w:val="1"/>
          <w:color w:val="auto"/>
        </w:rPr>
        <w:t>APPENDICES A through C</w:t>
      </w:r>
      <w:r>
        <w:rPr>
          <w:rFonts w:ascii="Times New Roman" w:cs="Times New Roman" w:eastAsia="Times New Roman" w:hAnsi="Times New Roman"/>
          <w:sz w:val="18"/>
          <w:szCs w:val="18"/>
          <w:color w:val="auto"/>
        </w:rPr>
        <w:t xml:space="preserve"> are collectively referred to herein as the “</w:t>
      </w:r>
      <w:r>
        <w:rPr>
          <w:rFonts w:ascii="Times New Roman" w:cs="Times New Roman" w:eastAsia="Times New Roman" w:hAnsi="Times New Roman"/>
          <w:sz w:val="18"/>
          <w:szCs w:val="18"/>
          <w:b w:val="1"/>
          <w:bCs w:val="1"/>
          <w:i w:val="1"/>
          <w:iCs w:val="1"/>
          <w:color w:val="auto"/>
        </w:rPr>
        <w:t>Designated Insiders</w:t>
      </w:r>
      <w:r>
        <w:rPr>
          <w:rFonts w:ascii="Times New Roman" w:cs="Times New Roman" w:eastAsia="Times New Roman" w:hAnsi="Times New Roman"/>
          <w:sz w:val="18"/>
          <w:szCs w:val="18"/>
          <w:color w:val="auto"/>
        </w:rPr>
        <w:t>”), and Family Members of the foregoing, refrain from conducting transactions involving the purchase or sale of the Company’s securities during the Blackout Periods established below. Each of the following periods will constitute a “Blackout Period”:</w:t>
      </w:r>
    </w:p>
    <w:p>
      <w:pPr>
        <w:spacing w:after="0" w:line="192" w:lineRule="exact"/>
        <w:rPr>
          <w:sz w:val="20"/>
          <w:szCs w:val="20"/>
          <w:color w:val="auto"/>
        </w:rPr>
      </w:pPr>
    </w:p>
    <w:p>
      <w:pPr>
        <w:jc w:val="both"/>
        <w:ind w:left="960" w:firstLine="18"/>
        <w:spacing w:after="0" w:line="255" w:lineRule="auto"/>
        <w:rPr>
          <w:sz w:val="20"/>
          <w:szCs w:val="20"/>
          <w:color w:val="auto"/>
        </w:rPr>
      </w:pPr>
      <w:r>
        <w:rPr>
          <w:rFonts w:ascii="Times New Roman" w:cs="Times New Roman" w:eastAsia="Times New Roman" w:hAnsi="Times New Roman"/>
          <w:sz w:val="18"/>
          <w:szCs w:val="18"/>
          <w:color w:val="auto"/>
        </w:rPr>
        <w:t>The period commencing 15 days prior to the end of each fiscal quarter and ending at the close of business on the second Trading Day following the date of public disclosure of the Company’s financial results for that quarter. For purposes of clarification, the 15th day of such 15-day period shall be the last date of such fiscal quarter, such that the first day of the Blackout Period each year for (a) the first quarter shall be March 17th; (b) the second quarter shall be June 16th; (c) the third quarter shall be September 16th; and (d) the fourth quarter shall be December 17th. If such public disclosure occurs on a Trading Day before the markets close, then that day shall be considered the first Trading Day. If such public disclosure occurs after the markets close on a Trading Day, then the date of public disclosure shall not be considered the first Trading Day following the date of public disclosure.</w:t>
      </w:r>
    </w:p>
    <w:p>
      <w:pPr>
        <w:spacing w:after="0" w:line="189"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In addition to the Blackout Periods described above, the Company may announce “special” Blackout Periods from time to time if, in the judgment of the Company’s Chief Executive Officer or the Insider Trading Compliance Officer, there are nonpublic developments that would be considered material for insider trading law purposes, such as, among other things, developments relating to regulatory matters, litigation or a major corporate transaction. Depending on the circumstances, a “special” Blackout Period may apply to all Designated Insiders or only to a specific group of Designated Insiders. The Insider Trading Compliance Officer will provide written notice to Designated Insiders subject to a “special” Blackout Period. Any person made aware of the existence of a “special” Blackout Period should not disclose the existence of the “special” Blackout Period to any other person. The failure of the Company to designate a person as being subject to a “special” Blackout Period will not relieve that person of the obligation not to trade while he or she is aware of Material Nonpublic Information. As used in this Policy, the term “Blackout Period” shall mean all periodic Blackout Periods and all “special” Blackout Periods announced by the Company.</w:t>
      </w:r>
    </w:p>
    <w:p>
      <w:pPr>
        <w:spacing w:after="0" w:line="188"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The purpose behind the Blackout Period is to help establish a diligent effort to avoid any improper transactions. Trading in the Company’s securities outside a Blackout Period should not be considered a “safe harbor,” and all employees, officers and directors of the Company and other persons subject to this Policy should use good judgment at all times. Even outside a Blackout Period, any person possessing Material Nonpublic Information concerning the Company should not engage in any transactions in the Company’s securities until such information has been known publicly for at least two Trading Days after the date of announcement. Although the Company may from time to time impose “special” Blackout Periods, because of developments known to the Company and not yet disclosed to the public, each person is individually responsible at all times for compliance with the prohibitions against insider trading.</w:t>
      </w:r>
    </w:p>
    <w:p>
      <w:pPr>
        <w:spacing w:after="0" w:line="189"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Transactions effected pursuant to a SEC Rule 10b5 1 trading plan implemented in accordance with Section G of this Policy are not subject to Blackout Periods.</w:t>
      </w:r>
    </w:p>
    <w:p>
      <w:pPr>
        <w:spacing w:after="0" w:line="158" w:lineRule="exact"/>
        <w:rPr>
          <w:sz w:val="20"/>
          <w:szCs w:val="20"/>
          <w:color w:val="auto"/>
        </w:rPr>
      </w:pPr>
    </w:p>
    <w:p>
      <w:pPr>
        <w:ind w:firstLine="662"/>
        <w:spacing w:after="0" w:line="259" w:lineRule="auto"/>
        <w:tabs>
          <w:tab w:leader="none" w:pos="981"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of Trades</w:t>
      </w:r>
      <w:r>
        <w:rPr>
          <w:rFonts w:ascii="Times New Roman" w:cs="Times New Roman" w:eastAsia="Times New Roman" w:hAnsi="Times New Roman"/>
          <w:sz w:val="18"/>
          <w:szCs w:val="18"/>
          <w:color w:val="auto"/>
        </w:rPr>
        <w:t>. The Company has determined that all directors and executive officers and their Family Members must refrain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transacting in the Company’s securities without first complying with the Company’s “pre-clearance” process. Each director or executive officer must contact the Insider Trading Compliance Officer not less than two (2) Trading Days prior to commencing any such transaction, or before any of their Family Members commences any transaction, in the Company’s securities. This pre-clearance requirement applies to any transaction or transfer involving the Company’s securities, including a gift, transfer to a trust or any other transfer.</w:t>
      </w:r>
    </w:p>
    <w:p>
      <w:pPr>
        <w:spacing w:after="0" w:line="183"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Company may also find it necessary, from time to time, to require compliance with the pre-clearance process from other employees designated as Designated Insiders. In such event, the Company will provide notice to such employees of their need to comply with the Company’s pre-clearance process.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Designated Insider may engage in any transaction in the Company’s securities unless the transaction is pre-cleared by the Insider Trading Compliance Officer (provided that transactions in the Company’s securities by the Insider Trading Compliance Officer are subject to approval by the Company’s Chief Legal Officer). The Insider Trading Compliance Officer and the Company’s Chief Legal Officer are not under any obligation to approve a transaction submitted for pre-clearance, and each may determine not to permit a transaction.</w:t>
      </w:r>
    </w:p>
    <w:p>
      <w:pPr>
        <w:spacing w:after="0" w:line="180"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To facilitate the process, the Insider Trading Compliance Officer will email all employees when they may request pre-clearance. Employees may then email the Insider Trading Compliance Officer seeking approval of trades noting whether they plan to buy or sell stock and the number of shares they plan to buy or sell. After approval, the employee will then be cleared to trade on the Company’s stock administration portal, E*Trade for a period not to exceed two business days. No transaction may be effected until the employee has received approval from the Insider Trading Compliance Officer. If, upon requesting pre-clearance or otherwise, a director or executive officer or a Family Member of a director or executive officer is advised that Company securities may not be traded or transferred, such director, executive officer or Family Member may not buy, sell or otherwise trade or transfer any Company securities under any circumstance, and may not inform anyone of such restriction. This trading and transfer restriction will apply until the director, officer or Family Member receives a subsequent pre-clearance to trade or transfer his or her Company securities.</w:t>
      </w:r>
    </w:p>
    <w:p>
      <w:pPr>
        <w:spacing w:after="0" w:line="192"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Transactions effected pursuant to a SEC Rule 10b5-1 trading plan implemented in accordance with Section G of this Policy will not require further pre-clearance at the time of each such transaction.</w:t>
      </w:r>
    </w:p>
    <w:p>
      <w:pPr>
        <w:spacing w:after="0" w:line="158" w:lineRule="exact"/>
        <w:rPr>
          <w:sz w:val="20"/>
          <w:szCs w:val="20"/>
          <w:color w:val="auto"/>
        </w:rPr>
      </w:pPr>
    </w:p>
    <w:p>
      <w:pPr>
        <w:ind w:right="100" w:firstLine="644"/>
        <w:spacing w:after="0" w:line="257" w:lineRule="auto"/>
        <w:tabs>
          <w:tab w:leader="none" w:pos="963"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Hardship Exceptions. </w:t>
      </w:r>
      <w:r>
        <w:rPr>
          <w:rFonts w:ascii="Times New Roman" w:cs="Times New Roman" w:eastAsia="Times New Roman" w:hAnsi="Times New Roman"/>
          <w:sz w:val="18"/>
          <w:szCs w:val="18"/>
          <w:color w:val="auto"/>
        </w:rPr>
        <w:t>Any Designated Insider or Family Member of such insider who has an unexpected and urgent need to sell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 order to generate cash may, in appropriate circumstances, be permitted to sell Company securities even during a Blackout Period. Hardship exceptions may be granted only by the Insider Trading Compliance Officer and must be requested at least two (2) days in advance of the proposed trade. A hardship exception may be granted only if the Insider Trading Compliance Officer concludes that the Company’s earnings information for the applicable quarter does not constitute Material Nonpublic Information. Under no circumstances will a hardship exception be granted during a “special” Blackout Period or to a director or executive officer of the Company.</w:t>
      </w:r>
    </w:p>
    <w:p>
      <w:pPr>
        <w:spacing w:after="0" w:line="182" w:lineRule="exact"/>
        <w:rPr>
          <w:rFonts w:ascii="Times New Roman" w:cs="Times New Roman" w:eastAsia="Times New Roman" w:hAnsi="Times New Roman"/>
          <w:sz w:val="18"/>
          <w:szCs w:val="18"/>
          <w:b w:val="1"/>
          <w:bCs w:val="1"/>
          <w:color w:val="auto"/>
        </w:rPr>
      </w:pPr>
    </w:p>
    <w:p>
      <w:pPr>
        <w:ind w:right="520" w:firstLine="662"/>
        <w:spacing w:after="0" w:line="291" w:lineRule="auto"/>
        <w:tabs>
          <w:tab w:leader="none" w:pos="981" w:val="left"/>
        </w:tabs>
        <w:numPr>
          <w:ilvl w:val="1"/>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Individual Responsibility</w:t>
      </w:r>
      <w:r>
        <w:rPr>
          <w:rFonts w:ascii="Times New Roman" w:cs="Times New Roman" w:eastAsia="Times New Roman" w:hAnsi="Times New Roman"/>
          <w:sz w:val="17"/>
          <w:szCs w:val="17"/>
          <w:color w:val="auto"/>
        </w:rPr>
        <w:t>. Every director, officer and employee of the Company has the individual responsibility (and must take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appropriate measures to cause such person’s Family Members) to comply with this Policy regardless of whether a transaction is executed outside a Blackout Period or is pre-cleared by the Insider Trading Compliance Officer. The restrictions and procedures are intended to help avoid inadvertent</w:t>
      </w:r>
    </w:p>
    <w:p>
      <w:pPr>
        <w:sectPr>
          <w:pgSz w:w="11900" w:h="16838" w:orient="portrait"/>
          <w:cols w:equalWidth="0" w:num="1">
            <w:col w:w="11120"/>
          </w:cols>
          <w:pgMar w:left="440" w:top="117" w:right="339" w:bottom="0" w:gutter="0" w:footer="0" w:header="0"/>
        </w:sectPr>
      </w:pPr>
    </w:p>
    <w:bookmarkStart w:id="108" w:name="page109"/>
    <w:bookmarkEnd w:id="108"/>
    <w:p>
      <w:pPr>
        <w:ind w:right="360"/>
        <w:spacing w:after="0" w:line="282" w:lineRule="auto"/>
        <w:rPr>
          <w:sz w:val="20"/>
          <w:szCs w:val="20"/>
          <w:color w:val="auto"/>
        </w:rPr>
      </w:pPr>
      <w:r>
        <w:rPr>
          <w:rFonts w:ascii="Times New Roman" w:cs="Times New Roman" w:eastAsia="Times New Roman" w:hAnsi="Times New Roman"/>
          <w:sz w:val="18"/>
          <w:szCs w:val="18"/>
          <w:color w:val="auto"/>
        </w:rPr>
        <w:t>instances of improper insider trading, but appropriate judgment should always be exercised by each director, officer and employee of the Company in connection with any transaction in the Company’s securities.</w:t>
      </w:r>
    </w:p>
    <w:p>
      <w:pPr>
        <w:spacing w:after="0" w:line="162"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director, officer or employee of the Company, or a Family Member of any such individual, may, from time to time, need to forego a proposed transaction in the Company’s securities even if he or she planned to make the transaction before learning of Material Nonpublic Information and even though the individual believes he or she may suffer an economic loss or forego anticipated profit by waiting. </w:t>
      </w:r>
      <w:r>
        <w:rPr>
          <w:rFonts w:ascii="Times New Roman" w:cs="Times New Roman" w:eastAsia="Times New Roman" w:hAnsi="Times New Roman"/>
          <w:sz w:val="18"/>
          <w:szCs w:val="18"/>
          <w:b w:val="1"/>
          <w:bCs w:val="1"/>
          <w:color w:val="auto"/>
        </w:rPr>
        <w:t>Employees, officers and directors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are responsible for ensuring compliance with this Policy by their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348615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109" w:name="page110"/>
    <w:bookmarkEnd w:id="109"/>
    <w:p>
      <w:pPr>
        <w:ind w:left="344" w:hanging="331"/>
        <w:spacing w:after="0"/>
        <w:tabs>
          <w:tab w:leader="none" w:pos="34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10</w:t>
      </w: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18"/>
          <w:szCs w:val="18"/>
          <w:b w:val="1"/>
          <w:bCs w:val="1"/>
          <w:color w:val="auto"/>
        </w:rPr>
        <w:t>5-1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66"/>
        <w:spacing w:after="0" w:line="266" w:lineRule="auto"/>
        <w:rPr>
          <w:sz w:val="20"/>
          <w:szCs w:val="20"/>
          <w:color w:val="auto"/>
        </w:rPr>
      </w:pPr>
      <w:r>
        <w:rPr>
          <w:rFonts w:ascii="Times New Roman" w:cs="Times New Roman" w:eastAsia="Times New Roman" w:hAnsi="Times New Roman"/>
          <w:sz w:val="18"/>
          <w:szCs w:val="18"/>
          <w:color w:val="auto"/>
        </w:rPr>
        <w:t>SEC Rule 10b5-1 provides an affirmative defense from insider trading liability under the federal securities laws for trading plans that meet certain requirements. It does not prevent someone from bringing a lawsuit. This Policy permits individuals to adopt SEC Rule 10b5-1 trading plans with brokers that outline a pre-set plan for transacting in the Company’s securities, including the exercise of equity awards.</w:t>
      </w:r>
    </w:p>
    <w:p>
      <w:pPr>
        <w:spacing w:after="0" w:line="17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As required by SEC Rule 10b5-1, a director, executive officer or other employee of the Company identified as a Designated Insider may implement a trading plan under SEC Rule 10b5- 1 only when he or she is not in possession of Material Nonpublic Information. In addition, a trading plan may not be entered into during a Blackout Period. Any officer or other employee of the Company identified as a Designated Insider who wishes to implement a trading plan under SEC Rule 10b5-1 must first pre-clear the plan with the Insider Trading Compliance Officer at least five (5) days prior to the entry into the plan, and also must pre-clear any amendment to such plan and any termination of a plan in advance of its expiration date, with the Insider Trading Compliance Officer. Except as set forth above, no further pre-approval of transactions conducted pursuant to trading plan under SEC Rule 10b5-1 will be required.</w:t>
      </w:r>
    </w:p>
    <w:p>
      <w:pPr>
        <w:spacing w:after="0" w:line="189"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Establishing a trading plan under SEC Rule 10b5-1 does not exempt transactions from the short-swing profit provisions of Section 16.</w:t>
      </w:r>
    </w:p>
    <w:p>
      <w:pPr>
        <w:spacing w:after="0" w:line="221" w:lineRule="exact"/>
        <w:rPr>
          <w:sz w:val="20"/>
          <w:szCs w:val="20"/>
          <w:color w:val="auto"/>
        </w:rPr>
      </w:pPr>
    </w:p>
    <w:p>
      <w:pPr>
        <w:ind w:left="344" w:hanging="331"/>
        <w:spacing w:after="0"/>
        <w:tabs>
          <w:tab w:leader="none" w:pos="344"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ertain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xceptions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right="20" w:firstLine="662"/>
        <w:spacing w:after="0" w:line="259" w:lineRule="auto"/>
        <w:tabs>
          <w:tab w:leader="none" w:pos="985"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Award Exercises</w:t>
      </w:r>
      <w:r>
        <w:rPr>
          <w:rFonts w:ascii="Times New Roman" w:cs="Times New Roman" w:eastAsia="Times New Roman" w:hAnsi="Times New Roman"/>
          <w:sz w:val="18"/>
          <w:szCs w:val="18"/>
          <w:color w:val="auto"/>
        </w:rPr>
        <w:t>. For purposes of this Policy, the Company considers the exercise of equity awards under the Company’s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plans, including any net exercise of an equity award pursuant to which you have elected to have the Company withhold shares of stock to satisfy tax withholding requirements or the exercise price of the equity award, to be exempt from this Policy. This Policy does apply, however, to any sale of stock as part of a broker assisted “cashless” exercise of an equity award, any market sale for the purpose of generating the cash needed to pay the exercise price of an equity award and any other sale of the underlying stock received upon exercise of any equity award.</w:t>
      </w:r>
    </w:p>
    <w:p>
      <w:pPr>
        <w:spacing w:after="0" w:line="179" w:lineRule="exact"/>
        <w:rPr>
          <w:rFonts w:ascii="Times New Roman" w:cs="Times New Roman" w:eastAsia="Times New Roman" w:hAnsi="Times New Roman"/>
          <w:sz w:val="18"/>
          <w:szCs w:val="18"/>
          <w:b w:val="1"/>
          <w:bCs w:val="1"/>
          <w:color w:val="auto"/>
        </w:rPr>
      </w:pPr>
    </w:p>
    <w:p>
      <w:pPr>
        <w:jc w:val="both"/>
        <w:ind w:left="4" w:right="20" w:firstLine="662"/>
        <w:spacing w:after="0" w:line="268" w:lineRule="auto"/>
        <w:tabs>
          <w:tab w:leader="none" w:pos="985"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This Policy does not apply to the vesting of restricted stock, or the exercise of a tax withholding right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an individual elects to have the Company withhold shares of stock to satisfy tax withholding requirements upon the vesting of any restricted stock. The Policy does apply, however, to any market sale of restricted stock.</w:t>
      </w:r>
    </w:p>
    <w:p>
      <w:pPr>
        <w:spacing w:after="0" w:line="170" w:lineRule="exact"/>
        <w:rPr>
          <w:rFonts w:ascii="Times New Roman" w:cs="Times New Roman" w:eastAsia="Times New Roman" w:hAnsi="Times New Roman"/>
          <w:sz w:val="18"/>
          <w:szCs w:val="18"/>
          <w:b w:val="1"/>
          <w:bCs w:val="1"/>
          <w:color w:val="auto"/>
        </w:rPr>
      </w:pPr>
    </w:p>
    <w:p>
      <w:pPr>
        <w:ind w:left="4" w:right="80" w:firstLine="644"/>
        <w:spacing w:after="0" w:line="256" w:lineRule="auto"/>
        <w:tabs>
          <w:tab w:leader="none" w:pos="967"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 This Policy does not apply to purchases of Company stock in the Company’s 401(k) plan resulting from periodic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money to the plan pursuant to payroll deduction elections. This Policy does apply, however, to certain elections that may be made under the 401(k) plan, including: (i) an election to increase or decrease the percentage of periodic contributions that will be allocated to the Company stock fund, if any; (ii) an election to make an intra-plan transfer of an existing account balance into or out of the Company stock fund;</w:t>
      </w:r>
    </w:p>
    <w:p>
      <w:pPr>
        <w:spacing w:after="0" w:line="3" w:lineRule="exact"/>
        <w:rPr>
          <w:rFonts w:ascii="Times New Roman" w:cs="Times New Roman" w:eastAsia="Times New Roman" w:hAnsi="Times New Roman"/>
          <w:sz w:val="18"/>
          <w:szCs w:val="18"/>
          <w:b w:val="1"/>
          <w:bCs w:val="1"/>
          <w:color w:val="auto"/>
        </w:rPr>
      </w:pPr>
    </w:p>
    <w:p>
      <w:pPr>
        <w:ind w:left="4"/>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an election to borrow money against a 401(k) plan account if the loan will result in a liquidation of some or all of a participant’s Company stock fund balance; and (iv) an election to pre-pay a plan loan if the pre-payment will result in allocation of loan proceeds to the Company stock fund.</w:t>
      </w:r>
    </w:p>
    <w:p>
      <w:pPr>
        <w:spacing w:after="0" w:line="177" w:lineRule="exact"/>
        <w:rPr>
          <w:rFonts w:ascii="Times New Roman" w:cs="Times New Roman" w:eastAsia="Times New Roman" w:hAnsi="Times New Roman"/>
          <w:sz w:val="18"/>
          <w:szCs w:val="18"/>
          <w:b w:val="1"/>
          <w:bCs w:val="1"/>
          <w:color w:val="auto"/>
        </w:rPr>
      </w:pPr>
    </w:p>
    <w:p>
      <w:pPr>
        <w:ind w:left="4" w:right="40" w:firstLine="662"/>
        <w:spacing w:after="0" w:line="259" w:lineRule="auto"/>
        <w:tabs>
          <w:tab w:leader="none" w:pos="985"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This Policy does not apply to purchases of Company stock in any employee stock purchase plan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resulting from periodic contributions of money to the plan pursuant to the elections made at the time of enrollment in the plan. This Policy also does not apply to purchases of Company stock resulting from lump sum contributions to the plan;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participant elected to participate by lump-sum payment at the beginning of the applicable enrollment period. This Policy does apply to a participant’s election to participate, or increase his or her participation, in the plan, and to a participant’s sales of Company stock purchased pursuant to the plan.</w:t>
      </w:r>
    </w:p>
    <w:p>
      <w:pPr>
        <w:spacing w:after="0" w:line="179" w:lineRule="exact"/>
        <w:rPr>
          <w:rFonts w:ascii="Times New Roman" w:cs="Times New Roman" w:eastAsia="Times New Roman" w:hAnsi="Times New Roman"/>
          <w:sz w:val="18"/>
          <w:szCs w:val="18"/>
          <w:b w:val="1"/>
          <w:bCs w:val="1"/>
          <w:color w:val="auto"/>
        </w:rPr>
      </w:pPr>
    </w:p>
    <w:p>
      <w:pPr>
        <w:ind w:left="4" w:right="20" w:firstLine="662"/>
        <w:spacing w:after="0" w:line="262" w:lineRule="auto"/>
        <w:tabs>
          <w:tab w:leader="none" w:pos="985"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Reinvestment Plan</w:t>
      </w:r>
      <w:r>
        <w:rPr>
          <w:rFonts w:ascii="Times New Roman" w:cs="Times New Roman" w:eastAsia="Times New Roman" w:hAnsi="Times New Roman"/>
          <w:sz w:val="18"/>
          <w:szCs w:val="18"/>
          <w:color w:val="auto"/>
        </w:rPr>
        <w:t>. This Policy does not apply to purchases of Company stock under any dividend reinvestment plan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resulting from reinvestment of dividends paid on Company securities. This Policy does apply, however, to voluntary purchases of Company stock that result from additional contributions a participant chooses to make to the plan, and to a participant’s election to participate in the plan or increase his or her level of participation in the plan. This Policy also applies to his or her sale of any Company stock purchased pursuant to the plan.</w:t>
      </w:r>
    </w:p>
    <w:p>
      <w:pPr>
        <w:spacing w:after="0" w:line="176" w:lineRule="exact"/>
        <w:rPr>
          <w:rFonts w:ascii="Times New Roman" w:cs="Times New Roman" w:eastAsia="Times New Roman" w:hAnsi="Times New Roman"/>
          <w:sz w:val="18"/>
          <w:szCs w:val="18"/>
          <w:b w:val="1"/>
          <w:bCs w:val="1"/>
          <w:color w:val="auto"/>
        </w:rPr>
      </w:pPr>
    </w:p>
    <w:p>
      <w:pPr>
        <w:ind w:left="344" w:hanging="331"/>
        <w:spacing w:after="0"/>
        <w:tabs>
          <w:tab w:leader="none" w:pos="34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pplicability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 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nside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66"/>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(collectively, “</w:t>
      </w:r>
      <w:r>
        <w:rPr>
          <w:rFonts w:ascii="Times New Roman" w:cs="Times New Roman" w:eastAsia="Times New Roman" w:hAnsi="Times New Roman"/>
          <w:sz w:val="18"/>
          <w:szCs w:val="18"/>
          <w:b w:val="1"/>
          <w:bCs w:val="1"/>
          <w:i w:val="1"/>
          <w:iCs w:val="1"/>
          <w:color w:val="auto"/>
        </w:rPr>
        <w:t>business partners</w:t>
      </w:r>
      <w:r>
        <w:rPr>
          <w:rFonts w:ascii="Times New Roman" w:cs="Times New Roman" w:eastAsia="Times New Roman" w:hAnsi="Times New Roman"/>
          <w:sz w:val="18"/>
          <w:szCs w:val="18"/>
          <w:color w:val="auto"/>
        </w:rPr>
        <w:t>”), when that information is obtained in the course of employment with, or other services performed on behalf of, the Company. Civil and criminal penalties, and termination of employment or removal from our Board of Directors, may result from trading on inside information regarding the Company’s business partners. All Company employees should treat material nonpublic information about the Company’s business partners with the same care required with respect to information related directly to the Company.</w:t>
      </w:r>
    </w:p>
    <w:p>
      <w:pPr>
        <w:spacing w:after="0" w:line="179" w:lineRule="exact"/>
        <w:rPr>
          <w:sz w:val="20"/>
          <w:szCs w:val="20"/>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16 L</w:t>
      </w:r>
      <w:r>
        <w:rPr>
          <w:rFonts w:ascii="Times New Roman" w:cs="Times New Roman" w:eastAsia="Times New Roman" w:hAnsi="Times New Roman"/>
          <w:sz w:val="12"/>
          <w:szCs w:val="12"/>
          <w:b w:val="1"/>
          <w:bCs w:val="1"/>
          <w:color w:val="auto"/>
        </w:rPr>
        <w:t>iability</w:t>
      </w:r>
      <w:r>
        <w:rPr>
          <w:rFonts w:ascii="Times New Roman" w:cs="Times New Roman" w:eastAsia="Times New Roman" w:hAnsi="Times New Roman"/>
          <w:sz w:val="18"/>
          <w:szCs w:val="18"/>
          <w:b w:val="1"/>
          <w:bCs w:val="1"/>
          <w:color w:val="auto"/>
        </w:rPr>
        <w:t xml:space="preserve"> - D</w:t>
      </w:r>
      <w:r>
        <w:rPr>
          <w:rFonts w:ascii="Times New Roman" w:cs="Times New Roman" w:eastAsia="Times New Roman" w:hAnsi="Times New Roman"/>
          <w:sz w:val="12"/>
          <w:szCs w:val="12"/>
          <w:b w:val="1"/>
          <w:bCs w:val="1"/>
          <w:color w:val="auto"/>
        </w:rPr>
        <w:t>irectors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Directors and certain officers of the Company must also comply with the reporting obligations and limitations on short-swing profit transactions set forth in Section 16. The practical effect of these provisions is that these officers and directors who purchase and sell the Company’s securities within a six-month period must disgorge all profits to the Company whether or not they had knowledge of any Material Nonpublic Information. Under these provisions, and so long as certain other criteria are met, neither the receipt of stock or stock options under the Company’s stock plans, nor the exercise of options nor the receipt of stock under a Company dividend reinvestment plan or the Company’s 401(k) retirement plan is deemed a purchase that can be matched against a sale for Section 16(b) short-swing profit disgorgement purposes; however, the sale of any such shares so obtained is a sale for these purposes. The Company will provide separate memoranda and other appropriate materials to the affected officers and directors regarding compliance with Section 16 and its related rules upon request.</w:t>
      </w:r>
    </w:p>
    <w:p>
      <w:pPr>
        <w:spacing w:after="0" w:line="188"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b w:val="1"/>
          <w:bCs w:val="1"/>
          <w:color w:val="auto"/>
        </w:rPr>
        <w:t>The rules on recovery of short-swing profits are absolute and do not depend on whether a person has Material Nonpublic Information.</w:t>
      </w:r>
    </w:p>
    <w:p>
      <w:pPr>
        <w:spacing w:after="0" w:line="225" w:lineRule="exact"/>
        <w:rPr>
          <w:sz w:val="20"/>
          <w:szCs w:val="20"/>
          <w:color w:val="auto"/>
        </w:rPr>
      </w:pPr>
    </w:p>
    <w:p>
      <w:pPr>
        <w:ind w:left="344" w:hanging="331"/>
        <w:spacing w:after="0"/>
        <w:tabs>
          <w:tab w:leader="none" w:pos="344"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ales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No director, officer, other employee or consultant of the Company may engage in short sales of the Company’s securities, including a “sale against the box,” at any time.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Furthermore, Section 16(c) of the Exchange Act expressly prohibits directors and certain officers of the Company from making short sales of the Company’s securities.</w:t>
      </w:r>
    </w:p>
    <w:p>
      <w:pPr>
        <w:sectPr>
          <w:pgSz w:w="11900" w:h="16838" w:orient="portrait"/>
          <w:cols w:equalWidth="0" w:num="1">
            <w:col w:w="11124"/>
          </w:cols>
          <w:pgMar w:left="436" w:top="576" w:right="339" w:bottom="0" w:gutter="0" w:footer="0" w:header="0"/>
        </w:sectPr>
      </w:pPr>
    </w:p>
    <w:bookmarkStart w:id="110" w:name="page111"/>
    <w:bookmarkEnd w:id="110"/>
    <w:p>
      <w:pPr>
        <w:jc w:val="both"/>
        <w:spacing w:after="0" w:line="25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ind w:left="344" w:hanging="331"/>
        <w:spacing w:after="0"/>
        <w:tabs>
          <w:tab w:leader="none" w:pos="344"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ublicly</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raded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A transaction in a publicly-traded option is, in effect, a bet on the short-term movement of the Company’s stock and therefore creates the appearance that the director or employee is trading based on inside information. Transactions in options also may focus the trader’s attention on short term performance at the expense of the Company’s long-term objectives. Accordingly, transactions in puts, calls or other derivative securities, on an exchange or in any other organized market, are prohibited. Option positions arising from certain types of hedging transactions are governed by Section M of this Policy.</w:t>
      </w:r>
    </w:p>
    <w:p>
      <w:pPr>
        <w:spacing w:after="0" w:line="179" w:lineRule="exact"/>
        <w:rPr>
          <w:sz w:val="20"/>
          <w:szCs w:val="20"/>
          <w:color w:val="auto"/>
        </w:rPr>
      </w:pPr>
    </w:p>
    <w:p>
      <w:pPr>
        <w:ind w:left="344" w:hanging="331"/>
        <w:spacing w:after="0"/>
        <w:tabs>
          <w:tab w:leader="none" w:pos="344"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edging or</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onetization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66"/>
        <w:spacing w:after="0" w:line="256" w:lineRule="auto"/>
        <w:rPr>
          <w:sz w:val="20"/>
          <w:szCs w:val="20"/>
          <w:color w:val="auto"/>
        </w:rPr>
      </w:pPr>
      <w:r>
        <w:rPr>
          <w:rFonts w:ascii="Times New Roman" w:cs="Times New Roman" w:eastAsia="Times New Roman" w:hAnsi="Times New Roman"/>
          <w:sz w:val="18"/>
          <w:szCs w:val="18"/>
          <w:color w:val="auto"/>
        </w:rPr>
        <w:t>Certain forms of hedging or monetization transactions, such as zero-cost collars and forward sale contracts, allow a director, officer or employee to lock in much of the value of his or her stock holdings, often in exchange for all or part of the potential for upside appreciation in the stock. These transactions would allow them to continue to own the covered securities, but without the full risks and rewards of ownership. When that occurs, their interests and the interests of the Company and its stockholders may be misaligned and may signal a message to the trading market when disclosed in Section 16 reports that may not be in the best interests of the Company and its stockholders at the time it is conveyed. Accordingly, transactions in hedging or monetization transactions involving Company securities are prohibited.</w:t>
      </w:r>
    </w:p>
    <w:p>
      <w:pPr>
        <w:spacing w:after="0" w:line="183" w:lineRule="exact"/>
        <w:rPr>
          <w:sz w:val="20"/>
          <w:szCs w:val="20"/>
          <w:color w:val="auto"/>
        </w:rPr>
      </w:pPr>
    </w:p>
    <w:p>
      <w:pPr>
        <w:ind w:left="324" w:hanging="324"/>
        <w:spacing w:after="0"/>
        <w:tabs>
          <w:tab w:leader="none" w:pos="32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argin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ledges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0" w:firstLine="666"/>
        <w:spacing w:after="0" w:line="254" w:lineRule="auto"/>
        <w:rPr>
          <w:sz w:val="20"/>
          <w:szCs w:val="20"/>
          <w:color w:val="auto"/>
        </w:rPr>
      </w:pPr>
      <w:r>
        <w:rPr>
          <w:rFonts w:ascii="Times New Roman" w:cs="Times New Roman" w:eastAsia="Times New Roman" w:hAnsi="Times New Roman"/>
          <w:sz w:val="18"/>
          <w:szCs w:val="18"/>
          <w:color w:val="auto"/>
        </w:rPr>
        <w:t>Securities held in a margin account may be sold by the broker without the customer’s consent if the customer fails to meet a margin call. Similarly, securities pledged (or hypothecated) as collateral for a loan may be sold in foreclosure if the borrower defaults on the loan. A margin sale or foreclosure sale may occur at a time when the pledgor is aware of Material Nonpublic Information or otherwise is not permitted to trade in Company securities pursuant to a Blackout Period restriction. Thus, unless pre-cleared by the Insider Trading Compliance Officer, directors, officers and employees are prohibited from pledging Company securities as collateral for a loan. Any director, officer or employee of the Company preparing to pledge his or her Company securities must clearly demonstrate his or her financial capacity to repay the loan without resort to the pledged securities. Any person proposing to pledge Company securities as collateral for a loan must submit a request for approval to the Insider Trading Compliance Officer at least two (2) weeks prior to the proposed execution of documents evidencing the proposed pledge.</w:t>
      </w:r>
    </w:p>
    <w:p>
      <w:pPr>
        <w:spacing w:after="0" w:line="188" w:lineRule="exact"/>
        <w:rPr>
          <w:sz w:val="20"/>
          <w:szCs w:val="20"/>
          <w:color w:val="auto"/>
        </w:rPr>
      </w:pPr>
    </w:p>
    <w:p>
      <w:pPr>
        <w:ind w:left="344" w:hanging="331"/>
        <w:spacing w:after="0"/>
        <w:tabs>
          <w:tab w:leader="none" w:pos="34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tanding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rders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Standing orders should be used only for a very brief period of time. A standing order placed with a broker or other nominee to sell or purchase stock at a specified price leaves an employee, officer or director of the Company with no control over the timing of the transaction. A standing order transaction executed by the broker or other nominee when such employee, officer or director of the Company is aware of Material Nonpublic Information may result in unlawful insider trading.</w:t>
      </w:r>
    </w:p>
    <w:p>
      <w:pPr>
        <w:spacing w:after="0" w:line="176" w:lineRule="exact"/>
        <w:rPr>
          <w:sz w:val="20"/>
          <w:szCs w:val="20"/>
          <w:color w:val="auto"/>
        </w:rPr>
      </w:pPr>
    </w:p>
    <w:p>
      <w:pPr>
        <w:ind w:left="344" w:hanging="331"/>
        <w:spacing w:after="0"/>
        <w:tabs>
          <w:tab w:leader="none" w:pos="34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ifts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Because charitable and other nonprofit organizations may sell securities given to them very soon after receiving them, and because there is also the potential for manipulation (or perceived manipulation) by the donor to gain a larger tax deduction by donating securities before the release of material negative news, charitable gifts may not be made at a time when the donor is aware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346075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576" w:right="339" w:bottom="1440" w:gutter="0" w:footer="0" w:header="0"/>
        </w:sectPr>
      </w:pPr>
    </w:p>
    <w:bookmarkStart w:id="112" w:name="page113"/>
    <w:bookmarkEnd w:id="112"/>
    <w:p>
      <w:pPr>
        <w:ind w:left="340" w:hanging="331"/>
        <w:spacing w:after="0"/>
        <w:tabs>
          <w:tab w:leader="none" w:pos="3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ost</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In the event a director, officer or employee of the Company resigns or terminates employment or service with the Company, this Policy shall continue to apply to transactions in Company securities by such individual for so long as he or she remains in possession of any Material Nonpublic Information possessed by such director, officer or employee as of his or her resignation or termination. Notwithstanding the foregoing, all former directors, officers and employees shall remain subject to the prohibitions against insider trading set forth under federal and state securities laws any time they engage in transactions in Company securities following their resignation or termination.</w:t>
      </w:r>
    </w:p>
    <w:p>
      <w:pPr>
        <w:spacing w:after="0" w:line="179" w:lineRule="exact"/>
        <w:rPr>
          <w:sz w:val="20"/>
          <w:szCs w:val="20"/>
          <w:color w:val="auto"/>
        </w:rPr>
      </w:pPr>
    </w:p>
    <w:p>
      <w:pPr>
        <w:ind w:left="340" w:hanging="331"/>
        <w:spacing w:after="0"/>
        <w:tabs>
          <w:tab w:leader="none" w:pos="3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ommunications with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ublic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66"/>
        <w:spacing w:after="0" w:line="253" w:lineRule="auto"/>
        <w:rPr>
          <w:sz w:val="20"/>
          <w:szCs w:val="20"/>
          <w:color w:val="auto"/>
        </w:rPr>
      </w:pPr>
      <w:r>
        <w:rPr>
          <w:rFonts w:ascii="Times New Roman" w:cs="Times New Roman" w:eastAsia="Times New Roman" w:hAnsi="Times New Roman"/>
          <w:sz w:val="18"/>
          <w:szCs w:val="18"/>
          <w:color w:val="auto"/>
        </w:rPr>
        <w:t>The Company is subject to the SEC’s Regulation FD (Fair Disclosure) and must avoid selective disclosure of Material Nonpublic Information. The Company has established procedures for releasing material information in a manner that is designed to achieve broad public dissemination of the information immediately upon its release. Pursuant to Company policy, only the executive officers who have been authorized to engage in communications with the public may disclose information to the public regarding the Company and its business activities and financial affairs. The public includes, without limitation, research analysts, portfolio managers, financial and business reporters, news media and investors. In addition, because of the risks associated with the exchange of information through such communications media, Company employees must adhere to the Company’s Social Media Policy in posting or responding to messages containing information regarding the Company on Internet “bulletin boards,” Internet “chat rooms,” “blogs”, finance message boards and chat rooms or in similar online forums. Employees who inadvertently disclose any Material Nonpublic Information must immediately advise the Insider Trading Compliance Officer so the Company can assess its obligations under Regulation FD and other applicable securities laws.</w:t>
      </w:r>
    </w:p>
    <w:p>
      <w:pPr>
        <w:spacing w:after="0" w:line="190" w:lineRule="exact"/>
        <w:rPr>
          <w:sz w:val="20"/>
          <w:szCs w:val="20"/>
          <w:color w:val="auto"/>
        </w:rPr>
      </w:pPr>
    </w:p>
    <w:p>
      <w:pPr>
        <w:ind w:left="340" w:hanging="331"/>
        <w:spacing w:after="0"/>
        <w:tabs>
          <w:tab w:leader="none" w:pos="3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nquiries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direct questions as to any of the matters discussed in this Policy to the Insider Trading Compliance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Counsel Aterian,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37-41 East 18th Street 7th Floor New York, NY 10003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(631) 655-7575 E-mail: chris@aterian.io</w:t>
      </w:r>
    </w:p>
    <w:p>
      <w:pPr>
        <w:spacing w:after="0" w:line="203" w:lineRule="exact"/>
        <w:rPr>
          <w:sz w:val="20"/>
          <w:szCs w:val="20"/>
          <w:color w:val="auto"/>
        </w:rPr>
      </w:pPr>
    </w:p>
    <w:p>
      <w:pPr>
        <w:ind w:left="340" w:hanging="331"/>
        <w:spacing w:after="0"/>
        <w:tabs>
          <w:tab w:leader="none" w:pos="3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uspected</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iolations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Any director, officer, other employee or consultant of the Company who knows of or suspects a violation of this Policy should report the violation immediately to the Insider Trading Compliance Officer or through the procedures for reporting outlined in the Company’s Code of Conduct and Ethics. The Company will comply with all requests from the SEC, The Financial Industry Regulatory Authority, Inc., Nasdaq and any other quotation system or national securities exchange on which the Company’s common stock is then traded or listed, and other agencies for information related to insider trading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351155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76" w:right="339" w:bottom="1440" w:gutter="0" w:footer="0" w:header="0"/>
        </w:sectPr>
      </w:pPr>
    </w:p>
    <w:bookmarkStart w:id="113" w:name="page114"/>
    <w:bookmarkEnd w:id="113"/>
    <w:p>
      <w:pPr>
        <w:ind w:left="344" w:hanging="331"/>
        <w:spacing w:after="0"/>
        <w:tabs>
          <w:tab w:leader="none" w:pos="34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directors, officers and employees of the Company must certify their understanding of, and intent to comply with, this Policy by executing the Certification form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returning it to the Insider Trading Compliance Officer. By executing the Certification form, each director, officer and employee indicates that he or she received, read, understands and agrees to comply with this Policy. The Certification form must be returned to the Insider Trading Compliance Officer within ten (10) business days of your receipt of this Policy and otherwise as may be required by the Company.</w:t>
      </w:r>
    </w:p>
    <w:p>
      <w:pPr>
        <w:spacing w:after="0" w:line="179" w:lineRule="exact"/>
        <w:rPr>
          <w:sz w:val="20"/>
          <w:szCs w:val="20"/>
          <w:color w:val="auto"/>
        </w:rPr>
      </w:pPr>
    </w:p>
    <w:p>
      <w:pPr>
        <w:ind w:left="324" w:hanging="324"/>
        <w:spacing w:after="0"/>
        <w:tabs>
          <w:tab w:leader="none" w:pos="32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w:t>
      </w:r>
      <w:r>
        <w:rPr>
          <w:rFonts w:ascii="Times New Roman" w:cs="Times New Roman" w:eastAsia="Times New Roman" w:hAnsi="Times New Roman"/>
          <w:sz w:val="12"/>
          <w:szCs w:val="12"/>
          <w:b w:val="1"/>
          <w:bCs w:val="1"/>
          <w:color w:val="auto"/>
        </w:rPr>
        <w:t>nformation</w:t>
      </w:r>
    </w:p>
    <w:p>
      <w:pPr>
        <w:spacing w:after="0" w:line="22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Nothing in this Policy creates or implies an employment contract or term of employment. Employment at the Company is employment at-will unless otherwise expressly provided in an employment contract signed by the employee and the Company’s Chief Executive Officer (or another authorized officer of the Company). Employment at-will may be terminated with or without cause and with or without notice at any time by the employee or the Company. Nothing in this Policy shall limit the right to terminate employment at-will. No one other than the Company’s Chief Executive Officer is authorized to change this at-will employment relationship, or to enter into an agreement to employ employees for a specified period of time. If the Company’s Chief Executive Officer makes this kind of different agreement with an employee, it will not be effective unless it is in writing, clearly states that the at-will employment relationship is changed, and is signed by the employee and the Company’s Chief Executive Officer (or another authorized officer of the Company).</w:t>
      </w:r>
    </w:p>
    <w:p>
      <w:pPr>
        <w:spacing w:after="0" w:line="188" w:lineRule="exact"/>
        <w:rPr>
          <w:sz w:val="20"/>
          <w:szCs w:val="20"/>
          <w:color w:val="auto"/>
        </w:rPr>
      </w:pPr>
    </w:p>
    <w:p>
      <w:pPr>
        <w:ind w:left="324" w:hanging="324"/>
        <w:spacing w:after="0"/>
        <w:tabs>
          <w:tab w:leader="none" w:pos="32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 w:firstLine="666"/>
        <w:spacing w:after="0" w:line="258" w:lineRule="auto"/>
        <w:rPr>
          <w:sz w:val="20"/>
          <w:szCs w:val="20"/>
          <w:color w:val="auto"/>
        </w:rPr>
      </w:pPr>
      <w:r>
        <w:rPr>
          <w:rFonts w:ascii="Times New Roman" w:cs="Times New Roman" w:eastAsia="Times New Roman" w:hAnsi="Times New Roman"/>
          <w:sz w:val="18"/>
          <w:szCs w:val="18"/>
          <w:color w:val="auto"/>
        </w:rPr>
        <w:t>This Policy will be subject to the periodic review of our Board of Directors. The Company anticipates that modifications to this Policy will be necessary from time to time as the Company’s needs and circumstances evolve, and as applicable legal or listing standards change. The Company reserves the right to amend, supplement or discontinue this Policy and the matters addressed herein, without prior notice, at any time. However, employees are expected to adhere to this Policy, and the procedures established under it, until they receive any contrary instruction from the Insider Trading Compliance Officer.</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Adopted on May 22, 2019</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Amended on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378460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4"/>
          </w:cols>
          <w:pgMar w:left="436" w:top="576" w:right="339" w:bottom="1440" w:gutter="0" w:footer="0" w:header="0"/>
        </w:sectPr>
      </w:pPr>
    </w:p>
    <w:bookmarkStart w:id="114" w:name="page115"/>
    <w:bookmarkEnd w:id="114"/>
    <w:p>
      <w:pPr>
        <w:ind w:left="466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250190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15" w:name="page116"/>
    <w:bookmarkEnd w:id="115"/>
    <w:p>
      <w:pPr>
        <w:jc w:val="center"/>
        <w:ind w:left="1480"/>
        <w:spacing w:after="0"/>
        <w:rPr>
          <w:sz w:val="20"/>
          <w:szCs w:val="20"/>
          <w:color w:val="auto"/>
        </w:rPr>
      </w:pPr>
      <w:r>
        <w:rPr>
          <w:rFonts w:ascii="Times New Roman" w:cs="Times New Roman" w:eastAsia="Times New Roman" w:hAnsi="Times New Roman"/>
          <w:sz w:val="18"/>
          <w:szCs w:val="18"/>
          <w:b w:val="1"/>
          <w:bCs w:val="1"/>
          <w:color w:val="auto"/>
        </w:rPr>
        <w:t>ATERIAN, INC. INSIDER TRADING POLICY</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ind w:firstLine="666"/>
        <w:spacing w:after="0" w:line="286" w:lineRule="auto"/>
        <w:rPr>
          <w:sz w:val="20"/>
          <w:szCs w:val="20"/>
          <w:color w:val="auto"/>
        </w:rPr>
      </w:pPr>
      <w:r>
        <w:rPr>
          <w:rFonts w:ascii="Times New Roman" w:cs="Times New Roman" w:eastAsia="Times New Roman" w:hAnsi="Times New Roman"/>
          <w:sz w:val="18"/>
          <w:szCs w:val="18"/>
          <w:color w:val="auto"/>
        </w:rPr>
        <w:t>I have received and read, and I understand,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of Aterian,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 understand the standards and policies contained in the Policy and understand that there may be additional policies or laws specific to me depending on my role with the Company.</w:t>
      </w:r>
    </w:p>
    <w:p>
      <w:pPr>
        <w:spacing w:after="0" w:line="159" w:lineRule="exact"/>
        <w:rPr>
          <w:sz w:val="20"/>
          <w:szCs w:val="20"/>
          <w:color w:val="auto"/>
        </w:rPr>
      </w:pPr>
    </w:p>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t>I further agree, as a condition of my employment (or continued employment) with the Company or appointment (or future nomination for election) to the Board of Directors of the Company, to comply with the Policy.</w:t>
      </w:r>
    </w:p>
    <w:p>
      <w:pPr>
        <w:spacing w:after="0" w:line="162" w:lineRule="exact"/>
        <w:rPr>
          <w:sz w:val="20"/>
          <w:szCs w:val="20"/>
          <w:color w:val="auto"/>
        </w:rPr>
      </w:pPr>
    </w:p>
    <w:p>
      <w:pPr>
        <w:ind w:right="60" w:firstLine="666"/>
        <w:spacing w:after="0" w:line="277" w:lineRule="auto"/>
        <w:rPr>
          <w:sz w:val="20"/>
          <w:szCs w:val="20"/>
          <w:color w:val="auto"/>
        </w:rPr>
      </w:pPr>
      <w:r>
        <w:rPr>
          <w:rFonts w:ascii="Times New Roman" w:cs="Times New Roman" w:eastAsia="Times New Roman" w:hAnsi="Times New Roman"/>
          <w:sz w:val="17"/>
          <w:szCs w:val="17"/>
          <w:color w:val="auto"/>
        </w:rPr>
        <w:t>I further understand that I should contact the Insider Trading Compliance Officer if I have any questions about the Policy generally. I understand that the Policy sets forth, in Section T thereof, specific ways to report an actual or potential violation of the Policy, or of any rule, law, regulation or other Company policy. I agree that I will ask the Insider Trading Compliance Officer if I have any questions about how to make such reports, or about any potential conflict of interest. This signed “Insider Trading Policy Certification” page must be returned to the Insider Trading Compliance Officer, who is also the Company’s Chief Operating Officer, within ten (10) business days of my receipt of the Policy and otherwise as may be required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855345</wp:posOffset>
            </wp:positionV>
            <wp:extent cx="17830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325755</wp:posOffset>
            </wp:positionV>
            <wp:extent cx="17830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325755</wp:posOffset>
            </wp:positionV>
            <wp:extent cx="1783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377190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76" w:right="339" w:bottom="1440" w:gutter="0" w:footer="0" w:header="0"/>
        </w:sectPr>
      </w:pPr>
    </w:p>
    <w:bookmarkStart w:id="116" w:name="page117"/>
    <w:bookmarkEnd w:id="116"/>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MEMBERS OF THE BOARD OF DIRECTORS AND EXECUTIVE OFFICERS NON-EMPLOYEE DIRECTORS: ALL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379730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420" w:top="576" w:right="1219" w:bottom="1440" w:gutter="0" w:footer="0" w:header="0"/>
        </w:sectPr>
      </w:pPr>
    </w:p>
    <w:bookmarkStart w:id="117" w:name="page118"/>
    <w:bookmarkEnd w:id="117"/>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b w:val="1"/>
          <w:bCs w:val="1"/>
          <w:color w:val="auto"/>
        </w:rPr>
        <w:t>EMPLOYEES IN THE FINANCE DEPARTMENT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377190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19"/>
          </w:cols>
          <w:pgMar w:left="440" w:top="576" w:right="1440" w:bottom="1440" w:gutter="0" w:footer="0" w:header="0"/>
        </w:sectPr>
      </w:pPr>
    </w:p>
    <w:bookmarkStart w:id="118" w:name="page119"/>
    <w:bookmarkEnd w:id="118"/>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OTHER EMPLOYEES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EMPLOYEES, AND CONTRACTORS WHO DO OR MAY HAVE ACCESS TO AIMEE</w:t>
      </w:r>
    </w:p>
    <w:p>
      <w:pPr>
        <w:sectPr>
          <w:pgSz w:w="11900" w:h="16838" w:orient="portrait"/>
          <w:cols w:equalWidth="0" w:num="1">
            <w:col w:w="10019"/>
          </w:cols>
          <w:pgMar w:left="440" w:top="576"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97.1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terian</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November 3,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a Compensation Recovery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described below.</w:t>
      </w:r>
    </w:p>
    <w:p>
      <w:pPr>
        <w:spacing w:after="0" w:line="221" w:lineRule="exact"/>
        <w:rPr>
          <w:sz w:val="20"/>
          <w:szCs w:val="20"/>
          <w:color w:val="auto"/>
        </w:rPr>
      </w:pPr>
    </w:p>
    <w:p>
      <w:pPr>
        <w:ind w:left="540" w:hanging="532"/>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Policy sets forth the circumstances and procedures under which the Company shall recover Erroneously Awarded Compensation from current and former Executive Officers and any other designated employees of the Company in accordance with rules issued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Nasdaq Stock Market. Please refer to Section 3 below for definitions of capitalized terms used and not otherwise defined herein.</w:t>
      </w:r>
    </w:p>
    <w:p>
      <w:pPr>
        <w:spacing w:after="0" w:line="176" w:lineRule="exact"/>
        <w:rPr>
          <w:sz w:val="20"/>
          <w:szCs w:val="20"/>
          <w:color w:val="auto"/>
        </w:rPr>
      </w:pPr>
    </w:p>
    <w:p>
      <w:pPr>
        <w:ind w:left="540" w:hanging="532"/>
        <w:spacing w:after="0"/>
        <w:tabs>
          <w:tab w:leader="none" w:pos="5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Requirement</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72" w:lineRule="exact"/>
        <w:rPr>
          <w:sz w:val="20"/>
          <w:szCs w:val="20"/>
          <w:color w:val="auto"/>
        </w:rPr>
      </w:pPr>
    </w:p>
    <w:p>
      <w:pPr>
        <w:ind w:left="540" w:hanging="532"/>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Recovery Period</w:t>
      </w:r>
      <w:r>
        <w:rPr>
          <w:rFonts w:ascii="Times New Roman" w:cs="Times New Roman" w:eastAsia="Times New Roman" w:hAnsi="Times New Roman"/>
          <w:sz w:val="18"/>
          <w:szCs w:val="18"/>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9"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in the absence of such committee, a majority of independent directors serving on the Board.</w:t>
      </w:r>
    </w:p>
    <w:p>
      <w:pPr>
        <w:spacing w:after="0" w:line="161" w:lineRule="exact"/>
        <w:rPr>
          <w:rFonts w:ascii="Times New Roman" w:cs="Times New Roman" w:eastAsia="Times New Roman" w:hAnsi="Times New Roman"/>
          <w:sz w:val="18"/>
          <w:szCs w:val="18"/>
          <w:color w:val="auto"/>
        </w:rPr>
      </w:pPr>
    </w:p>
    <w:p>
      <w:pPr>
        <w:ind w:left="980" w:right="20" w:hanging="324"/>
        <w:spacing w:after="0" w:line="273" w:lineRule="auto"/>
        <w:tabs>
          <w:tab w:leader="none" w:pos="98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xml:space="preserve"> means any Executive Officer and any other person designated by the Board or the Committee as being subject to this Policy .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7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October 2, 2023.</w:t>
      </w:r>
    </w:p>
    <w:p>
      <w:pPr>
        <w:spacing w:after="0" w:line="225" w:lineRule="exact"/>
        <w:rPr>
          <w:rFonts w:ascii="Times New Roman" w:cs="Times New Roman" w:eastAsia="Times New Roman" w:hAnsi="Times New Roman"/>
          <w:sz w:val="18"/>
          <w:szCs w:val="18"/>
          <w:color w:val="auto"/>
        </w:rPr>
      </w:pPr>
    </w:p>
    <w:p>
      <w:pPr>
        <w:ind w:left="980" w:right="40" w:hanging="324"/>
        <w:spacing w:after="0" w:line="254"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w:t>
      </w:r>
    </w:p>
    <w:p>
      <w:pPr>
        <w:spacing w:after="0" w:line="18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Material Financial Restatement</w:t>
      </w:r>
      <w:r>
        <w:rPr>
          <w:rFonts w:ascii="Times New Roman" w:cs="Times New Roman" w:eastAsia="Times New Roman" w:hAnsi="Times New Roman"/>
          <w:sz w:val="18"/>
          <w:szCs w:val="18"/>
          <w:color w:val="auto"/>
        </w:rPr>
        <w:t>” means an accounting restatement of previously issued financial statements of the Company due to the material noncompliance of the Company with any financial reporting requirement under the securities laws, including any required</w:t>
      </w:r>
    </w:p>
    <w:p>
      <w:pPr>
        <w:sectPr>
          <w:pgSz w:w="11900" w:h="16838" w:orient="portrait"/>
          <w:cols w:equalWidth="0" w:num="1">
            <w:col w:w="11240"/>
          </w:cols>
          <w:pgMar w:left="320" w:top="117" w:right="339" w:bottom="0" w:gutter="0" w:footer="0" w:header="0"/>
        </w:sectPr>
      </w:pPr>
    </w:p>
    <w:bookmarkStart w:id="120" w:name="page121"/>
    <w:bookmarkEnd w:id="120"/>
    <w:p>
      <w:pPr>
        <w:ind w:left="980" w:right="300"/>
        <w:spacing w:after="0" w:line="266" w:lineRule="auto"/>
        <w:rPr>
          <w:sz w:val="20"/>
          <w:szCs w:val="20"/>
          <w:color w:val="auto"/>
        </w:rPr>
      </w:pPr>
      <w:r>
        <w:rPr>
          <w:rFonts w:ascii="Times New Roman" w:cs="Times New Roman" w:eastAsia="Times New Roman" w:hAnsi="Times New Roman"/>
          <w:sz w:val="18"/>
          <w:szCs w:val="18"/>
          <w:color w:val="auto"/>
        </w:rPr>
        <w:t>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ind w:left="980" w:right="420" w:hanging="324"/>
        <w:spacing w:after="0" w:line="261" w:lineRule="auto"/>
        <w:tabs>
          <w:tab w:leader="none" w:pos="9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9" w:lineRule="exact"/>
        <w:rPr>
          <w:sz w:val="20"/>
          <w:szCs w:val="20"/>
          <w:color w:val="auto"/>
        </w:rPr>
      </w:pPr>
    </w:p>
    <w:p>
      <w:pPr>
        <w:ind w:left="540" w:hanging="532"/>
        <w:spacing w:after="0"/>
        <w:tabs>
          <w:tab w:leader="none" w:pos="54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2" w:lineRule="exact"/>
        <w:rPr>
          <w:sz w:val="20"/>
          <w:szCs w:val="20"/>
          <w:color w:val="auto"/>
        </w:rPr>
      </w:pPr>
    </w:p>
    <w:p>
      <w:pPr>
        <w:ind w:left="540" w:hanging="532"/>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Compensation Recovery</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Committee shall determine, in its sole discretion, the method for recovering Erroneously Awarded Compensation hereunder, which may include, without limitation, any one or more of the following:</w:t>
      </w:r>
    </w:p>
    <w:p>
      <w:pPr>
        <w:spacing w:after="0" w:line="162"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canceling or rescinding some or all outstanding vested or unvested equity-based awards;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or withholding from unpaid compensation or other set-off;</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canceling or setting-off against planned future grants of equity-based awards; and/or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 contract.</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2" w:lineRule="exact"/>
        <w:rPr>
          <w:sz w:val="20"/>
          <w:szCs w:val="20"/>
          <w:color w:val="auto"/>
        </w:rPr>
      </w:pPr>
    </w:p>
    <w:p>
      <w:pPr>
        <w:ind w:left="600" w:hanging="592"/>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Interpretation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85" w:lineRule="exact"/>
        <w:rPr>
          <w:sz w:val="20"/>
          <w:szCs w:val="20"/>
          <w:color w:val="auto"/>
        </w:rPr>
      </w:pPr>
    </w:p>
    <w:p>
      <w:pPr>
        <w:ind w:left="540" w:hanging="532"/>
        <w:spacing w:after="0"/>
        <w:tabs>
          <w:tab w:leader="none" w:pos="54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Administration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83"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Repayments not Subject to Indemnification</w:t>
      </w:r>
    </w:p>
    <w:p>
      <w:pPr>
        <w:spacing w:after="0" w:line="229"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lvl w:ilvl="1">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2"/>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6"/>
    </w:lvl>
  </w:abstractNum>
  <w:abstractNum w:abstractNumId="11">
    <w:nsid w:val="75C6C33A"/>
    <w:multiLevelType w:val="hybridMultilevel"/>
    <w:lvl w:ilvl="0">
      <w:lvlJc w:val="left"/>
      <w:lvlText w:val="%1."/>
      <w:numFmt w:val="decimal"/>
      <w:start w:val="7"/>
    </w:lvl>
  </w:abstractNum>
  <w:abstractNum w:abstractNumId="12">
    <w:nsid w:val="12E685FB"/>
    <w:multiLevelType w:val="hybridMultilevel"/>
    <w:lvl w:ilvl="0">
      <w:lvlJc w:val="left"/>
      <w:lvlText w:val="%1."/>
      <w:numFmt w:val="decimal"/>
      <w:start w:val="8"/>
    </w:lvl>
  </w:abstractNum>
  <w:abstractNum w:abstractNumId="13">
    <w:nsid w:val="70C6A529"/>
    <w:multiLevelType w:val="hybridMultilevel"/>
    <w:lvl w:ilvl="0">
      <w:lvlJc w:val="left"/>
      <w:lvlText w:val="%1."/>
      <w:numFmt w:val="decimal"/>
      <w:start w:val="9"/>
    </w:lvl>
  </w:abstractNum>
  <w:abstractNum w:abstractNumId="14">
    <w:nsid w:val="520EEDD1"/>
    <w:multiLevelType w:val="hybridMultilevel"/>
    <w:lvl w:ilvl="0">
      <w:lvlJc w:val="left"/>
      <w:lvlText w:val="%1."/>
      <w:numFmt w:val="decimal"/>
      <w:start w:val="10"/>
    </w:lvl>
  </w:abstractNum>
  <w:abstractNum w:abstractNumId="15">
    <w:nsid w:val="374A3FE6"/>
    <w:multiLevelType w:val="hybridMultilevel"/>
    <w:lvl w:ilvl="0">
      <w:lvlJc w:val="left"/>
      <w:lvlText w:val="%1."/>
      <w:numFmt w:val="decimal"/>
      <w:start w:val="11"/>
    </w:lvl>
  </w:abstractNum>
  <w:abstractNum w:abstractNumId="16">
    <w:nsid w:val="4F4EF005"/>
    <w:multiLevelType w:val="hybridMultilevel"/>
    <w:lvl w:ilvl="0">
      <w:lvlJc w:val="left"/>
      <w:lvlText w:val="%1."/>
      <w:numFmt w:val="decimal"/>
      <w:start w:val="12"/>
    </w:lvl>
  </w:abstractNum>
  <w:abstractNum w:abstractNumId="17">
    <w:nsid w:val="23F9C13C"/>
    <w:multiLevelType w:val="hybridMultilevel"/>
    <w:lvl w:ilvl="0">
      <w:lvlJc w:val="left"/>
      <w:lvlText w:val="%1."/>
      <w:numFmt w:val="decimal"/>
      <w:start w:val="13"/>
    </w:lvl>
  </w:abstractNum>
  <w:abstractNum w:abstractNumId="18">
    <w:nsid w:val="649BB77C"/>
    <w:multiLevelType w:val="hybridMultilevel"/>
    <w:lvl w:ilvl="0">
      <w:lvlJc w:val="left"/>
      <w:lvlText w:val="%1."/>
      <w:numFmt w:val="decimal"/>
      <w:start w:val="14"/>
    </w:lvl>
  </w:abstractNum>
  <w:abstractNum w:abstractNumId="19">
    <w:nsid w:val="275AC794"/>
    <w:multiLevelType w:val="hybridMultilevel"/>
    <w:lvl w:ilvl="0">
      <w:lvlJc w:val="left"/>
      <w:lvlText w:val="%1."/>
      <w:numFmt w:val="decimal"/>
      <w:start w:val="15"/>
    </w:lvl>
  </w:abstractNum>
  <w:abstractNum w:abstractNumId="20">
    <w:nsid w:val="39386575"/>
    <w:multiLevelType w:val="hybridMultilevel"/>
    <w:lvl w:ilvl="0">
      <w:lvlJc w:val="left"/>
      <w:lvlText w:val="%1."/>
      <w:numFmt w:val="decimal"/>
      <w:start w:val="16"/>
    </w:lvl>
  </w:abstractNum>
  <w:abstractNum w:abstractNumId="21">
    <w:nsid w:val="1CF10FD8"/>
    <w:multiLevelType w:val="hybridMultilevel"/>
    <w:lvl w:ilvl="0">
      <w:lvlJc w:val="left"/>
      <w:lvlText w:val="%1."/>
      <w:numFmt w:val="decimal"/>
      <w:start w:val="17"/>
    </w:lvl>
  </w:abstractNum>
  <w:abstractNum w:abstractNumId="22">
    <w:nsid w:val="180115BE"/>
    <w:multiLevelType w:val="hybridMultilevel"/>
    <w:lvl w:ilvl="0">
      <w:lvlJc w:val="left"/>
      <w:lvlText w:val="(%1)"/>
      <w:numFmt w:val="decimal"/>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3"/>
    </w:lvl>
  </w:abstractNum>
  <w:abstractNum w:abstractNumId="25">
    <w:nsid w:val="354FE9F9"/>
    <w:multiLevelType w:val="hybridMultilevel"/>
    <w:lvl w:ilvl="0">
      <w:lvlJc w:val="left"/>
      <w:lvlText w:val="%1."/>
      <w:numFmt w:val="decimal"/>
      <w:start w:val="18"/>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9"/>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1)"/>
      <w:numFmt w:val="decimal"/>
      <w:start w:val="1"/>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2"/>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3"/>
    </w:lvl>
    <w:lvl w:ilvl="1">
      <w:lvlJc w:val="left"/>
      <w:lvlText w:val="(%2)"/>
      <w:numFmt w:val="lowerRoman"/>
      <w:start w:val="4"/>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
      <w:numFmt w:val="bullet"/>
      <w:start w:val="1"/>
    </w:lvl>
    <w:lvl w:ilvl="1">
      <w:lvlJc w:val="left"/>
      <w:lvlText w:val="%2"/>
      <w:numFmt w:val="decimal"/>
      <w:start w:val="104"/>
    </w:lvl>
  </w:abstractNum>
  <w:abstractNum w:abstractNumId="42">
    <w:nsid w:val="1381823A"/>
    <w:multiLevelType w:val="hybridMultilevel"/>
    <w:lvl w:ilvl="0">
      <w:lvlJc w:val="left"/>
      <w:lvlText w:val="**"/>
      <w:numFmt w:val="bullet"/>
      <w:start w:val="1"/>
    </w:lvl>
    <w:lvl w:ilvl="1">
      <w:lvlJc w:val="left"/>
      <w:lvlText w:val="%2"/>
      <w:numFmt w:val="decimal"/>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1"/>
    </w:lvl>
    <w:lvl w:ilvl="1">
      <w:lvlJc w:val="left"/>
      <w:lvlText w:val="%2."/>
      <w:numFmt w:val="lowerLetter"/>
      <w:start w:val="1"/>
    </w:lvl>
  </w:abstractNum>
  <w:abstractNum w:abstractNumId="47">
    <w:nsid w:val="5F5E7FD0"/>
    <w:multiLevelType w:val="hybridMultilevel"/>
    <w:lvl w:ilvl="0">
      <w:lvlJc w:val="left"/>
      <w:lvlText w:val="%1."/>
      <w:numFmt w:val="decimal"/>
      <w:start w:val="1"/>
    </w:lvl>
    <w:lvl w:ilvl="1">
      <w:lvlJc w:val="left"/>
      <w:lvlText w:val="%2."/>
      <w:numFmt w:val="lowerLetter"/>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1."/>
      <w:numFmt w:val="decimal"/>
      <w:start w:val="1"/>
    </w:lvl>
    <w:lvl w:ilvl="1">
      <w:lvlJc w:val="left"/>
      <w:lvlText w:val="%2."/>
      <w:numFmt w:val="lowerLetter"/>
      <w:start w:val="1"/>
    </w:lvl>
  </w:abstractNum>
  <w:abstractNum w:abstractNumId="50">
    <w:nsid w:val="6B94764"/>
    <w:multiLevelType w:val="hybridMultilevel"/>
    <w:lvl w:ilvl="0">
      <w:lvlJc w:val="left"/>
      <w:lvlText w:val="%1."/>
      <w:numFmt w:val="upperLetter"/>
      <w:start w:val="1"/>
    </w:lvl>
  </w:abstractNum>
  <w:abstractNum w:abstractNumId="51">
    <w:nsid w:val="42C296BD"/>
    <w:multiLevelType w:val="hybridMultilevel"/>
    <w:lvl w:ilvl="0">
      <w:lvlJc w:val="left"/>
      <w:lvlText w:val="%1."/>
      <w:numFmt w:val="upperLetter"/>
      <w:start w:val="2"/>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upperLetter"/>
      <w:start w:val="3"/>
    </w:lvl>
  </w:abstractNum>
  <w:abstractNum w:abstractNumId="55">
    <w:nsid w:val="5DC79EA8"/>
    <w:multiLevelType w:val="hybridMultilevel"/>
    <w:lvl w:ilvl="0">
      <w:lvlJc w:val="left"/>
      <w:lvlText w:val="%1."/>
      <w:numFmt w:val="upperLetter"/>
      <w:start w:val="4"/>
    </w:lvl>
    <w:lvl w:ilvl="1">
      <w:lvlJc w:val="left"/>
      <w:lvlText w:val="•"/>
      <w:numFmt w:val="bullet"/>
      <w:start w:val="1"/>
    </w:lvl>
    <w:lvl w:ilvl="2">
      <w:lvlJc w:val="left"/>
      <w:lvlText w:val="%3."/>
      <w:numFmt w:val="decimal"/>
      <w:start w:val="1"/>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
      <w:numFmt w:val="bullet"/>
      <w:start w:val="1"/>
    </w:lvl>
    <w:lvl w:ilvl="1">
      <w:lvlJc w:val="left"/>
      <w:lvlText w:val="%2."/>
      <w:numFmt w:val="decimal"/>
      <w:start w:val="3"/>
    </w:lvl>
  </w:abstractNum>
  <w:abstractNum w:abstractNumId="58">
    <w:nsid w:val="51D9C564"/>
    <w:multiLevelType w:val="hybridMultilevel"/>
    <w:lvl w:ilvl="0">
      <w:lvlJc w:val="left"/>
      <w:lvlText w:val="%1"/>
      <w:numFmt w:val="upperLetter"/>
      <w:start w:val="1"/>
    </w:lvl>
    <w:lvl w:ilvl="1">
      <w:lvlJc w:val="left"/>
      <w:lvlText w:val="•"/>
      <w:numFmt w:val="bullet"/>
      <w:start w:val="1"/>
    </w:lvl>
    <w:lvl w:ilvl="2">
      <w:lvlJc w:val="left"/>
      <w:lvlText w:val="%3."/>
      <w:numFmt w:val="decimal"/>
      <w:start w:val="4"/>
    </w:lvl>
  </w:abstractNum>
  <w:abstractNum w:abstractNumId="59">
    <w:nsid w:val="613EFDC5"/>
    <w:multiLevelType w:val="hybridMultilevel"/>
    <w:lvl w:ilvl="0">
      <w:lvlJc w:val="left"/>
      <w:lvlText w:val="%1."/>
      <w:numFmt w:val="upperLetter"/>
      <w:start w:val="6"/>
    </w:lvl>
    <w:lvl w:ilvl="1">
      <w:lvlJc w:val="left"/>
      <w:lvlText w:val="•"/>
      <w:numFmt w:val="bullet"/>
      <w:start w:val="1"/>
    </w:lvl>
    <w:lvl w:ilvl="2">
      <w:lvlJc w:val="left"/>
      <w:lvlText w:val="%3"/>
      <w:numFmt w:val="decimal"/>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decimal"/>
      <w:start w:val="3"/>
    </w:lvl>
    <w:lvl w:ilvl="1">
      <w:lvlJc w:val="left"/>
      <w:lvlText w:val="%2."/>
      <w:numFmt w:val="decimal"/>
      <w:start w:val="4"/>
    </w:lvl>
  </w:abstractNum>
  <w:abstractNum w:abstractNumId="63">
    <w:nsid w:val="A0382C5"/>
    <w:multiLevelType w:val="hybridMultilevel"/>
    <w:lvl w:ilvl="0">
      <w:lvlJc w:val="left"/>
      <w:lvlText w:val="%1."/>
      <w:numFmt w:val="upperLetter"/>
      <w:start w:val="7"/>
    </w:lvl>
  </w:abstractNum>
  <w:abstractNum w:abstractNumId="64">
    <w:nsid w:val="8F2B15E"/>
    <w:multiLevelType w:val="hybridMultilevel"/>
    <w:lvl w:ilvl="0">
      <w:lvlJc w:val="left"/>
      <w:lvlText w:val="%1."/>
      <w:numFmt w:val="upperLetter"/>
      <w:start w:val="8"/>
    </w:lvl>
    <w:lvl w:ilvl="1">
      <w:lvlJc w:val="left"/>
      <w:lvlText w:val="%2."/>
      <w:numFmt w:val="decimal"/>
      <w:start w:val="2"/>
    </w:lvl>
    <w:lvl w:ilvl="2">
      <w:lvlJc w:val="left"/>
      <w:lvlText w:val="%3."/>
      <w:numFmt w:val="decimal"/>
      <w:start w:val="1"/>
    </w:lvl>
  </w:abstractNum>
  <w:abstractNum w:abstractNumId="65">
    <w:nsid w:val="1A32234B"/>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abstractNum>
  <w:abstractNum w:abstractNumId="66">
    <w:nsid w:val="3B0FD379"/>
    <w:multiLevelType w:val="hybridMultilevel"/>
    <w:lvl w:ilvl="0">
      <w:lvlJc w:val="left"/>
      <w:lvlText w:val="%1."/>
      <w:numFmt w:val="upperLetter"/>
      <w:start w:val="9"/>
    </w:lvl>
    <w:lvl w:ilvl="1">
      <w:lvlJc w:val="left"/>
      <w:lvlText w:val="%2"/>
      <w:numFmt w:val="decimal"/>
      <w:start w:val="1"/>
    </w:lvl>
    <w:lvl w:ilvl="2">
      <w:lvlJc w:val="left"/>
      <w:lvlText w:val="%3"/>
      <w:numFmt w:val="decimal"/>
      <w:start w:val="1"/>
    </w:lvl>
  </w:abstractNum>
  <w:abstractNum w:abstractNumId="67">
    <w:nsid w:val="68EB2F63"/>
    <w:multiLevelType w:val="hybridMultilevel"/>
    <w:lvl w:ilvl="0">
      <w:lvlJc w:val="left"/>
      <w:lvlText w:val="%1."/>
      <w:numFmt w:val="upperLetter"/>
      <w:start w:val="10"/>
    </w:lvl>
  </w:abstractNum>
  <w:abstractNum w:abstractNumId="68">
    <w:nsid w:val="4962813B"/>
    <w:multiLevelType w:val="hybridMultilevel"/>
    <w:lvl w:ilvl="0">
      <w:lvlJc w:val="left"/>
      <w:lvlText w:val="%1."/>
      <w:numFmt w:val="upperLetter"/>
      <w:start w:val="11"/>
    </w:lvl>
  </w:abstractNum>
  <w:abstractNum w:abstractNumId="69">
    <w:nsid w:val="60B6DF70"/>
    <w:multiLevelType w:val="hybridMultilevel"/>
    <w:lvl w:ilvl="0">
      <w:lvlJc w:val="left"/>
      <w:lvlText w:val="%1."/>
      <w:numFmt w:val="upperLetter"/>
      <w:start w:val="12"/>
    </w:lvl>
  </w:abstractNum>
  <w:abstractNum w:abstractNumId="70">
    <w:nsid w:val="6A5EE64"/>
    <w:multiLevelType w:val="hybridMultilevel"/>
    <w:lvl w:ilvl="0">
      <w:lvlJc w:val="left"/>
      <w:lvlText w:val="%1."/>
      <w:numFmt w:val="upperLetter"/>
      <w:start w:val="13"/>
    </w:lvl>
  </w:abstractNum>
  <w:abstractNum w:abstractNumId="71">
    <w:nsid w:val="14330624"/>
    <w:multiLevelType w:val="hybridMultilevel"/>
    <w:lvl w:ilvl="0">
      <w:lvlJc w:val="left"/>
      <w:lvlText w:val="%1."/>
      <w:numFmt w:val="upperLetter"/>
      <w:start w:val="14"/>
    </w:lvl>
  </w:abstractNum>
  <w:abstractNum w:abstractNumId="72">
    <w:nsid w:val="7FFFCA11"/>
    <w:multiLevelType w:val="hybridMultilevel"/>
    <w:lvl w:ilvl="0">
      <w:lvlJc w:val="left"/>
      <w:lvlText w:val="%1."/>
      <w:numFmt w:val="upperLetter"/>
      <w:start w:val="15"/>
    </w:lvl>
  </w:abstractNum>
  <w:abstractNum w:abstractNumId="73">
    <w:nsid w:val="1A27709E"/>
    <w:multiLevelType w:val="hybridMultilevel"/>
    <w:lvl w:ilvl="0">
      <w:lvlJc w:val="left"/>
      <w:lvlText w:val="%1."/>
      <w:numFmt w:val="upperLetter"/>
      <w:start w:val="16"/>
    </w:lvl>
  </w:abstractNum>
  <w:abstractNum w:abstractNumId="74">
    <w:nsid w:val="71EA1109"/>
    <w:multiLevelType w:val="hybridMultilevel"/>
    <w:lvl w:ilvl="0">
      <w:lvlJc w:val="left"/>
      <w:lvlText w:val="%1."/>
      <w:numFmt w:val="upperLetter"/>
      <w:start w:val="17"/>
    </w:lvl>
  </w:abstractNum>
  <w:abstractNum w:abstractNumId="75">
    <w:nsid w:val="100F59DC"/>
    <w:multiLevelType w:val="hybridMultilevel"/>
    <w:lvl w:ilvl="0">
      <w:lvlJc w:val="left"/>
      <w:lvlText w:val="%1."/>
      <w:numFmt w:val="upperLetter"/>
      <w:start w:val="18"/>
    </w:lvl>
  </w:abstractNum>
  <w:abstractNum w:abstractNumId="76">
    <w:nsid w:val="7FB7E0AA"/>
    <w:multiLevelType w:val="hybridMultilevel"/>
    <w:lvl w:ilvl="0">
      <w:lvlJc w:val="left"/>
      <w:lvlText w:val="%1."/>
      <w:numFmt w:val="upperLetter"/>
      <w:start w:val="19"/>
    </w:lvl>
  </w:abstractNum>
  <w:abstractNum w:abstractNumId="77">
    <w:nsid w:val="6EB5BD4"/>
    <w:multiLevelType w:val="hybridMultilevel"/>
    <w:lvl w:ilvl="0">
      <w:lvlJc w:val="left"/>
      <w:lvlText w:val="%1."/>
      <w:numFmt w:val="upperLetter"/>
      <w:start w:val="20"/>
    </w:lvl>
  </w:abstractNum>
  <w:abstractNum w:abstractNumId="78">
    <w:nsid w:val="6F6DD9AC"/>
    <w:multiLevelType w:val="hybridMultilevel"/>
    <w:lvl w:ilvl="0">
      <w:lvlJc w:val="left"/>
      <w:lvlText w:val="%1."/>
      <w:numFmt w:val="upperLetter"/>
      <w:start w:val="21"/>
    </w:lvl>
  </w:abstractNum>
  <w:abstractNum w:abstractNumId="79">
    <w:nsid w:val="94211F2"/>
    <w:multiLevelType w:val="hybridMultilevel"/>
    <w:lvl w:ilvl="0">
      <w:lvlJc w:val="left"/>
      <w:lvlText w:val="%1."/>
      <w:numFmt w:val="upperLetter"/>
      <w:start w:val="22"/>
    </w:lvl>
  </w:abstractNum>
  <w:abstractNum w:abstractNumId="80">
    <w:nsid w:val="885E1B"/>
    <w:multiLevelType w:val="hybridMultilevel"/>
    <w:lvl w:ilvl="0">
      <w:lvlJc w:val="left"/>
      <w:lvlText w:val="%1."/>
      <w:numFmt w:val="upperLetter"/>
      <w:start w:val="23"/>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2"/>
    </w:lvl>
  </w:abstractNum>
  <w:abstractNum w:abstractNumId="83">
    <w:nsid w:val="1716703B"/>
    <w:multiLevelType w:val="hybridMultilevel"/>
    <w:lvl w:ilvl="0">
      <w:lvlJc w:val="left"/>
      <w:lvlText w:val="%1."/>
      <w:numFmt w:val="decimal"/>
      <w:start w:val="3"/>
    </w:lvl>
    <w:lvl w:ilvl="1">
      <w:lvlJc w:val="left"/>
      <w:lvlText w:val="%2."/>
      <w:numFmt w:val="lowerLetter"/>
      <w:start w:val="1"/>
    </w:lvl>
  </w:abstractNum>
  <w:abstractNum w:abstractNumId="84">
    <w:nsid w:val="14E17E33"/>
    <w:multiLevelType w:val="hybridMultilevel"/>
    <w:lvl w:ilvl="0">
      <w:lvlJc w:val="left"/>
      <w:lvlText w:val="%1"/>
      <w:numFmt w:val="decimal"/>
      <w:start w:val="1"/>
    </w:lvl>
    <w:lvl w:ilvl="1">
      <w:lvlJc w:val="left"/>
      <w:lvlText w:val="%2."/>
      <w:numFmt w:val="lowerLetter"/>
      <w:start w:val="13"/>
    </w:lvl>
  </w:abstractNum>
  <w:abstractNum w:abstractNumId="85">
    <w:nsid w:val="3222E7CD"/>
    <w:multiLevelType w:val="hybridMultilevel"/>
    <w:lvl w:ilvl="0">
      <w:lvlJc w:val="left"/>
      <w:lvlText w:val="%1."/>
      <w:numFmt w:val="decimal"/>
      <w:start w:val="4"/>
    </w:lvl>
    <w:lvl w:ilvl="1">
      <w:lvlJc w:val="left"/>
      <w:lvlText w:val="%2"/>
      <w:numFmt w:val="lowerLetter"/>
      <w:start w:val="1"/>
    </w:lvl>
  </w:abstractNum>
  <w:abstractNum w:abstractNumId="86">
    <w:nsid w:val="74DE0EE3"/>
    <w:multiLevelType w:val="hybridMultilevel"/>
    <w:lvl w:ilvl="0">
      <w:lvlJc w:val="left"/>
      <w:lvlText w:val="%1."/>
      <w:numFmt w:val="decimal"/>
      <w:start w:val="5"/>
    </w:lvl>
  </w:abstractNum>
  <w:abstractNum w:abstractNumId="87">
    <w:nsid w:val="68EBC550"/>
    <w:multiLevelType w:val="hybridMultilevel"/>
    <w:lvl w:ilvl="0">
      <w:lvlJc w:val="left"/>
      <w:lvlText w:val="%1."/>
      <w:numFmt w:val="decimal"/>
      <w:start w:val="7"/>
    </w:lvl>
  </w:abstractNum>
  <w:abstractNum w:abstractNumId="88">
    <w:nsid w:val="2DF6D648"/>
    <w:multiLevelType w:val="hybridMultilevel"/>
    <w:lvl w:ilvl="0">
      <w:lvlJc w:val="left"/>
      <w:lvlText w:val="%1."/>
      <w:numFmt w:val="lowerLetter"/>
      <w:start w:val="1"/>
    </w:lvl>
  </w:abstractNum>
  <w:abstractNum w:abstractNumId="89">
    <w:nsid w:val="46B7D447"/>
    <w:multiLevelType w:val="hybridMultilevel"/>
    <w:lvl w:ilvl="0">
      <w:lvlJc w:val="left"/>
      <w:lvlText w:val="%1."/>
      <w:numFmt w:val="decimal"/>
      <w:start w:val="8"/>
    </w:lvl>
  </w:abstractNum>
  <w:abstractNum w:abstractNumId="90">
    <w:nsid w:val="4A2AC315"/>
    <w:multiLevelType w:val="hybridMultilevel"/>
    <w:lvl w:ilvl="0">
      <w:lvlJc w:val="left"/>
      <w:lvlText w:val="%1."/>
      <w:numFmt w:val="decimal"/>
      <w:start w:val="9"/>
    </w:lvl>
  </w:abstractNum>
  <w:abstractNum w:abstractNumId="91">
    <w:nsid w:val="39EE015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88" Type="http://schemas.openxmlformats.org/officeDocument/2006/relationships/hyperlink" Target="http://www.sec.gov/Archives/edgar/data/1757715/000119312520307364/d61785dex21.htm" TargetMode="External"/><Relationship Id="rId89" Type="http://schemas.openxmlformats.org/officeDocument/2006/relationships/hyperlink" Target="http://www.sec.gov/Archives/edgar/data/1757715/000119312521026328/d101467dex21.htm" TargetMode="External"/><Relationship Id="rId90" Type="http://schemas.openxmlformats.org/officeDocument/2006/relationships/hyperlink" Target="http://www.sec.gov/Archives/edgar/data/1757715/000119312521156839/d404633dex21.htm" TargetMode="External"/><Relationship Id="rId91" Type="http://schemas.openxmlformats.org/officeDocument/2006/relationships/hyperlink" Target="http://www.sec.gov/Archives/edgar/data/1757715/000119312521156839/d404633dex22.htm" TargetMode="External"/><Relationship Id="rId92" Type="http://schemas.openxmlformats.org/officeDocument/2006/relationships/hyperlink" Target="http://www.sec.gov/Archives/edgar/data/1757715/000119312521142247/d180974dex32.htm" TargetMode="External"/><Relationship Id="rId93" Type="http://schemas.openxmlformats.org/officeDocument/2006/relationships/hyperlink" Target="http://www.sec.gov/Archives/edgar/data/1757715/000119312519173667/d826688dex31.htm" TargetMode="External"/><Relationship Id="rId94" Type="http://schemas.openxmlformats.org/officeDocument/2006/relationships/hyperlink" Target="http://www.sec.gov/Archives/edgar/data/1757715/000119312522165200/d339752dex31.htm" TargetMode="External"/><Relationship Id="rId95" Type="http://schemas.openxmlformats.org/officeDocument/2006/relationships/hyperlink" Target="http://www.sec.gov/Archives/edgar/data/1757715/000119312519157090/d639806dex41.htm" TargetMode="External"/><Relationship Id="rId96" Type="http://schemas.openxmlformats.org/officeDocument/2006/relationships/hyperlink" Target="http://www.sec.gov/Archives/edgar/data/1757715/000119312519144273/d639806dex42.htm" TargetMode="External"/><Relationship Id="rId97" Type="http://schemas.openxmlformats.org/officeDocument/2006/relationships/hyperlink" Target="http://www.sec.gov/Archives/edgar/data/1757715/000119312519144273/d639806dex43.htm" TargetMode="External"/><Relationship Id="rId98" Type="http://schemas.openxmlformats.org/officeDocument/2006/relationships/hyperlink" Target="http://www.sec.gov/Archives/edgar/data/1757715/000119312519144273/d639806dex44.htm" TargetMode="External"/><Relationship Id="rId99" Type="http://schemas.openxmlformats.org/officeDocument/2006/relationships/hyperlink" Target="http://www.sec.gov/Archives/edgar/data/1757715/000119312519144273/d639806dex45.htm" TargetMode="External"/><Relationship Id="rId100" Type="http://schemas.openxmlformats.org/officeDocument/2006/relationships/hyperlink" Target="http://www.sec.gov/Archives/edgar/data/1757715/000119312519144273/d639806dex46.htm" TargetMode="External"/><Relationship Id="rId101" Type="http://schemas.openxmlformats.org/officeDocument/2006/relationships/hyperlink" Target="http://www.sec.gov/Archives/edgar/data/1757715/000156459020052585/mwk-ex47_108.htm" TargetMode="External"/><Relationship Id="rId102" Type="http://schemas.openxmlformats.org/officeDocument/2006/relationships/hyperlink" Target="http://www.sec.gov/Archives/edgar/data/1757715/000119312521367017/d280987dex41.htm" TargetMode="External"/><Relationship Id="rId103" Type="http://schemas.openxmlformats.org/officeDocument/2006/relationships/hyperlink" Target="http://www.sec.gov/Archives/edgar/data/1757715/000095017023008509/ater-ex4_9.htm" TargetMode="External"/><Relationship Id="rId104" Type="http://schemas.openxmlformats.org/officeDocument/2006/relationships/hyperlink" Target="http://www.sec.gov/Archives/edgar/data/1757715/000119312519157090/d639806dex101.htm" TargetMode="External"/><Relationship Id="rId105" Type="http://schemas.openxmlformats.org/officeDocument/2006/relationships/hyperlink" Target="http://www.sec.gov/Archives/edgar/data/1757715/000119312519144273/d639806dex102.htm" TargetMode="External"/><Relationship Id="rId106" Type="http://schemas.openxmlformats.org/officeDocument/2006/relationships/hyperlink" Target="http://www.sec.gov/Archives/edgar/data/1757715/000119312519144273/d639806dex103.htm" TargetMode="External"/><Relationship Id="rId107" Type="http://schemas.openxmlformats.org/officeDocument/2006/relationships/hyperlink" Target="http://www.sec.gov/Archives/edgar/data/1757715/000119312519171607/d762301dex103.htm" TargetMode="External"/><Relationship Id="rId108" Type="http://schemas.openxmlformats.org/officeDocument/2006/relationships/hyperlink" Target="http://www.sec.gov/Archives/edgar/data/1757715/000119312519144273/d639806dex105.htm" TargetMode="External"/><Relationship Id="rId109" Type="http://schemas.openxmlformats.org/officeDocument/2006/relationships/hyperlink" Target="http://www.sec.gov/Archives/edgar/data/1757715/000119312519171607/d762301dex104.htm" TargetMode="External"/><Relationship Id="rId110" Type="http://schemas.openxmlformats.org/officeDocument/2006/relationships/hyperlink" Target="http://www.sec.gov/Archives/edgar/data/1757715/000119312519144273/d639806dex1017.htm" TargetMode="External"/><Relationship Id="rId111" Type="http://schemas.openxmlformats.org/officeDocument/2006/relationships/hyperlink" Target="http://www.sec.gov/Archives/edgar/data/1757715/000119312519144273/d639806dex1018.htm" TargetMode="External"/><Relationship Id="rId112" Type="http://schemas.openxmlformats.org/officeDocument/2006/relationships/hyperlink" Target="http://www.sec.gov/Archives/edgar/data/1757715/000119312519144273/d639806dex1010.htm" TargetMode="External"/><Relationship Id="rId113" Type="http://schemas.openxmlformats.org/officeDocument/2006/relationships/hyperlink" Target="http://www.sec.gov/Archives/edgar/data/1757715/000119312519144273/d639806dex1011.htm" TargetMode="External"/><Relationship Id="rId114" Type="http://schemas.openxmlformats.org/officeDocument/2006/relationships/hyperlink" Target="http://www.sec.gov/Archives/edgar/data/1757715/000119312519144273/d639806dex1014.htm" TargetMode="External"/><Relationship Id="rId115" Type="http://schemas.openxmlformats.org/officeDocument/2006/relationships/hyperlink" Target="http://www.sec.gov/Archives/edgar/data/1757715/000119312519144273/d639806dex1015.htm" TargetMode="External"/><Relationship Id="rId116" Type="http://schemas.openxmlformats.org/officeDocument/2006/relationships/hyperlink" Target="http://www.sec.gov/Archives/edgar/data/1757715/000119312519144273/d639806dex1016.htm" TargetMode="External"/><Relationship Id="rId117" Type="http://schemas.openxmlformats.org/officeDocument/2006/relationships/hyperlink" Target="http://www.sec.gov/Archives/edgar/data/1757715/000119312519144273/d639806dex1019.htm" TargetMode="External"/><Relationship Id="rId118" Type="http://schemas.openxmlformats.org/officeDocument/2006/relationships/hyperlink" Target="http://www.sec.gov/Archives/edgar/data/1757715/000119312520307364/d61785dex103.htm" TargetMode="External"/><Relationship Id="rId119" Type="http://schemas.openxmlformats.org/officeDocument/2006/relationships/hyperlink" Target="http://www.sec.gov/Archives/edgar/data/1757715/000119312520307364/d61785dex104.htm" TargetMode="External"/><Relationship Id="rId120" Type="http://schemas.openxmlformats.org/officeDocument/2006/relationships/hyperlink" Target="http://www.sec.gov/Archives/edgar/data/1757715/000119312521026328/d101467dex103.htm" TargetMode="External"/><Relationship Id="rId121" Type="http://schemas.openxmlformats.org/officeDocument/2006/relationships/hyperlink" Target="http://www.sec.gov/Archives/edgar/data/1757715/000119312521026328/d101467dex104.htm" TargetMode="External"/><Relationship Id="rId122" Type="http://schemas.openxmlformats.org/officeDocument/2006/relationships/hyperlink" Target="http://www.sec.gov/Archives/edgar/data/1757715/000119312521026328/d101467dex105.htm" TargetMode="External"/><Relationship Id="rId123" Type="http://schemas.openxmlformats.org/officeDocument/2006/relationships/hyperlink" Target="http://www.sec.gov/Archives/edgar/data/1757715/000119312521026328/d101467dex106.htm" TargetMode="External"/><Relationship Id="rId124" Type="http://schemas.openxmlformats.org/officeDocument/2006/relationships/hyperlink" Target="http://www.sec.gov/Archives/edgar/data/1757715/000119312521026328/d101467dex107.htm" TargetMode="External"/><Relationship Id="rId125" Type="http://schemas.openxmlformats.org/officeDocument/2006/relationships/hyperlink" Target="http://www.sec.gov/Archives/edgar/data/1757715/000119312521026328/d101467dex108.htm" TargetMode="External"/><Relationship Id="rId126" Type="http://schemas.openxmlformats.org/officeDocument/2006/relationships/hyperlink" Target="http://www.sec.gov/Archives/edgar/data/1757715/000119312521156839/d404633dex101.htm" TargetMode="External"/><Relationship Id="rId127" Type="http://schemas.openxmlformats.org/officeDocument/2006/relationships/hyperlink" Target="http://www.sec.gov/Archives/edgar/data/1757715/000119312521156839/d404633dex102.htm" TargetMode="External"/><Relationship Id="rId128" Type="http://schemas.openxmlformats.org/officeDocument/2006/relationships/hyperlink" Target="http://www.sec.gov/Archives/edgar/data/1757715/000119312521156839/d404633dex103.htm" TargetMode="External"/><Relationship Id="rId129" Type="http://schemas.openxmlformats.org/officeDocument/2006/relationships/hyperlink" Target="http://www.sec.gov/Archives/edgar/data/1757715/000119312521156839/d404633dex104.htm" TargetMode="External"/><Relationship Id="rId130" Type="http://schemas.openxmlformats.org/officeDocument/2006/relationships/hyperlink" Target="http://www.sec.gov/Archives/edgar/data/1757715/000119312521156839/d404633dex105.htm" TargetMode="External"/><Relationship Id="rId131" Type="http://schemas.openxmlformats.org/officeDocument/2006/relationships/hyperlink" Target="http://www.sec.gov/Archives/edgar/data/1757715/000119312521156839/d404633dex106.htm" TargetMode="External"/><Relationship Id="rId132" Type="http://schemas.openxmlformats.org/officeDocument/2006/relationships/hyperlink" Target="http://www.sec.gov/Archives/edgar/data/1757715/000119312521156839/d404633dex107.htm" TargetMode="External"/><Relationship Id="rId133" Type="http://schemas.openxmlformats.org/officeDocument/2006/relationships/hyperlink" Target="http://www.sec.gov/Archives/edgar/data/1757715/000156459021042357/ater-ex1015_89.htm" TargetMode="External"/><Relationship Id="rId134" Type="http://schemas.openxmlformats.org/officeDocument/2006/relationships/hyperlink" Target="http://www.sec.gov/Archives/edgar/data/1757715/000156459021042357/ater-ex1016_86.htm" TargetMode="External"/><Relationship Id="rId135" Type="http://schemas.openxmlformats.org/officeDocument/2006/relationships/hyperlink" Target="http://www.sec.gov/Archives/edgar/data/1757715/000119312521367017/d280987dex101.htm" TargetMode="External"/><Relationship Id="rId136" Type="http://schemas.openxmlformats.org/officeDocument/2006/relationships/hyperlink" Target="http://www.sec.gov/Archives/edgar/data/1757715/000095017023008509/ater-ex10_33.htm" TargetMode="External"/><Relationship Id="rId137" Type="http://schemas.openxmlformats.org/officeDocument/2006/relationships/hyperlink" Target="http://www.sec.gov/ix?doc=/Archives/edgar/data/1757715/000143774923030994/ater20230930_10q.htm" TargetMode="External"/><Relationship Id="rId138" Type="http://schemas.openxmlformats.org/officeDocument/2006/relationships/hyperlink" Target="http://www.sec.gov/ix?doc=/Archives/edgar/data/0001757715/000095017023034985/ater-202307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2024-03-19T07:16:30Z</dcterms:created>
  <dcterms:modified xsi:type="dcterms:W3CDTF">2024-03-19T07:16:30Z</dcterms:modified>
</cp:coreProperties>
</file>