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ater-20230331.htm"/>
      <w:bookmarkStart w:id="1" w:name="ksater20230331"/>
      <w:bookmarkEnd w:id="0"/>
      <w:bookmarkEnd w:id="1"/>
      <w:r>
        <w:rPr/>
        <w:t> </w:t>
      </w:r>
    </w:p>
    <w:p>
      <w:pPr>
        <w:pStyle w:val="TextBody"/>
        <w:spacing w:before="0" w:after="0"/>
        <w:jc w:val="left"/>
        <w:rPr/>
      </w:pPr>
      <w:r>
        <w:rPr/>
        <w:t> </w:t>
      </w:r>
    </w:p>
    <w:p>
      <w:pPr>
        <w:pStyle w:val="TextBody"/>
        <w:pBdr>
          <w:top w:val="double" w:sz="6" w:space="1" w:color="000000"/>
        </w:pBdr>
        <w:spacing w:before="0" w:after="0"/>
        <w:jc w:val="center"/>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0"/>
        </w:rPr>
      </w:pPr>
      <w:r>
        <w:rPr>
          <w:rFonts w:ascii="Times New Roman;serif" w:hAnsi="Times New Roman;serif"/>
          <w:b/>
          <w:sz w:val="20"/>
        </w:rPr>
        <w:t>WASHINGTON, DC 20549</w:t>
      </w:r>
    </w:p>
    <w:p>
      <w:pPr>
        <w:pStyle w:val="TextBody"/>
        <w:pBdr>
          <w:bottom w:val="single" w:sz="4" w:space="1" w:color="000000"/>
        </w:pBdr>
        <w:spacing w:before="0" w:after="0"/>
        <w:jc w:val="center"/>
        <w:rPr/>
      </w:pPr>
      <w:r>
        <w:rPr/>
        <w:t> </w:t>
      </w:r>
    </w:p>
    <w:p>
      <w:pPr>
        <w:pStyle w:val="TextBody"/>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0" w:after="0"/>
        <w:jc w:val="center"/>
        <w:rPr/>
      </w:pPr>
      <w:r>
        <w:rPr/>
        <w:t> </w:t>
      </w:r>
    </w:p>
    <w:p>
      <w:pPr>
        <w:pStyle w:val="TextBody"/>
        <w:spacing w:before="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0" w:after="0"/>
        <w:jc w:val="left"/>
        <w:rPr/>
      </w:pPr>
      <w:r>
        <w:rPr/>
        <w:t> </w:t>
      </w:r>
    </w:p>
    <w:p>
      <w:pPr>
        <w:pStyle w:val="TextBody"/>
        <w:spacing w:before="6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6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Commission File Number: 001-38937</w:t>
      </w:r>
    </w:p>
    <w:p>
      <w:pPr>
        <w:pStyle w:val="TextBody"/>
        <w:pBdr>
          <w:bottom w:val="single" w:sz="4" w:space="1" w:color="000000"/>
        </w:pBdr>
        <w:spacing w:before="0" w:after="0"/>
        <w:jc w:val="center"/>
        <w:rPr/>
      </w:pPr>
      <w:r>
        <w:rPr/>
        <w:t> </w:t>
      </w:r>
    </w:p>
    <w:p>
      <w:pPr>
        <w:pStyle w:val="TextBody"/>
        <w:spacing w:before="60" w:after="0"/>
        <w:jc w:val="center"/>
        <w:rPr>
          <w:rFonts w:ascii="Times New Roman;serif" w:hAnsi="Times New Roman;serif"/>
          <w:b/>
          <w:sz w:val="48"/>
        </w:rPr>
      </w:pPr>
      <w:r>
        <w:rPr>
          <w:rFonts w:ascii="Times New Roman;serif" w:hAnsi="Times New Roman;serif"/>
          <w:b/>
          <w:sz w:val="48"/>
        </w:rPr>
        <w:t>Aterian,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spacing w:before="0" w:after="0"/>
        <w:jc w:val="left"/>
        <w:rPr/>
      </w:pPr>
      <w:r>
        <w:rPr/>
        <w:t> </w:t>
      </w:r>
    </w:p>
    <w:tbl>
      <w:tblPr>
        <w:tblW w:w="4978" w:type="dxa"/>
        <w:jc w:val="left"/>
        <w:tblInd w:w="0" w:type="dxa"/>
        <w:tblCellMar>
          <w:top w:w="28" w:type="dxa"/>
          <w:left w:w="28" w:type="dxa"/>
          <w:bottom w:w="28" w:type="dxa"/>
          <w:right w:w="28" w:type="dxa"/>
        </w:tblCellMar>
      </w:tblPr>
      <w:tblGrid>
        <w:gridCol w:w="3016"/>
        <w:gridCol w:w="146"/>
        <w:gridCol w:w="1816"/>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shd w:fill="auto" w:val="clear"/>
            <w:vAlign w:val="center"/>
          </w:tcPr>
          <w:p>
            <w:pPr>
              <w:pStyle w:val="TableContents"/>
              <w:spacing w:before="0" w:after="0"/>
              <w:ind w:left="0" w:right="0" w:hanging="0"/>
              <w:jc w:val="center"/>
              <w:rPr/>
            </w:pPr>
            <w:r>
              <w:rPr/>
              <w:t> </w:t>
            </w:r>
          </w:p>
        </w:tc>
        <w:tc>
          <w:tcPr>
            <w:tcW w:w="18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83-1739858</w:t>
            </w:r>
          </w:p>
        </w:tc>
      </w:tr>
      <w:tr>
        <w:trPr/>
        <w:tc>
          <w:tcPr>
            <w:tcW w:w="301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shd w:fill="auto" w:val="clear"/>
            <w:vAlign w:val="center"/>
          </w:tcPr>
          <w:p>
            <w:pPr>
              <w:pStyle w:val="TableContents"/>
              <w:spacing w:before="0" w:after="0"/>
              <w:ind w:left="0" w:right="0" w:hanging="0"/>
              <w:jc w:val="center"/>
              <w:rPr/>
            </w:pPr>
            <w:r>
              <w:rPr/>
              <w:t> </w:t>
            </w:r>
          </w:p>
        </w:tc>
        <w:tc>
          <w:tcPr>
            <w:tcW w:w="181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br/>
              <w:t>Identification Number)</w:t>
            </w:r>
          </w:p>
        </w:tc>
      </w:tr>
      <w:tr>
        <w:trPr/>
        <w:tc>
          <w:tcPr>
            <w:tcW w:w="3016" w:type="dxa"/>
            <w:tcBorders/>
            <w:shd w:fill="auto" w:val="cle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serif" w:hAnsi="Times New Roman;serif"/>
                <w:b/>
                <w:sz w:val="20"/>
              </w:rPr>
              <w:t>350 Springfield Avenue, Suite 200</w:t>
            </w:r>
            <w:r>
              <w:rPr>
                <w:rFonts w:ascii="Times New Roman" w:hAnsi="Times New Roman"/>
                <w:sz w:val="20"/>
              </w:rPr>
              <w:t xml:space="preserve"> </w:t>
            </w:r>
          </w:p>
          <w:p>
            <w:pPr>
              <w:pStyle w:val="TableContents"/>
              <w:spacing w:before="0" w:after="0"/>
              <w:ind w:left="0" w:right="0" w:hanging="0"/>
              <w:jc w:val="center"/>
              <w:rPr>
                <w:rFonts w:ascii="Times New Roman" w:hAnsi="Times New Roman"/>
                <w:sz w:val="20"/>
              </w:rPr>
            </w:pPr>
            <w:r>
              <w:rPr>
                <w:rFonts w:ascii="Times New Roman;serif" w:hAnsi="Times New Roman;serif"/>
                <w:b/>
                <w:sz w:val="20"/>
              </w:rPr>
              <w:t>Summit, NJ</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center"/>
              <w:rPr/>
            </w:pPr>
            <w:r>
              <w:rPr/>
              <w:t> </w:t>
            </w:r>
          </w:p>
        </w:tc>
        <w:tc>
          <w:tcPr>
            <w:tcW w:w="181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07901</w:t>
            </w:r>
          </w:p>
        </w:tc>
      </w:tr>
      <w:tr>
        <w:trPr/>
        <w:tc>
          <w:tcPr>
            <w:tcW w:w="301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46" w:type="dxa"/>
            <w:tcBorders/>
            <w:shd w:fill="auto" w:val="clear"/>
            <w:vAlign w:val="center"/>
          </w:tcPr>
          <w:p>
            <w:pPr>
              <w:pStyle w:val="TableContents"/>
              <w:spacing w:before="0" w:after="0"/>
              <w:ind w:left="0" w:right="0" w:hanging="0"/>
              <w:jc w:val="center"/>
              <w:rPr/>
            </w:pPr>
            <w:r>
              <w:rPr/>
              <w:t> </w:t>
            </w:r>
          </w:p>
        </w:tc>
        <w:tc>
          <w:tcPr>
            <w:tcW w:w="181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0" w:after="0"/>
        <w:jc w:val="center"/>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(347) 676-1681</w:t>
      </w:r>
    </w:p>
    <w:p>
      <w:pPr>
        <w:pStyle w:val="TextBody"/>
        <w:spacing w:before="0" w:after="0"/>
        <w:jc w:val="center"/>
        <w:rPr>
          <w:rFonts w:ascii="Times New Roman" w:hAnsi="Times New Roman"/>
          <w:sz w:val="20"/>
        </w:rPr>
      </w:pPr>
      <w:r>
        <w:rPr>
          <w:rFonts w:ascii="Times New Roman;serif" w:hAnsi="Times New Roman;serif"/>
          <w:b/>
          <w:sz w:val="16"/>
        </w:rPr>
        <w:t>(Registrant’s telephone number, including area code)</w:t>
      </w:r>
      <w:r>
        <w:rPr>
          <w:rFonts w:ascii="Times New Roman" w:hAnsi="Times New Roman"/>
          <w:sz w:val="20"/>
        </w:rPr>
        <w:t xml:space="preserve"> </w:t>
      </w:r>
    </w:p>
    <w:p>
      <w:pPr>
        <w:pStyle w:val="TextBody"/>
        <w:pBdr>
          <w:bottom w:val="single" w:sz="4" w:space="1" w:color="000000"/>
        </w:pBdr>
        <w:spacing w:before="0" w:after="0"/>
        <w:jc w:val="center"/>
        <w:rPr/>
      </w:pPr>
      <w:r>
        <w:rPr/>
        <w:t> </w:t>
      </w:r>
    </w:p>
    <w:p>
      <w:pPr>
        <w:pStyle w:val="TextBody"/>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350" w:type="dxa"/>
        <w:jc w:val="left"/>
        <w:tblInd w:w="0" w:type="dxa"/>
        <w:tblCellMar>
          <w:top w:w="28" w:type="dxa"/>
          <w:left w:w="28" w:type="dxa"/>
          <w:bottom w:w="28" w:type="dxa"/>
          <w:right w:w="28" w:type="dxa"/>
        </w:tblCellMar>
      </w:tblPr>
      <w:tblGrid>
        <w:gridCol w:w="3286"/>
        <w:gridCol w:w="146"/>
        <w:gridCol w:w="1456"/>
        <w:gridCol w:w="146"/>
        <w:gridCol w:w="3316"/>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$0.0001 par value per share</w:t>
            </w:r>
          </w:p>
        </w:tc>
        <w:tc>
          <w:tcPr>
            <w:tcW w:w="146" w:type="dxa"/>
            <w:tcBorders/>
            <w:shd w:fill="auto" w:val="clear"/>
            <w:vAlign w:val="center"/>
          </w:tcPr>
          <w:p>
            <w:pPr>
              <w:pStyle w:val="TableContents"/>
              <w:spacing w:before="0" w:after="0"/>
              <w:ind w:left="0" w:right="0" w:hanging="0"/>
              <w:jc w:val="center"/>
              <w:rPr/>
            </w:pPr>
            <w:r>
              <w:rPr/>
              <w:t> </w:t>
            </w:r>
          </w:p>
        </w:tc>
        <w:tc>
          <w:tcPr>
            <w:tcW w:w="145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ATER</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aps/>
          <w:sz w:val="16"/>
        </w:rPr>
        <w:t>YES</w:t>
      </w:r>
      <w:r>
        <w:rPr>
          <w:rFonts w:ascii="Times New Roman;serif" w:hAnsi="Times New Roman;serif"/>
          <w:sz w:val="16"/>
        </w:rPr>
        <w:t xml:space="preserve"> </w:t>
      </w:r>
      <w:r>
        <w:rPr>
          <w:rFonts w:ascii="Times New Roman" w:hAnsi="Times New Roman"/>
          <w:sz w:val="20"/>
        </w:rPr>
        <w:t xml:space="preserve">☒ </w:t>
      </w:r>
      <w:r>
        <w:rPr>
          <w:rFonts w:ascii="Times New Roman;serif" w:hAnsi="Times New Roman;serif"/>
          <w:b w:val="false"/>
          <w:caps/>
          <w:sz w:val="16"/>
        </w:rPr>
        <w:t>NO</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spacing w:before="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p>
      <w:pPr>
        <w:pStyle w:val="TextBody"/>
        <w:spacing w:before="0" w:after="0"/>
        <w:jc w:val="left"/>
        <w:rPr/>
      </w:pPr>
      <w:r>
        <w:rPr/>
        <w:t> </w:t>
      </w:r>
    </w:p>
    <w:tbl>
      <w:tblPr>
        <w:tblW w:w="4965" w:type="dxa"/>
        <w:jc w:val="left"/>
        <w:tblInd w:w="0" w:type="dxa"/>
        <w:tblCellMar>
          <w:top w:w="28" w:type="dxa"/>
          <w:left w:w="28" w:type="dxa"/>
          <w:bottom w:w="28" w:type="dxa"/>
          <w:right w:w="28" w:type="dxa"/>
        </w:tblCellMar>
      </w:tblPr>
      <w:tblGrid>
        <w:gridCol w:w="2056"/>
        <w:gridCol w:w="316"/>
        <w:gridCol w:w="146"/>
        <w:gridCol w:w="2026"/>
        <w:gridCol w:w="421"/>
      </w:tblGrid>
      <w:tr>
        <w:trPr/>
        <w:tc>
          <w:tcPr>
            <w:tcW w:w="20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421" w:type="dxa"/>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421" w:type="dxa"/>
            <w:tcBorders/>
            <w:shd w:fill="auto" w:val="clear"/>
            <w:vAlign w:val="center"/>
          </w:tcPr>
          <w:p>
            <w:pPr>
              <w:pStyle w:val="TableContents"/>
              <w:spacing w:before="0" w:after="0"/>
              <w:ind w:left="0" w:right="0" w:hanging="0"/>
              <w:jc w:val="left"/>
              <w:rPr/>
            </w:pPr>
            <w:r>
              <w:rPr/>
              <w:t>☒</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16"/>
        </w:rPr>
        <w:t>As of May 3, 2023, the registrant had 81,125,003</w:t>
      </w:r>
      <w:r>
        <w:rPr>
          <w:rFonts w:ascii="Times New Roman" w:hAnsi="Times New Roman"/>
          <w:sz w:val="20"/>
        </w:rPr>
        <w:t xml:space="preserve"> </w:t>
      </w:r>
      <w:r>
        <w:rPr>
          <w:rFonts w:ascii="Times New Roman;serif" w:hAnsi="Times New Roman;serif"/>
          <w:b w:val="false"/>
          <w:sz w:val="16"/>
        </w:rPr>
        <w:t>shares of common stock, $0.0001 par value per share, outstanding.</w:t>
      </w:r>
    </w:p>
    <w:p>
      <w:pPr>
        <w:pStyle w:val="TextBody"/>
        <w:pBdr>
          <w:bottom w:val="double" w:sz="6" w:space="1" w:color="000000"/>
        </w:pBdr>
        <w:spacing w:before="0" w:after="0"/>
        <w:jc w:val="center"/>
        <w:rPr/>
      </w:pPr>
      <w:r>
        <w:rPr/>
        <w:t> </w:t>
      </w:r>
    </w:p>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p>
      <w:pPr>
        <w:pStyle w:val="TextBody"/>
        <w:spacing w:before="0" w:after="0"/>
        <w:jc w:val="left"/>
        <w:rPr/>
      </w:pPr>
      <w:r>
        <w:rPr/>
        <w:t> </w:t>
      </w:r>
    </w:p>
    <w:tbl>
      <w:tblPr>
        <w:tblW w:w="8853" w:type="dxa"/>
        <w:jc w:val="left"/>
        <w:tblInd w:w="0" w:type="dxa"/>
        <w:tblCellMar>
          <w:top w:w="28" w:type="dxa"/>
          <w:left w:w="28" w:type="dxa"/>
          <w:bottom w:w="28" w:type="dxa"/>
          <w:right w:w="28" w:type="dxa"/>
        </w:tblCellMar>
      </w:tblPr>
      <w:tblGrid>
        <w:gridCol w:w="976"/>
        <w:gridCol w:w="7366"/>
        <w:gridCol w:w="511"/>
      </w:tblGrid>
      <w:tr>
        <w:trPr/>
        <w:tc>
          <w:tcPr>
            <w:tcW w:w="97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976" w:type="dxa"/>
            <w:tcBorders/>
            <w:shd w:fill="auto" w:val="clear"/>
            <w:vAlign w:val="center"/>
          </w:tcPr>
          <w:p>
            <w:pPr>
              <w:pStyle w:val="TableContents"/>
              <w:spacing w:before="0" w:after="0"/>
              <w:ind w:left="0" w:right="0" w:hanging="0"/>
              <w:jc w:val="left"/>
              <w:rPr/>
            </w:pPr>
            <w:r>
              <w:rPr/>
              <w:t> </w:t>
            </w:r>
          </w:p>
        </w:tc>
        <w:tc>
          <w:tcPr>
            <w:tcW w:w="736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vAlign w:val="center"/>
          </w:tcPr>
          <w:p>
            <w:pPr>
              <w:pStyle w:val="TableContents"/>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1" w:type="dxa"/>
            <w:tcBorders/>
            <w:shd w:fill="auto" w:val="clear"/>
            <w:vAlign w:val="center"/>
          </w:tcPr>
          <w:p>
            <w:pPr>
              <w:pStyle w:val="TableContents"/>
              <w:spacing w:before="0" w:after="0"/>
              <w:ind w:left="0" w:right="0" w:hanging="0"/>
              <w:jc w:val="right"/>
              <w:rPr/>
            </w:pPr>
            <w:r>
              <w:rPr/>
              <w:t> </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97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ondensed_consolidated_statements_compre">
              <w:r>
                <w:rPr>
                  <w:rStyle w:val="InternetLink"/>
                  <w:rFonts w:ascii="Times New Roman;serif" w:hAnsi="Times New Roman;serif"/>
                  <w:b w:val="false"/>
                  <w:sz w:val="20"/>
                  <w:u w:val="single"/>
                </w:rPr>
                <w:t>Condensed Consolidated Statements of Comprehensive Loss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7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ondensed_consolidated_statements_stockh">
              <w:r>
                <w:rPr>
                  <w:rStyle w:val="InternetLink"/>
                  <w:rFonts w:ascii="Times New Roman;serif" w:hAnsi="Times New Roman;serif"/>
                  <w:b w:val="false"/>
                  <w:sz w:val="20"/>
                  <w:u w:val="single"/>
                </w:rPr>
                <w:t>Condensed Consolidated Statements of Stockholder’s Equity</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7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76" w:type="dxa"/>
            <w:tcBorders/>
            <w:shd w:fill="auto" w:val="clear"/>
            <w:vAlign w:val="center"/>
          </w:tcPr>
          <w:p>
            <w:pPr>
              <w:pStyle w:val="TableContents"/>
              <w:spacing w:before="0" w:after="283"/>
              <w:ind w:left="0" w:right="0" w:hanging="0"/>
              <w:rPr>
                <w:sz w:val="4"/>
                <w:szCs w:val="4"/>
              </w:rPr>
            </w:pPr>
            <w:r>
              <w:rPr>
                <w:sz w:val="4"/>
                <w:szCs w:val="4"/>
              </w:rPr>
            </w:r>
          </w:p>
        </w:tc>
        <w:tc>
          <w:tcPr>
            <w:tcW w:w="7366" w:type="dxa"/>
            <w:tcBorders/>
            <w:shd w:fill="auto" w:val="clear"/>
            <w:vAlign w:val="center"/>
          </w:tcPr>
          <w:p>
            <w:pPr>
              <w:pStyle w:val="TableContents"/>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Unaudited Condensed Consolidated Financial Statements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vAlign w:val="center"/>
          </w:tcPr>
          <w:p>
            <w:pPr>
              <w:pStyle w:val="TableContents"/>
              <w:spacing w:before="0" w:after="0"/>
              <w:ind w:left="0" w:right="0" w:hanging="0"/>
              <w:jc w:val="left"/>
              <w:rPr/>
            </w:pPr>
            <w:hyperlink w:anchor="other_information">
              <w:r>
                <w:rPr>
                  <w:rStyle w:val="InternetLink"/>
                  <w:rFonts w:ascii="Times New Roman;serif" w:hAnsi="Times New Roman;serif"/>
                  <w:b w:val="false"/>
                  <w:sz w:val="20"/>
                  <w:u w:val="single"/>
                </w:rPr>
                <w:t>OTHER INFORMATION</w:t>
              </w:r>
            </w:hyperlink>
          </w:p>
        </w:tc>
        <w:tc>
          <w:tcPr>
            <w:tcW w:w="511" w:type="dxa"/>
            <w:tcBorders/>
            <w:shd w:fill="auto" w:val="clear"/>
            <w:vAlign w:val="center"/>
          </w:tcPr>
          <w:p>
            <w:pPr>
              <w:pStyle w:val="TableContents"/>
              <w:spacing w:before="0" w:after="0"/>
              <w:ind w:left="0" w:right="0" w:hanging="0"/>
              <w:jc w:val="right"/>
              <w:rPr/>
            </w:pPr>
            <w:r>
              <w:rPr/>
              <w:t> </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vAlign w:val="center"/>
          </w:tcPr>
          <w:p>
            <w:pPr>
              <w:pStyle w:val="TableContents"/>
              <w:spacing w:before="0" w:after="0"/>
              <w:ind w:left="0" w:right="0" w:hanging="0"/>
              <w:jc w:val="left"/>
              <w:rPr/>
            </w:pPr>
            <w:hyperlink w:anchor="risk_factors">
              <w:r>
                <w:rPr>
                  <w:rStyle w:val="InternetLink"/>
                  <w:rFonts w:ascii="Times New Roman;serif" w:hAnsi="Times New Roman;serif"/>
                  <w:b w:val="false"/>
                  <w:sz w:val="20"/>
                  <w:u w:val="single"/>
                </w:rPr>
                <w:t>Risk Factors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r>
      <w:tr>
        <w:trPr/>
        <w:tc>
          <w:tcPr>
            <w:tcW w:w="976" w:type="dxa"/>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736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CAUTIONARY NOTE REGARDING FORWARD-LOOKING STATEMENTS</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This Quarterly Report on Form 10-Q contains “forward-looking statements” within the meaning of Section 27A of the Securities Act and Section 21E of the Securities Exchange Act of 1934 (the "Exchange Act"). Many of these statements can be identified by the use of terminology such as “believes,” “expects,” “intends,” “anticipates,” “plans,” “may,” “will,” “could,” would,” “projects,” “continues,” “estimates,” “potential,” “opportunity” or the negative versions of these terms and other similar expressions. Our actual results or experience could differ significantly from the forward-looking statements. Factors that could cause or contribute to these differences include those discussed in “Risk Factors,” in Part II, Item 1A of this Quarterly Report on Form 10-Q as well as information provided elsewhere in this Quarterly Report on Form 10-Q and our Annual Report on Form 10-K for the year ended December 31, 2022, which was filed with the Securities and Exchange Commission (the SEC) on March 16, 2023. You should carefully consider that information before you make an investment decision.</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You should not place undue reliance on these types of forward-looking statements, which speak only as of the date that they were made. These forward-looking statements are based on the beliefs and assumptions of the Company’s management based on information currently available to management and should be considered in connection with any written or oral forward-looking statements that the Company may issue in the future as well as other cautionary statements the Company has made and may make. Except as required by law, the Company does not undertake any obligation to release publicly any revisions to these forward-looking statements after completion of the filing of this Quarterly Report on Form 10-Q to reflect later events or circumstances or the occurrence of unanticipated events.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The discussion of the Company’s financial condition and results of operations should be read in conjunction with the Company’s Condensed Consolidated Financial Statements and the related Notes thereto included in this Quarterly Report on Form 10-Q.</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spacing w:before="12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spacing w:before="240" w:after="0"/>
        <w:jc w:val="center"/>
        <w:rPr>
          <w:rFonts w:ascii="Times New Roman;serif" w:hAnsi="Times New Roman;serif"/>
          <w:b/>
          <w:sz w:val="20"/>
        </w:rPr>
      </w:pPr>
      <w:r>
        <w:rPr>
          <w:rFonts w:ascii="Times New Roman;serif" w:hAnsi="Times New Roman;serif"/>
          <w:b/>
          <w:sz w:val="20"/>
        </w:rPr>
        <w:t>ATERIAN, INC.</w:t>
      </w:r>
    </w:p>
    <w:p>
      <w:pPr>
        <w:pStyle w:val="TextBody"/>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p>
      <w:pPr>
        <w:pStyle w:val="TextBody"/>
        <w:spacing w:before="0" w:after="0"/>
        <w:jc w:val="center"/>
        <w:rPr>
          <w:rFonts w:ascii="Times New Roman;serif" w:hAnsi="Times New Roman;serif"/>
          <w:b/>
          <w:i/>
          <w:sz w:val="20"/>
        </w:rPr>
      </w:pPr>
      <w:r>
        <w:rPr>
          <w:rFonts w:ascii="Times New Roman;serif" w:hAnsi="Times New Roman;serif"/>
          <w:b/>
          <w:i/>
          <w:sz w:val="20"/>
        </w:rPr>
        <w:t>(in thousands, except share and per share data)</w:t>
      </w:r>
    </w:p>
    <w:tbl>
      <w:tblPr>
        <w:tblW w:w="10205" w:type="dxa"/>
        <w:jc w:val="left"/>
        <w:tblInd w:w="0" w:type="dxa"/>
        <w:tblCellMar>
          <w:top w:w="28" w:type="dxa"/>
          <w:left w:w="28" w:type="dxa"/>
          <w:bottom w:w="28" w:type="dxa"/>
          <w:right w:w="28" w:type="dxa"/>
        </w:tblCellMar>
      </w:tblPr>
      <w:tblGrid>
        <w:gridCol w:w="7213"/>
        <w:gridCol w:w="146"/>
        <w:gridCol w:w="214"/>
        <w:gridCol w:w="856"/>
        <w:gridCol w:w="166"/>
        <w:gridCol w:w="146"/>
        <w:gridCol w:w="211"/>
        <w:gridCol w:w="841"/>
        <w:gridCol w:w="412"/>
      </w:tblGrid>
      <w:tr>
        <w:trPr/>
        <w:tc>
          <w:tcPr>
            <w:tcW w:w="72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r>
      <w:tr>
        <w:trPr/>
        <w:tc>
          <w:tcPr>
            <w:tcW w:w="721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13" w:type="dxa"/>
            <w:tcBorders/>
            <w:shd w:fill="auto" w:val="cle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ASSETS</w:t>
            </w:r>
          </w:p>
        </w:tc>
        <w:tc>
          <w:tcPr>
            <w:tcW w:w="146" w:type="dxa"/>
            <w:tcBorders/>
            <w:shd w:fill="auto" w:val="clear"/>
            <w:vAlign w:val="center"/>
          </w:tcPr>
          <w:p>
            <w:pPr>
              <w:pStyle w:val="TableContents"/>
              <w:spacing w:before="0" w:after="0"/>
              <w:ind w:left="0" w:right="0" w:hanging="0"/>
              <w:jc w:val="left"/>
              <w:rPr/>
            </w:pPr>
            <w:r>
              <w:rPr/>
              <w:t> </w:t>
            </w:r>
          </w:p>
        </w:tc>
        <w:tc>
          <w:tcPr>
            <w:tcW w:w="107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(unaudited)</w:t>
            </w:r>
          </w:p>
        </w:tc>
        <w:tc>
          <w:tcPr>
            <w:tcW w:w="412" w:type="dxa"/>
            <w:tcBorders/>
            <w:shd w:fill="auto" w:val="clear"/>
            <w:vAlign w:val="center"/>
          </w:tcPr>
          <w:p>
            <w:pPr>
              <w:pStyle w:val="TableContents"/>
              <w:spacing w:before="0" w:after="0"/>
              <w:ind w:left="0" w:right="0" w:hanging="0"/>
              <w:jc w:val="center"/>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7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firstLine="100"/>
              <w:jc w:val="right"/>
              <w:rPr/>
            </w:pPr>
            <w:r>
              <w:rPr/>
              <w:t> </w:t>
            </w:r>
          </w:p>
        </w:tc>
      </w:tr>
      <w:tr>
        <w:trPr/>
        <w:tc>
          <w:tcPr>
            <w:tcW w:w="721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33,911</w:t>
            </w:r>
          </w:p>
        </w:tc>
        <w:tc>
          <w:tcPr>
            <w:tcW w:w="412" w:type="dxa"/>
            <w:tcBorders/>
            <w:shd w:fill="auto" w:val="clear"/>
            <w:vAlign w:val="center"/>
          </w:tcPr>
          <w:p>
            <w:pPr>
              <w:pStyle w:val="TableContents"/>
              <w:spacing w:before="0" w:after="0"/>
              <w:ind w:left="0" w:right="0" w:firstLine="100"/>
              <w:jc w:val="left"/>
              <w:rPr/>
            </w:pPr>
            <w:r>
              <w:rPr/>
              <w:t> </w:t>
            </w:r>
          </w:p>
        </w:tc>
      </w:tr>
      <w:tr>
        <w:trPr/>
        <w:tc>
          <w:tcPr>
            <w:tcW w:w="721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3,486</w:t>
            </w:r>
          </w:p>
        </w:tc>
        <w:tc>
          <w:tcPr>
            <w:tcW w:w="412" w:type="dxa"/>
            <w:tcBorders/>
            <w:shd w:fill="auto" w:val="clear"/>
            <w:vAlign w:val="center"/>
          </w:tcPr>
          <w:p>
            <w:pPr>
              <w:pStyle w:val="TableContents"/>
              <w:spacing w:before="0" w:after="0"/>
              <w:ind w:left="0" w:right="0" w:firstLine="100"/>
              <w:jc w:val="left"/>
              <w:rPr/>
            </w:pPr>
            <w:r>
              <w:rPr/>
              <w:t> </w:t>
            </w:r>
          </w:p>
        </w:tc>
      </w:tr>
      <w:tr>
        <w:trPr/>
        <w:tc>
          <w:tcPr>
            <w:tcW w:w="721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40,378</w:t>
            </w:r>
          </w:p>
        </w:tc>
        <w:tc>
          <w:tcPr>
            <w:tcW w:w="412" w:type="dxa"/>
            <w:tcBorders/>
            <w:shd w:fill="auto" w:val="clear"/>
            <w:vAlign w:val="center"/>
          </w:tcPr>
          <w:p>
            <w:pPr>
              <w:pStyle w:val="TableContents"/>
              <w:spacing w:before="0" w:after="0"/>
              <w:ind w:left="0" w:right="0" w:firstLine="100"/>
              <w:jc w:val="left"/>
              <w:rPr/>
            </w:pPr>
            <w:r>
              <w:rPr/>
              <w:t> </w:t>
            </w:r>
          </w:p>
        </w:tc>
      </w:tr>
      <w:tr>
        <w:trPr/>
        <w:tc>
          <w:tcPr>
            <w:tcW w:w="721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6,870</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721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84,645</w:t>
            </w:r>
          </w:p>
        </w:tc>
        <w:tc>
          <w:tcPr>
            <w:tcW w:w="41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w:t>
            </w:r>
          </w:p>
        </w:tc>
        <w:tc>
          <w:tcPr>
            <w:tcW w:w="41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intangibles, net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36,392</w:t>
            </w:r>
          </w:p>
        </w:tc>
        <w:tc>
          <w:tcPr>
            <w:tcW w:w="41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753</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721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156,439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122,620</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07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7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firstLine="100"/>
              <w:jc w:val="right"/>
              <w:rPr/>
            </w:pPr>
            <w:r>
              <w:rPr/>
              <w:t> </w:t>
            </w:r>
          </w:p>
        </w:tc>
      </w:tr>
      <w:tr>
        <w:trPr/>
        <w:tc>
          <w:tcPr>
            <w:tcW w:w="721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Credit facility</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19,103</w:t>
            </w:r>
          </w:p>
        </w:tc>
        <w:tc>
          <w:tcPr>
            <w:tcW w:w="412" w:type="dxa"/>
            <w:tcBorders/>
            <w:shd w:fill="auto" w:val="clear"/>
            <w:vAlign w:val="center"/>
          </w:tcPr>
          <w:p>
            <w:pPr>
              <w:pStyle w:val="TableContents"/>
              <w:spacing w:before="0" w:after="0"/>
              <w:ind w:left="0" w:right="0" w:firstLine="100"/>
              <w:jc w:val="left"/>
              <w:rPr/>
            </w:pPr>
            <w:r>
              <w:rPr/>
              <w:t> </w:t>
            </w:r>
          </w:p>
        </w:tc>
      </w:tr>
      <w:tr>
        <w:trPr/>
        <w:tc>
          <w:tcPr>
            <w:tcW w:w="721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8,955</w:t>
            </w:r>
          </w:p>
        </w:tc>
        <w:tc>
          <w:tcPr>
            <w:tcW w:w="412" w:type="dxa"/>
            <w:tcBorders/>
            <w:shd w:fill="auto" w:val="clear"/>
            <w:vAlign w:val="center"/>
          </w:tcPr>
          <w:p>
            <w:pPr>
              <w:pStyle w:val="TableContents"/>
              <w:spacing w:before="0" w:after="0"/>
              <w:ind w:left="0" w:right="0" w:firstLine="100"/>
              <w:jc w:val="left"/>
              <w:rPr/>
            </w:pPr>
            <w:r>
              <w:rPr/>
              <w:t> </w:t>
            </w:r>
          </w:p>
        </w:tc>
      </w:tr>
      <w:tr>
        <w:trPr/>
        <w:tc>
          <w:tcPr>
            <w:tcW w:w="721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Seller notes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1,303</w:t>
            </w:r>
          </w:p>
        </w:tc>
        <w:tc>
          <w:tcPr>
            <w:tcW w:w="412" w:type="dxa"/>
            <w:tcBorders/>
            <w:shd w:fill="auto" w:val="clear"/>
            <w:vAlign w:val="center"/>
          </w:tcPr>
          <w:p>
            <w:pPr>
              <w:pStyle w:val="TableContents"/>
              <w:spacing w:before="0" w:after="0"/>
              <w:ind w:left="0" w:right="0" w:firstLine="100"/>
              <w:jc w:val="left"/>
              <w:rPr/>
            </w:pPr>
            <w:r>
              <w:rPr/>
              <w:t> </w:t>
            </w:r>
          </w:p>
        </w:tc>
      </w:tr>
      <w:tr>
        <w:trPr/>
        <w:tc>
          <w:tcPr>
            <w:tcW w:w="721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13,045</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721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42,406</w:t>
            </w:r>
          </w:p>
        </w:tc>
        <w:tc>
          <w:tcPr>
            <w:tcW w:w="412" w:type="dxa"/>
            <w:tcBorders/>
            <w:shd w:fill="auto" w:val="cle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1,447</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721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43,853</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9)</w:t>
            </w:r>
          </w:p>
        </w:tc>
        <w:tc>
          <w:tcPr>
            <w:tcW w:w="146" w:type="dxa"/>
            <w:tcBorders/>
            <w:shd w:fill="auto" w:val="clear"/>
            <w:vAlign w:val="center"/>
          </w:tcPr>
          <w:p>
            <w:pPr>
              <w:pStyle w:val="TableContents"/>
              <w:spacing w:before="0" w:after="0"/>
              <w:ind w:left="0" w:right="0" w:hanging="0"/>
              <w:jc w:val="left"/>
              <w:rPr/>
            </w:pPr>
            <w:r>
              <w:rPr/>
              <w:t> </w:t>
            </w:r>
          </w:p>
        </w:tc>
        <w:tc>
          <w:tcPr>
            <w:tcW w:w="107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7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firstLine="100"/>
              <w:jc w:val="right"/>
              <w:rPr/>
            </w:pPr>
            <w:r>
              <w:rPr/>
              <w:t> </w:t>
            </w:r>
          </w:p>
        </w:tc>
      </w:tr>
      <w:tr>
        <w:trPr/>
        <w:tc>
          <w:tcPr>
            <w:tcW w:w="7213"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500,000,000</w:t>
            </w:r>
            <w:r>
              <w:rPr>
                <w:rFonts w:ascii="Times New Roman" w:hAnsi="Times New Roman"/>
                <w:sz w:val="20"/>
              </w:rPr>
              <w:t> </w:t>
            </w:r>
            <w:r>
              <w:rPr>
                <w:rFonts w:ascii="Times New Roman;serif" w:hAnsi="Times New Roman;serif"/>
                <w:b w:val="false"/>
                <w:sz w:val="20"/>
              </w:rPr>
              <w:t>shares authorized and 80,752,290</w:t>
            </w:r>
            <w:r>
              <w:rPr>
                <w:rFonts w:ascii="Times New Roman" w:hAnsi="Times New Roman"/>
                <w:sz w:val="20"/>
              </w:rPr>
              <w:t> </w:t>
            </w:r>
            <w:r>
              <w:rPr>
                <w:rFonts w:ascii="Times New Roman;serif" w:hAnsi="Times New Roman;serif"/>
                <w:b w:val="false"/>
                <w:sz w:val="20"/>
              </w:rPr>
              <w:t>and 81,134,161</w:t>
            </w:r>
            <w:r>
              <w:rPr>
                <w:rFonts w:ascii="Times New Roman" w:hAnsi="Times New Roman"/>
                <w:sz w:val="20"/>
              </w:rPr>
              <w:t> </w:t>
            </w:r>
            <w:r>
              <w:rPr>
                <w:rFonts w:ascii="Times New Roman;serif" w:hAnsi="Times New Roman;serif"/>
                <w:b w:val="false"/>
                <w:sz w:val="20"/>
              </w:rPr>
              <w:t>shares outstanding at December 31, 2022 and March 31, 2023, respectively</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412" w:type="dxa"/>
            <w:tcBorders/>
            <w:shd w:fill="auto" w:val="clear"/>
            <w:vAlign w:val="center"/>
          </w:tcPr>
          <w:p>
            <w:pPr>
              <w:pStyle w:val="TableContents"/>
              <w:spacing w:before="0" w:after="0"/>
              <w:ind w:left="0" w:right="0" w:firstLine="100"/>
              <w:jc w:val="left"/>
              <w:rPr/>
            </w:pPr>
            <w:r>
              <w:rPr/>
              <w:t> </w:t>
            </w:r>
          </w:p>
        </w:tc>
      </w:tr>
      <w:tr>
        <w:trPr/>
        <w:tc>
          <w:tcPr>
            <w:tcW w:w="721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728,339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730,825</w:t>
            </w:r>
          </w:p>
        </w:tc>
        <w:tc>
          <w:tcPr>
            <w:tcW w:w="412" w:type="dxa"/>
            <w:tcBorders/>
            <w:shd w:fill="auto" w:val="clear"/>
            <w:vAlign w:val="center"/>
          </w:tcPr>
          <w:p>
            <w:pPr>
              <w:pStyle w:val="TableContents"/>
              <w:spacing w:before="0" w:after="0"/>
              <w:ind w:left="0" w:right="0" w:firstLine="100"/>
              <w:jc w:val="left"/>
              <w:rPr/>
            </w:pPr>
            <w:r>
              <w:rPr/>
              <w:t> </w:t>
            </w:r>
          </w:p>
        </w:tc>
      </w:tr>
      <w:tr>
        <w:trPr/>
        <w:tc>
          <w:tcPr>
            <w:tcW w:w="721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(625,251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(651,051</w:t>
            </w:r>
          </w:p>
        </w:tc>
        <w:tc>
          <w:tcPr>
            <w:tcW w:w="412"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7213"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(1,015</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21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101,952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78,767</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156,439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122,620</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ATERIAN, INC.</w:t>
      </w:r>
    </w:p>
    <w:p>
      <w:pPr>
        <w:pStyle w:val="TextBody"/>
        <w:spacing w:before="0" w:after="0"/>
        <w:jc w:val="center"/>
        <w:rPr>
          <w:rFonts w:ascii="Times New Roman" w:hAnsi="Times New Roman"/>
          <w:sz w:val="20"/>
        </w:rPr>
      </w:pPr>
      <w:bookmarkStart w:id="5" w:name="condensed_consolidated_statements_operat"/>
      <w:bookmarkEnd w:id="5"/>
      <w:r>
        <w:rPr>
          <w:rFonts w:ascii="Times New Roman;serif" w:hAnsi="Times New Roman;serif"/>
          <w:b/>
          <w:sz w:val="20"/>
        </w:rPr>
        <w:t>Condensed Consolidated Statements of Operations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i/>
          <w:sz w:val="20"/>
        </w:rPr>
        <w:t>(in thousands, except share and per share data)</w:t>
      </w:r>
      <w:r>
        <w:rPr>
          <w:rFonts w:ascii="Times New Roman" w:hAnsi="Times New Roman"/>
          <w:sz w:val="20"/>
        </w:rPr>
        <w:t xml:space="preserve"> </w:t>
      </w:r>
    </w:p>
    <w:p>
      <w:pPr>
        <w:pStyle w:val="TextBody"/>
        <w:spacing w:before="0" w:after="0"/>
        <w:jc w:val="left"/>
        <w:rPr/>
      </w:pPr>
      <w:r>
        <w:rPr/>
        <w:t> </w:t>
      </w:r>
    </w:p>
    <w:tbl>
      <w:tblPr>
        <w:tblW w:w="8864" w:type="dxa"/>
        <w:jc w:val="left"/>
        <w:tblInd w:w="0" w:type="dxa"/>
        <w:tblCellMar>
          <w:top w:w="28" w:type="dxa"/>
          <w:left w:w="28" w:type="dxa"/>
          <w:bottom w:w="28" w:type="dxa"/>
          <w:right w:w="28" w:type="dxa"/>
        </w:tblCellMar>
      </w:tblPr>
      <w:tblGrid>
        <w:gridCol w:w="5521"/>
        <w:gridCol w:w="146"/>
        <w:gridCol w:w="211"/>
        <w:gridCol w:w="1036"/>
        <w:gridCol w:w="166"/>
        <w:gridCol w:w="146"/>
        <w:gridCol w:w="211"/>
        <w:gridCol w:w="1036"/>
        <w:gridCol w:w="391"/>
      </w:tblGrid>
      <w:tr>
        <w:trPr/>
        <w:tc>
          <w:tcPr>
            <w:tcW w:w="5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5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34,879</w:t>
            </w:r>
          </w:p>
        </w:tc>
        <w:tc>
          <w:tcPr>
            <w:tcW w:w="391" w:type="dxa"/>
            <w:tcBorders/>
            <w:shd w:fill="auto" w:val="clear"/>
            <w:vAlign w:val="center"/>
          </w:tcPr>
          <w:p>
            <w:pPr>
              <w:pStyle w:val="TableContents"/>
              <w:spacing w:before="0" w:after="0"/>
              <w:ind w:left="0" w:right="0" w:hanging="0"/>
              <w:jc w:val="left"/>
              <w:rPr/>
            </w:pPr>
            <w:r>
              <w:rPr/>
              <w:t> </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 sold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15,782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55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19,097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100"/>
              <w:jc w:val="right"/>
              <w:rPr/>
            </w:pPr>
            <w:r>
              <w:rPr/>
              <w:t> </w:t>
            </w:r>
          </w:p>
        </w:tc>
      </w:tr>
      <w:tr>
        <w:trPr/>
        <w:tc>
          <w:tcPr>
            <w:tcW w:w="55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and distribution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20,226</w:t>
            </w:r>
          </w:p>
        </w:tc>
        <w:tc>
          <w:tcPr>
            <w:tcW w:w="391" w:type="dxa"/>
            <w:tcBorders/>
            <w:shd w:fill="auto" w:val="clear"/>
            <w:vAlign w:val="center"/>
          </w:tcPr>
          <w:p>
            <w:pPr>
              <w:pStyle w:val="TableContents"/>
              <w:spacing w:before="0" w:after="0"/>
              <w:ind w:left="0" w:right="0" w:firstLine="100"/>
              <w:jc w:val="left"/>
              <w:rPr/>
            </w:pPr>
            <w:r>
              <w:rPr/>
              <w:t> </w:t>
            </w:r>
          </w:p>
        </w:tc>
      </w:tr>
      <w:tr>
        <w:trPr/>
        <w:tc>
          <w:tcPr>
            <w:tcW w:w="55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1,247</w:t>
            </w:r>
          </w:p>
        </w:tc>
        <w:tc>
          <w:tcPr>
            <w:tcW w:w="391" w:type="dxa"/>
            <w:tcBorders/>
            <w:shd w:fill="auto" w:val="clear"/>
            <w:vAlign w:val="center"/>
          </w:tcPr>
          <w:p>
            <w:pPr>
              <w:pStyle w:val="TableContents"/>
              <w:spacing w:before="0" w:after="0"/>
              <w:ind w:left="0" w:right="0" w:firstLine="100"/>
              <w:jc w:val="left"/>
              <w:rPr/>
            </w:pPr>
            <w:r>
              <w:rPr/>
              <w:t> </w:t>
            </w:r>
          </w:p>
        </w:tc>
      </w:tr>
      <w:tr>
        <w:trPr/>
        <w:tc>
          <w:tcPr>
            <w:tcW w:w="55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5,959</w:t>
            </w:r>
          </w:p>
        </w:tc>
        <w:tc>
          <w:tcPr>
            <w:tcW w:w="391" w:type="dxa"/>
            <w:tcBorders/>
            <w:shd w:fill="auto" w:val="clear"/>
            <w:vAlign w:val="center"/>
          </w:tcPr>
          <w:p>
            <w:pPr>
              <w:pStyle w:val="TableContents"/>
              <w:spacing w:before="0" w:after="0"/>
              <w:ind w:left="0" w:right="0" w:firstLine="100"/>
              <w:jc w:val="left"/>
              <w:rPr/>
            </w:pPr>
            <w:r>
              <w:rPr/>
              <w:t> </w:t>
            </w:r>
          </w:p>
        </w:tc>
      </w:tr>
      <w:tr>
        <w:trPr/>
        <w:tc>
          <w:tcPr>
            <w:tcW w:w="55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100"/>
              <w:jc w:val="left"/>
              <w:rPr/>
            </w:pPr>
            <w:r>
              <w:rPr/>
              <w:t> </w:t>
            </w:r>
          </w:p>
        </w:tc>
      </w:tr>
      <w:tr>
        <w:trPr/>
        <w:tc>
          <w:tcPr>
            <w:tcW w:w="55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16,660</w:t>
            </w:r>
          </w:p>
        </w:tc>
        <w:tc>
          <w:tcPr>
            <w:tcW w:w="391" w:type="dxa"/>
            <w:tcBorders/>
            <w:shd w:fill="auto" w:val="clear"/>
            <w:vAlign w:val="center"/>
          </w:tcPr>
          <w:p>
            <w:pPr>
              <w:pStyle w:val="TableContents"/>
              <w:spacing w:before="0" w:after="0"/>
              <w:ind w:left="0" w:right="0" w:firstLine="100"/>
              <w:jc w:val="left"/>
              <w:rPr/>
            </w:pPr>
            <w:r>
              <w:rPr/>
              <w:t> </w:t>
            </w:r>
          </w:p>
        </w:tc>
      </w:tr>
      <w:tr>
        <w:trPr/>
        <w:tc>
          <w:tcPr>
            <w:tcW w:w="55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5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44,092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(24,995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391" w:type="dxa"/>
            <w:tcBorders/>
            <w:shd w:fill="auto" w:val="clear"/>
            <w:vAlign w:val="center"/>
          </w:tcPr>
          <w:p>
            <w:pPr>
              <w:pStyle w:val="TableContents"/>
              <w:spacing w:before="0" w:after="0"/>
              <w:ind w:left="0" w:right="0" w:hanging="0"/>
              <w:jc w:val="left"/>
              <w:rPr/>
            </w:pPr>
            <w:r>
              <w:rPr/>
              <w:t> </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seller note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initial issuance of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391" w:type="dxa"/>
            <w:tcBorders/>
            <w:shd w:fill="auto" w:val="clear"/>
            <w:vAlign w:val="center"/>
          </w:tcPr>
          <w:p>
            <w:pPr>
              <w:pStyle w:val="TableContents"/>
              <w:spacing w:before="0" w:after="0"/>
              <w:ind w:left="0" w:right="0" w:hanging="0"/>
              <w:jc w:val="left"/>
              <w:rPr/>
            </w:pPr>
            <w:r>
              <w:rPr/>
              <w:t> </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(25,774</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(42,776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(25,800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number of shares outstanding,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55,141,448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76,732,539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ATERIAN,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6" w:name="condensed_consolidated_statements_compre"/>
      <w:bookmarkEnd w:id="6"/>
      <w:r>
        <w:rPr>
          <w:rFonts w:ascii="Times New Roman;serif" w:hAnsi="Times New Roman;serif"/>
          <w:b/>
          <w:sz w:val="20"/>
        </w:rPr>
        <w:t>Condensed Consolidated Statements of Comprehensive Loss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i/>
          <w:sz w:val="20"/>
        </w:rPr>
        <w:t>(in thousands)</w:t>
      </w:r>
      <w:r>
        <w:rPr>
          <w:rFonts w:ascii="Times New Roman" w:hAnsi="Times New Roman"/>
          <w:sz w:val="20"/>
        </w:rPr>
        <w:t xml:space="preserve"> </w:t>
      </w:r>
    </w:p>
    <w:p>
      <w:pPr>
        <w:pStyle w:val="TextBody"/>
        <w:spacing w:before="0" w:after="0"/>
        <w:jc w:val="left"/>
        <w:rPr/>
      </w:pPr>
      <w:r>
        <w:rPr/>
        <w:t> </w:t>
      </w:r>
    </w:p>
    <w:tbl>
      <w:tblPr>
        <w:tblW w:w="6515" w:type="dxa"/>
        <w:jc w:val="left"/>
        <w:tblInd w:w="0" w:type="dxa"/>
        <w:tblCellMar>
          <w:top w:w="28" w:type="dxa"/>
          <w:left w:w="28" w:type="dxa"/>
          <w:bottom w:w="28" w:type="dxa"/>
          <w:right w:w="28" w:type="dxa"/>
        </w:tblCellMar>
      </w:tblPr>
      <w:tblGrid>
        <w:gridCol w:w="3436"/>
        <w:gridCol w:w="266"/>
        <w:gridCol w:w="931"/>
        <w:gridCol w:w="210"/>
        <w:gridCol w:w="184"/>
        <w:gridCol w:w="266"/>
        <w:gridCol w:w="931"/>
        <w:gridCol w:w="291"/>
      </w:tblGrid>
      <w:tr>
        <w:trPr/>
        <w:tc>
          <w:tcPr>
            <w:tcW w:w="343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before="0" w:after="0"/>
              <w:ind w:left="0" w:right="0" w:hanging="0"/>
              <w:jc w:val="center"/>
              <w:rPr/>
            </w:pPr>
            <w:r>
              <w:rPr/>
              <w:t> </w:t>
            </w:r>
          </w:p>
        </w:tc>
        <w:tc>
          <w:tcPr>
            <w:tcW w:w="278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center"/>
              <w:rPr/>
            </w:pPr>
            <w:r>
              <w:rPr/>
              <w:t> </w:t>
            </w:r>
          </w:p>
        </w:tc>
        <w:tc>
          <w:tcPr>
            <w:tcW w:w="11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1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(42,776</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(25,800</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197" w:type="dxa"/>
            <w:gridSpan w:val="2"/>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righ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197"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34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43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(42,947</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4" w:type="dxa"/>
            <w:tcBorders/>
            <w:shd w:fill="auto" w:val="clear"/>
            <w:vAlign w:val="center"/>
          </w:tcPr>
          <w:p>
            <w:pPr>
              <w:pStyle w:val="TableContents"/>
              <w:spacing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(25,671</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ATERIAN,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7" w:name="condensed_consolidated_statements_stockh"/>
      <w:bookmarkEnd w:id="7"/>
      <w:r>
        <w:rPr>
          <w:rFonts w:ascii="Times New Roman;serif" w:hAnsi="Times New Roman;serif"/>
          <w:b/>
          <w:sz w:val="20"/>
        </w:rPr>
        <w:t>Condensed Consolidated Statements of Stockholders’ Equity</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rFonts w:ascii="Times New Roman;serif" w:hAnsi="Times New Roman;serif"/>
          <w:b/>
          <w:i/>
          <w:sz w:val="20"/>
        </w:rPr>
      </w:pPr>
      <w:r>
        <w:rPr>
          <w:rFonts w:ascii="Times New Roman;serif" w:hAnsi="Times New Roman;serif"/>
          <w:b/>
          <w:i/>
          <w:sz w:val="20"/>
        </w:rPr>
        <w:t>(in thousands, except share and per share data)</w:t>
      </w:r>
    </w:p>
    <w:p>
      <w:pPr>
        <w:pStyle w:val="TextBody"/>
        <w:spacing w:before="0" w:after="0"/>
        <w:jc w:val="center"/>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644"/>
        <w:gridCol w:w="146"/>
        <w:gridCol w:w="1036"/>
        <w:gridCol w:w="166"/>
        <w:gridCol w:w="146"/>
        <w:gridCol w:w="216"/>
        <w:gridCol w:w="355"/>
        <w:gridCol w:w="146"/>
        <w:gridCol w:w="146"/>
        <w:gridCol w:w="211"/>
        <w:gridCol w:w="781"/>
        <w:gridCol w:w="166"/>
        <w:gridCol w:w="146"/>
        <w:gridCol w:w="211"/>
        <w:gridCol w:w="841"/>
        <w:gridCol w:w="166"/>
        <w:gridCol w:w="146"/>
        <w:gridCol w:w="255"/>
        <w:gridCol w:w="766"/>
        <w:gridCol w:w="166"/>
        <w:gridCol w:w="146"/>
        <w:gridCol w:w="211"/>
        <w:gridCol w:w="781"/>
        <w:gridCol w:w="211"/>
      </w:tblGrid>
      <w:tr>
        <w:trPr/>
        <w:tc>
          <w:tcPr>
            <w:tcW w:w="26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44" w:type="dxa"/>
            <w:tcBorders/>
            <w:shd w:fill="auto" w:val="clear"/>
            <w:vAlign w:val="center"/>
          </w:tcPr>
          <w:p>
            <w:pPr>
              <w:pStyle w:val="TableContents"/>
              <w:spacing w:before="0" w:after="0"/>
              <w:ind w:left="0" w:right="0" w:hanging="0"/>
              <w:jc w:val="left"/>
              <w:rPr/>
            </w:pPr>
            <w:r>
              <w:rPr/>
              <w:t> </w:t>
            </w:r>
          </w:p>
        </w:tc>
        <w:tc>
          <w:tcPr>
            <w:tcW w:w="7350"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4" w:type="dxa"/>
            <w:tcBorders/>
            <w:shd w:fill="auto" w:val="clear"/>
            <w:vAlign w:val="center"/>
          </w:tcPr>
          <w:p>
            <w:pPr>
              <w:pStyle w:val="TableContents"/>
              <w:spacing w:before="0" w:after="0"/>
              <w:ind w:left="0" w:right="0" w:hanging="0"/>
              <w:jc w:val="left"/>
              <w:rPr/>
            </w:pPr>
            <w:r>
              <w:rPr/>
              <w:t> </w:t>
            </w:r>
          </w:p>
        </w:tc>
        <w:tc>
          <w:tcPr>
            <w:tcW w:w="2065" w:type="dxa"/>
            <w:gridSpan w:val="6"/>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br/>
              <w:t>Stockholders’</w:t>
            </w:r>
          </w:p>
        </w:tc>
        <w:tc>
          <w:tcPr>
            <w:tcW w:w="211" w:type="dxa"/>
            <w:tcBorders/>
            <w:shd w:fill="auto" w:val="clear"/>
            <w:vAlign w:val="center"/>
          </w:tcPr>
          <w:p>
            <w:pPr>
              <w:pStyle w:val="TableContents"/>
              <w:spacing w:before="0" w:after="0"/>
              <w:ind w:left="0" w:right="0" w:hanging="0"/>
              <w:jc w:val="center"/>
              <w:rPr/>
            </w:pPr>
            <w:r>
              <w:rPr/>
              <w:t> </w:t>
            </w:r>
          </w:p>
        </w:tc>
      </w:tr>
      <w:tr>
        <w:trPr/>
        <w:tc>
          <w:tcPr>
            <w:tcW w:w="2644"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shd w:fill="auto" w:val="clear"/>
            <w:vAlign w:val="center"/>
          </w:tcPr>
          <w:p>
            <w:pPr>
              <w:pStyle w:val="TableContents"/>
              <w:spacing w:before="0" w:after="0"/>
              <w:ind w:left="0" w:right="0" w:hanging="0"/>
              <w:jc w:val="center"/>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BALANCE—January 1, 2022</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55,090,237</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653,650</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(428,959</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224,228</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18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(42,776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 of restricted common stock</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155,456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Forfeiture of shares of restricted common stock</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(193,594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for settlement of seller note</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292,887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w:t>
            </w:r>
          </w:p>
        </w:tc>
        <w:tc>
          <w:tcPr>
            <w:tcW w:w="211" w:type="dxa"/>
            <w:tcBorders/>
            <w:shd w:fill="auto" w:val="cle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net of issuance costs</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7,003,332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27,007</w:t>
            </w:r>
          </w:p>
        </w:tc>
        <w:tc>
          <w:tcPr>
            <w:tcW w:w="211" w:type="dxa"/>
            <w:tcBorders/>
            <w:shd w:fill="auto" w:val="cle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warrants in connection with offering</w:t>
            </w:r>
          </w:p>
        </w:tc>
        <w:tc>
          <w:tcPr>
            <w:tcW w:w="118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initial issuance of equity</w:t>
            </w:r>
          </w:p>
        </w:tc>
        <w:tc>
          <w:tcPr>
            <w:tcW w:w="118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211" w:type="dxa"/>
            <w:tcBorders/>
            <w:shd w:fill="auto" w:val="cle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18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211" w:type="dxa"/>
            <w:tcBorders/>
            <w:shd w:fill="auto" w:val="cle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62,348,318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669,720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(471,735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197,352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2644" w:type="dxa"/>
            <w:tcBorders/>
            <w:shd w:fill="auto" w:val="clear"/>
            <w:vAlign w:val="center"/>
          </w:tcPr>
          <w:p>
            <w:pPr>
              <w:pStyle w:val="TableContents"/>
              <w:spacing w:before="0" w:after="0"/>
              <w:ind w:left="0" w:right="0" w:hanging="0"/>
              <w:jc w:val="left"/>
              <w:rPr/>
            </w:pPr>
            <w:r>
              <w:rPr/>
              <w:t> </w:t>
            </w:r>
          </w:p>
        </w:tc>
        <w:tc>
          <w:tcPr>
            <w:tcW w:w="7350"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4" w:type="dxa"/>
            <w:tcBorders/>
            <w:shd w:fill="auto" w:val="clear"/>
            <w:vAlign w:val="center"/>
          </w:tcPr>
          <w:p>
            <w:pPr>
              <w:pStyle w:val="TableContents"/>
              <w:spacing w:before="0" w:after="0"/>
              <w:ind w:left="0" w:right="0" w:hanging="0"/>
              <w:jc w:val="left"/>
              <w:rPr/>
            </w:pPr>
            <w:r>
              <w:rPr/>
              <w:t> </w:t>
            </w:r>
          </w:p>
        </w:tc>
        <w:tc>
          <w:tcPr>
            <w:tcW w:w="2065" w:type="dxa"/>
            <w:gridSpan w:val="6"/>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br/>
              <w:t>Stockholders’</w:t>
            </w:r>
          </w:p>
        </w:tc>
        <w:tc>
          <w:tcPr>
            <w:tcW w:w="211" w:type="dxa"/>
            <w:tcBorders/>
            <w:shd w:fill="auto" w:val="clear"/>
            <w:vAlign w:val="center"/>
          </w:tcPr>
          <w:p>
            <w:pPr>
              <w:pStyle w:val="TableContents"/>
              <w:spacing w:before="0" w:after="0"/>
              <w:ind w:left="0" w:right="0" w:hanging="0"/>
              <w:jc w:val="center"/>
              <w:rPr/>
            </w:pPr>
            <w:r>
              <w:rPr/>
              <w:t> </w:t>
            </w:r>
          </w:p>
        </w:tc>
      </w:tr>
      <w:tr>
        <w:trPr/>
        <w:tc>
          <w:tcPr>
            <w:tcW w:w="2644"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BALANCE—January 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80,752,290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728,339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(625,251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101,952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18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shares of restricted common stock</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668,104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Forfeiture of shares of restricted common stock</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(586,233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righ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211" w:type="dxa"/>
            <w:tcBorders/>
            <w:shd w:fill="auto" w:val="cle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18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2,196</w:t>
            </w:r>
          </w:p>
        </w:tc>
        <w:tc>
          <w:tcPr>
            <w:tcW w:w="211" w:type="dxa"/>
            <w:tcBorders/>
            <w:shd w:fill="auto" w:val="cle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81,134,161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730,825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(651,051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78,767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16"/>
        </w:rPr>
        <w:t>ATERIAN, INC.</w:t>
      </w:r>
      <w:r>
        <w:rPr>
          <w:rFonts w:ascii="Times New Roman" w:hAnsi="Times New Roman"/>
          <w:sz w:val="20"/>
        </w:rPr>
        <w:t xml:space="preserve"> </w:t>
      </w:r>
    </w:p>
    <w:p>
      <w:pPr>
        <w:pStyle w:val="TextBody"/>
        <w:spacing w:before="0" w:after="0"/>
        <w:jc w:val="center"/>
        <w:rPr>
          <w:rFonts w:ascii="Times New Roman;serif" w:hAnsi="Times New Roman;serif"/>
          <w:b/>
          <w:sz w:val="16"/>
        </w:rPr>
      </w:pPr>
      <w:bookmarkStart w:id="8" w:name="condensed_consolidated_statements_cash_f"/>
      <w:bookmarkEnd w:id="8"/>
      <w:r>
        <w:rPr>
          <w:rFonts w:ascii="Times New Roman;serif" w:hAnsi="Times New Roman;serif"/>
          <w:b/>
          <w:sz w:val="16"/>
        </w:rPr>
        <w:t>Condensed Consolidated Statements of Cash Flows</w:t>
      </w:r>
    </w:p>
    <w:p>
      <w:pPr>
        <w:pStyle w:val="TextBody"/>
        <w:spacing w:before="0" w:after="0"/>
        <w:jc w:val="center"/>
        <w:rPr>
          <w:rFonts w:ascii="Times New Roman" w:hAnsi="Times New Roman"/>
          <w:sz w:val="20"/>
        </w:rPr>
      </w:pPr>
      <w:r>
        <w:rPr>
          <w:rFonts w:ascii="Times New Roman;serif" w:hAnsi="Times New Roman;serif"/>
          <w:b/>
          <w:sz w:val="16"/>
        </w:rPr>
        <w:t>(Unaudited)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i/>
          <w:sz w:val="16"/>
        </w:rPr>
        <w:t>(in thousands)</w:t>
      </w:r>
      <w:r>
        <w:rPr>
          <w:rFonts w:ascii="Times New Roman" w:hAnsi="Times New Roman"/>
          <w:sz w:val="20"/>
        </w:rPr>
        <w:t xml:space="preserve"> </w:t>
      </w:r>
    </w:p>
    <w:tbl>
      <w:tblPr>
        <w:tblW w:w="6716" w:type="dxa"/>
        <w:jc w:val="left"/>
        <w:tblInd w:w="0" w:type="dxa"/>
        <w:tblCellMar>
          <w:top w:w="28" w:type="dxa"/>
          <w:left w:w="28" w:type="dxa"/>
          <w:bottom w:w="28" w:type="dxa"/>
          <w:right w:w="28" w:type="dxa"/>
        </w:tblCellMar>
      </w:tblPr>
      <w:tblGrid>
        <w:gridCol w:w="4336"/>
        <w:gridCol w:w="146"/>
        <w:gridCol w:w="200"/>
        <w:gridCol w:w="617"/>
        <w:gridCol w:w="167"/>
        <w:gridCol w:w="162"/>
        <w:gridCol w:w="200"/>
        <w:gridCol w:w="617"/>
        <w:gridCol w:w="271"/>
      </w:tblGrid>
      <w:tr>
        <w:trPr/>
        <w:tc>
          <w:tcPr>
            <w:tcW w:w="43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43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center"/>
              <w:rPr/>
            </w:pPr>
            <w:r>
              <w:rPr/>
              <w:t> </w:t>
            </w:r>
          </w:p>
        </w:tc>
        <w:tc>
          <w:tcPr>
            <w:tcW w:w="8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OPERATING ACTIVITIES:</w:t>
            </w:r>
          </w:p>
        </w:tc>
        <w:tc>
          <w:tcPr>
            <w:tcW w:w="146" w:type="dxa"/>
            <w:tcBorders/>
            <w:shd w:fill="auto" w:val="clear"/>
            <w:vAlign w:val="center"/>
          </w:tcPr>
          <w:p>
            <w:pPr>
              <w:pStyle w:val="TableContents"/>
              <w:spacing w:before="0" w:after="0"/>
              <w:ind w:left="0" w:right="0" w:hanging="0"/>
              <w:jc w:val="center"/>
              <w:rPr/>
            </w:pPr>
            <w:r>
              <w:rPr/>
              <w:t> </w:t>
            </w:r>
          </w:p>
        </w:tc>
        <w:tc>
          <w:tcPr>
            <w:tcW w:w="817" w:type="dxa"/>
            <w:gridSpan w:val="2"/>
            <w:tcBorders/>
            <w:shd w:fill="auto" w:val="clear"/>
            <w:vAlign w:val="center"/>
          </w:tcPr>
          <w:p>
            <w:pPr>
              <w:pStyle w:val="TableContents"/>
              <w:spacing w:before="0" w:after="0"/>
              <w:ind w:left="0" w:right="0" w:hanging="0"/>
              <w:jc w:val="center"/>
              <w:rPr/>
            </w:pPr>
            <w:r>
              <w:rPr/>
              <w:t> </w:t>
            </w:r>
          </w:p>
        </w:tc>
        <w:tc>
          <w:tcPr>
            <w:tcW w:w="167" w:type="dxa"/>
            <w:tcBorders/>
            <w:shd w:fill="auto" w:val="clear"/>
            <w:vAlign w:val="center"/>
          </w:tcPr>
          <w:p>
            <w:pPr>
              <w:pStyle w:val="TableContents"/>
              <w:spacing w:before="0" w:after="0"/>
              <w:ind w:left="0" w:right="0" w:hanging="0"/>
              <w:jc w:val="center"/>
              <w:rPr/>
            </w:pPr>
            <w:r>
              <w:rPr/>
              <w:t> </w:t>
            </w:r>
          </w:p>
        </w:tc>
        <w:tc>
          <w:tcPr>
            <w:tcW w:w="162" w:type="dxa"/>
            <w:tcBorders/>
            <w:shd w:fill="auto" w:val="clear"/>
            <w:vAlign w:val="center"/>
          </w:tcPr>
          <w:p>
            <w:pPr>
              <w:pStyle w:val="TableContents"/>
              <w:spacing w:before="0" w:after="0"/>
              <w:ind w:left="0" w:right="0" w:hanging="0"/>
              <w:jc w:val="center"/>
              <w:rPr/>
            </w:pPr>
            <w:r>
              <w:rPr/>
              <w:t> </w:t>
            </w:r>
          </w:p>
        </w:tc>
        <w:tc>
          <w:tcPr>
            <w:tcW w:w="817" w:type="dxa"/>
            <w:gridSpan w:val="2"/>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(42,776</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(25,800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167"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1,846</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1,762</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Provision for (recovery of) sales returns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109</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Amortization of deferred financing cost and debt discounts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106</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106</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2,865</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2,317</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Gain from decrease of contingent earn-out liability fair value</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(2,775</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2"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Change in inventory provisions</w:t>
            </w:r>
          </w:p>
        </w:tc>
        <w:tc>
          <w:tcPr>
            <w:tcW w:w="146"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w:t>
            </w:r>
          </w:p>
        </w:tc>
        <w:tc>
          <w:tcPr>
            <w:tcW w:w="167"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(1,023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Loss in connection with the change in warrant fair value</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1,879</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354</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Gain in connection with settlement of note payable</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(2,012</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Loss on initial issuance of equity</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5,835</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Impairment loss on goodwill</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29,020</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Impairment loss on intangibles</w:t>
            </w:r>
          </w:p>
        </w:tc>
        <w:tc>
          <w:tcPr>
            <w:tcW w:w="146"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w:t>
            </w:r>
          </w:p>
        </w:tc>
        <w:tc>
          <w:tcPr>
            <w:tcW w:w="167"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16,660</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167"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firstLine="80"/>
              <w:jc w:val="right"/>
              <w:rPr/>
            </w:pPr>
            <w:r>
              <w:rPr/>
              <w:t> </w:t>
            </w:r>
          </w:p>
        </w:tc>
      </w:tr>
      <w:tr>
        <w:trPr/>
        <w:tc>
          <w:tcPr>
            <w:tcW w:w="4336"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4,608</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1,028</w:t>
            </w:r>
          </w:p>
        </w:tc>
        <w:tc>
          <w:tcPr>
            <w:tcW w:w="271" w:type="dxa"/>
            <w:tcBorders/>
            <w:shd w:fill="auto" w:val="clear"/>
            <w:vAlign w:val="center"/>
          </w:tcPr>
          <w:p>
            <w:pPr>
              <w:pStyle w:val="TableContents"/>
              <w:spacing w:before="0" w:after="0"/>
              <w:ind w:left="0" w:right="0" w:firstLine="80"/>
              <w:jc w:val="left"/>
              <w:rPr/>
            </w:pPr>
            <w:r>
              <w:rPr/>
              <w:t> </w:t>
            </w:r>
          </w:p>
        </w:tc>
      </w:tr>
      <w:tr>
        <w:trPr/>
        <w:tc>
          <w:tcPr>
            <w:tcW w:w="4336"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Inventory</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(12,380</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4,312</w:t>
            </w:r>
          </w:p>
        </w:tc>
        <w:tc>
          <w:tcPr>
            <w:tcW w:w="271" w:type="dxa"/>
            <w:tcBorders/>
            <w:shd w:fill="auto" w:val="clear"/>
            <w:vAlign w:val="center"/>
          </w:tcPr>
          <w:p>
            <w:pPr>
              <w:pStyle w:val="TableContents"/>
              <w:spacing w:before="0" w:after="0"/>
              <w:ind w:left="0" w:right="0" w:firstLine="80"/>
              <w:jc w:val="left"/>
              <w:rPr/>
            </w:pPr>
            <w:r>
              <w:rPr/>
              <w:t> </w:t>
            </w:r>
          </w:p>
        </w:tc>
      </w:tr>
      <w:tr>
        <w:trPr/>
        <w:tc>
          <w:tcPr>
            <w:tcW w:w="4336"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Prepaid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410</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751</w:t>
            </w:r>
          </w:p>
        </w:tc>
        <w:tc>
          <w:tcPr>
            <w:tcW w:w="271" w:type="dxa"/>
            <w:tcBorders/>
            <w:shd w:fill="auto" w:val="clear"/>
            <w:vAlign w:val="center"/>
          </w:tcPr>
          <w:p>
            <w:pPr>
              <w:pStyle w:val="TableContents"/>
              <w:spacing w:before="0" w:after="0"/>
              <w:ind w:left="0" w:right="0" w:firstLine="80"/>
              <w:jc w:val="left"/>
              <w:rPr/>
            </w:pPr>
            <w:r>
              <w:rPr/>
              <w:t> </w:t>
            </w:r>
          </w:p>
        </w:tc>
      </w:tr>
      <w:tr>
        <w:trPr/>
        <w:tc>
          <w:tcPr>
            <w:tcW w:w="4336" w:type="dxa"/>
            <w:tcBorders/>
            <w:shd w:fill="auto" w:val="clear"/>
            <w:vAlign w:val="center"/>
          </w:tcPr>
          <w:p>
            <w:pPr>
              <w:pStyle w:val="TableContents"/>
              <w:spacing w:before="0" w:after="0"/>
              <w:ind w:left="80" w:right="0" w:hanging="0"/>
              <w:jc w:val="left"/>
              <w:rPr>
                <w:rFonts w:ascii="Times New Roman;serif" w:hAnsi="Times New Roman;serif"/>
                <w:b w:val="false"/>
                <w:sz w:val="14"/>
              </w:rPr>
            </w:pPr>
            <w:r>
              <w:rPr>
                <w:rFonts w:ascii="Times New Roman;serif" w:hAnsi="Times New Roman;serif"/>
                <w:b w:val="false"/>
                <w:sz w:val="14"/>
              </w:rPr>
              <w:t>Accounts payable, accrued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95</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(7,661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(13,170</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(7,417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167"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 of fixed assets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 of Step and Go assets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167"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equity offering, net of issuance costs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27,007</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Repayments on note payable to Smash</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(1,084</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(398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Borrowings from MidCap credit facilities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30,357</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20,549</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Repayments for MidCap credit facilities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(33,845</w:t>
            </w:r>
          </w:p>
        </w:tc>
        <w:tc>
          <w:tcPr>
            <w:tcW w:w="16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(22,602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Insurance obligation payments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(719</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(534</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Cash provided (used)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21,716</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(2,985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Foreign currency effect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(171</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change in cash and restricted cash for the year</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8,359</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(10,431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Cash and restricted cash at beginning of year</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38,315</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46,629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Cash and restricted cash at end of year</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46,674</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36,198</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RECONCILIATION OF CASH AND RESTRICTED CASH:</w:t>
            </w:r>
          </w:p>
        </w:tc>
        <w:tc>
          <w:tcPr>
            <w:tcW w:w="146"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167"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Cash</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44,281</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33,911</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Restricted Cash—Prepaid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2,264</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2,158</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Restricted cash—Other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129</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TOTAL CASH AND RESTRICTED CASH</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46,674</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36,198</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167"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SUPPLEMENTAL DISCLOSURES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167"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357</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538</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167" w:type="dxa"/>
            <w:tcBorders/>
            <w:shd w:fill="auto" w:val="clear"/>
            <w:vAlign w:val="center"/>
          </w:tcPr>
          <w:p>
            <w:pPr>
              <w:pStyle w:val="TableContents"/>
              <w:spacing w:before="0" w:after="0"/>
              <w:ind w:left="0" w:right="0" w:hanging="0"/>
              <w:jc w:val="righ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817"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Non-cash consideration paid to contractors</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pPr>
            <w:r>
              <w:rPr/>
              <w:t>—</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321</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Fair value of warrants issued in connection with equity offering</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18,982</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Issuance of common stock for settlement of seller note</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767</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Equity fundraising cost not paid</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166</w:t>
            </w:r>
          </w:p>
        </w:tc>
        <w:tc>
          <w:tcPr>
            <w:tcW w:w="167"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7"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Aterian, Inc.</w:t>
      </w:r>
      <w:r>
        <w:rPr>
          <w:rFonts w:ascii="Times New Roman" w:hAnsi="Times New Roman"/>
          <w:sz w:val="20"/>
        </w:rPr>
        <w:t xml:space="preserve"> </w:t>
      </w:r>
    </w:p>
    <w:p>
      <w:pPr>
        <w:pStyle w:val="TextBody"/>
        <w:spacing w:before="0" w:after="0"/>
        <w:jc w:val="left"/>
        <w:rPr>
          <w:rFonts w:ascii="Times New Roman" w:hAnsi="Times New Roman"/>
          <w:sz w:val="20"/>
        </w:rPr>
      </w:pPr>
      <w:bookmarkStart w:id="9" w:name="notes_to_condensed_consolidated_financia"/>
      <w:bookmarkEnd w:id="9"/>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For the Three Months Ended March 31, 2022 and 2023 (Unaudited)</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1.</w:t>
      </w:r>
    </w:p>
    <w:p>
      <w:pPr>
        <w:pStyle w:val="TextBody"/>
        <w:spacing w:before="360" w:after="283"/>
        <w:jc w:val="left"/>
        <w:rPr>
          <w:rFonts w:ascii="Times New Roman;serif" w:hAnsi="Times New Roman;serif"/>
          <w:b/>
          <w:sz w:val="20"/>
        </w:rPr>
      </w:pPr>
      <w:r>
        <w:rPr>
          <w:rFonts w:ascii="Times New Roman;serif" w:hAnsi="Times New Roman;serif"/>
          <w:b/>
          <w:sz w:val="20"/>
        </w:rPr>
        <w:t xml:space="preserve">ORGANIZATION AND DESCRIPTION OF BUSINESS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Aterian, Inc. is a technology-enabled consumer products company that builds, acquires and partners with e-commerce brands. Aterian predominantly operates through online retail channels such as Amazon and Walmart, Inc. The Company operates its owned brands, which were either incubated or purchased, selling products in multiple categories, including home and kitchen appliances, kitchenware, heating, cooling and air quality appliances (dehumidifiers, humidifiers and air conditioners), health and beauty products and essential oils.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Headquartered in New Jersey, Aterian also maintains offices in China, Philippines, and Poland.</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Liquidity and Going Concern</w:t>
      </w:r>
    </w:p>
    <w:p>
      <w:pPr>
        <w:pStyle w:val="TextBody"/>
        <w:spacing w:before="0" w:after="0"/>
        <w:jc w:val="both"/>
        <w:rPr>
          <w:rFonts w:ascii="Times New Roman" w:hAnsi="Times New Roman"/>
          <w:sz w:val="20"/>
        </w:rPr>
      </w:pPr>
      <w:r>
        <w:rPr>
          <w:rFonts w:ascii="Times New Roman;serif" w:hAnsi="Times New Roman;serif"/>
          <w:b w:val="false"/>
          <w:sz w:val="20"/>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and negative cash flows for the foreseeable future until such time that we reach a scale of profitability to sustain our operations. In addition, our recent financial performance has been adversely impacted by the COVID-19 global pandemic and related global shipping disruption, in particular with respect to substantial increases in supply chain costs for shipping containers (See COVID-19 Pandemic and the Supply Chain below for additional details).</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scale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spacing w:before="0" w:after="0"/>
        <w:jc w:val="both"/>
        <w:rPr>
          <w:rFonts w:ascii="Times New Roman" w:hAnsi="Times New Roman"/>
          <w:sz w:val="20"/>
        </w:rPr>
      </w:pPr>
      <w:r>
        <w:rPr>
          <w:rFonts w:ascii="Times New Roman;serif" w:hAnsi="Times New Roman;serif"/>
          <w:b w:val="false"/>
          <w:sz w:val="20"/>
        </w:rPr>
        <w:t>As of the date the accompanying Condensed Consolidated Financial Statements were issued (the “issuance date”), we evaluated the significance of the following adverse financial conditions in accordance with Accounting Standard Codification 205-40, Going Concern:</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 Since our inception, we have incurred significant losses and used cash flows from operations to fund our enterprise. In this regard, during the three months ended March 31, 2023, we incurred a net loss of $25.8</w:t>
      </w:r>
      <w:r>
        <w:rPr>
          <w:rFonts w:ascii="Times New Roman" w:hAnsi="Times New Roman"/>
          <w:sz w:val="20"/>
        </w:rPr>
        <w:t xml:space="preserve"> </w:t>
      </w:r>
      <w:r>
        <w:rPr>
          <w:rFonts w:ascii="Times New Roman;serif" w:hAnsi="Times New Roman;serif"/>
          <w:b w:val="false"/>
          <w:sz w:val="20"/>
        </w:rPr>
        <w:t>million and used net cash flows in our operations of $7.4</w:t>
      </w:r>
      <w:r>
        <w:rPr>
          <w:rFonts w:ascii="Times New Roman" w:hAnsi="Times New Roman"/>
          <w:sz w:val="20"/>
        </w:rPr>
        <w:t xml:space="preserve"> </w:t>
      </w:r>
      <w:r>
        <w:rPr>
          <w:rFonts w:ascii="Times New Roman;serif" w:hAnsi="Times New Roman;serif"/>
          <w:b w:val="false"/>
          <w:sz w:val="20"/>
        </w:rPr>
        <w:t>million. In addition, as of March 31, 2023, we had unrestricted cash and cash equivalents of $33.9</w:t>
      </w:r>
      <w:r>
        <w:rPr>
          <w:rFonts w:ascii="Times New Roman" w:hAnsi="Times New Roman"/>
          <w:sz w:val="20"/>
        </w:rPr>
        <w:t xml:space="preserve"> </w:t>
      </w:r>
      <w:r>
        <w:rPr>
          <w:rFonts w:ascii="Times New Roman;serif" w:hAnsi="Times New Roman;serif"/>
          <w:b w:val="false"/>
          <w:sz w:val="20"/>
        </w:rPr>
        <w:t>million available to fund our operations and an accumulated deficit of $651.1</w:t>
      </w:r>
      <w:r>
        <w:rPr>
          <w:rFonts w:ascii="Times New Roman" w:hAnsi="Times New Roman"/>
          <w:sz w:val="20"/>
        </w:rPr>
        <w:t xml:space="preserve"> </w:t>
      </w:r>
      <w:r>
        <w:rPr>
          <w:rFonts w:ascii="Times New Roman;serif" w:hAnsi="Times New Roman;serif"/>
          <w:b w:val="false"/>
          <w:sz w:val="20"/>
        </w:rPr>
        <w:t>million.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We are required to remain in compliance with certain financial covenants required by the MidCap Credit facility (See Note 6, Credit Facility, Term Loans and Warrants). We were in compliance with these financial covenants as of March 31, 2023, and expect to remain in compliance through at least March 31, 2024. However, with our short history of forecasting our business during the ongoing COVID-19 global pandemic, the current record global inflation and related global supply chain disruptions, we can provide no assurances that we will remain in compliance with our financial covenants. Further, absent of our ability to generate cash inflows from our operations or secure additional outside capital, we may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 As of the issuance date, we have no firm commitments to secure additional outside capital from lenders or investors. While we are continually exploring additional outside capital, specifically to fund our M&amp;A growth strategy, there can be no assurance we will be able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The Company's plan to continue to closely monitor our operating forecast, our M&amp;A strategy, pursue additional sources of outside capital on terms that are acceptable to us, and secure a waiver or forbearance from MidCap if we are unable to remain in compliance with one or more of the covenants required by the MidCap Credit Facility. If some or all of our plans prove unsuccessful, we may need to implement short-term changes to our operating plan, such as delaying expenditures, reducing investments in new products, delaying the development of our software,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pStyle w:val="TextBody"/>
        <w:spacing w:before="0" w:after="0"/>
        <w:jc w:val="both"/>
        <w:rPr/>
      </w:pPr>
      <w:r>
        <w:rPr/>
        <w:t> </w:t>
      </w:r>
    </w:p>
    <w:p>
      <w:pPr>
        <w:pStyle w:val="TextBody"/>
        <w:spacing w:before="0" w:after="0"/>
        <w:jc w:val="left"/>
        <w:rPr>
          <w:rFonts w:ascii="Times New Roman;serif" w:hAnsi="Times New Roman;serif"/>
          <w:b/>
          <w:sz w:val="18"/>
        </w:rPr>
      </w:pPr>
      <w:r>
        <w:rPr>
          <w:rFonts w:ascii="Times New Roman;serif" w:hAnsi="Times New Roman;serif"/>
          <w:b/>
          <w:sz w:val="18"/>
        </w:rPr>
        <w:t>COVID-19 Pandemic and the Supply Chain</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During 2022, we were impacted by the COVID-19 pandemic and related global shipping disruption. Together these led to substantial increases in supply chain costs, in particular for shipping containers, which we rely on to import our goods, reduced the reliability and timely delivery of shipping containers and substantially increased our last mile shipping costs on our oversized goods, which are a material part of our business. The reduced reliability and delivery of such shipping containers forced us to spend more on premium shipping to ensure goods were delivered. Further, the global shipping disruption led us to increase our inventory on-hand in early 2022, including advance ordering and taking possession of inventory earlier than expected, impacting our working capital.</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Third party last mile shipping partners, such as UPS and FedEx, continue to increase the cost of delivering goods to the end consumers as their delivery networks continue to be adjusted following the onset of COVID-19 pandemic. There remains significant uncertainty to consumer demand and buying habits as price increases related to raw materials, the importing of goods, including tariffs, and the cost of delivering goods to consumers has led to inflation across the U.S. and potentially reduced demand for our products.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continue to consider the impact of the COVID-19 and the related supply chain disruptions on the assumptions and estimates used when preparing our Condensed Consolidated Financial Statements including inventory valuation, and the impairment of long-lived assets. These assumptions and estimates may change. If the economic conditions worsen beyond what is currently estimated by management, such future changes may have an adverse impact on our business, operations, financial results, and liquidity.</w:t>
      </w:r>
    </w:p>
    <w:p>
      <w:pPr>
        <w:pStyle w:val="TextBody"/>
        <w:spacing w:before="360" w:after="0"/>
        <w:jc w:val="left"/>
        <w:rPr>
          <w:rFonts w:ascii="Times New Roman" w:hAnsi="Times New Roman"/>
          <w:b/>
          <w:sz w:val="20"/>
        </w:rPr>
      </w:pPr>
      <w:r>
        <w:rPr>
          <w:rFonts w:ascii="Times New Roman" w:hAnsi="Times New Roman"/>
          <w:b/>
          <w:sz w:val="20"/>
        </w:rPr>
        <w:t>2.</w:t>
      </w:r>
    </w:p>
    <w:p>
      <w:pPr>
        <w:pStyle w:val="TextBody"/>
        <w:spacing w:before="360" w:after="283"/>
        <w:jc w:val="left"/>
        <w:rPr>
          <w:rFonts w:ascii="Times New Roman;serif" w:hAnsi="Times New Roman;serif"/>
          <w:b/>
          <w:sz w:val="20"/>
        </w:rPr>
      </w:pPr>
      <w:r>
        <w:rPr>
          <w:rFonts w:ascii="Times New Roman;serif" w:hAnsi="Times New Roman;serif"/>
          <w:b/>
          <w:sz w:val="20"/>
        </w:rPr>
        <w:t>SUMMARY OF SIGNIFICANT ACCOUNTING POLICIES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Basis of Presentation</w:t>
      </w:r>
      <w:r>
        <w:rPr>
          <w:rFonts w:ascii="Times New Roman" w:hAnsi="Times New Roman"/>
          <w:sz w:val="20"/>
        </w:rPr>
        <w:t>—</w:t>
      </w:r>
      <w:r>
        <w:rPr>
          <w:rFonts w:ascii="Times New Roman;serif" w:hAnsi="Times New Roman;serif"/>
          <w:b w:val="false"/>
          <w:sz w:val="20"/>
        </w:rPr>
        <w:t>The Condensed Consolidated Financial Statements and accompanying notes have been prepared in accordance with accounting principles generally accepted in the United States of America (“U.S. GAAP”).</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Unaudited Interim Financial Information</w:t>
      </w:r>
      <w:r>
        <w:rPr>
          <w:rFonts w:ascii="Times New Roman" w:hAnsi="Times New Roman"/>
          <w:sz w:val="20"/>
        </w:rPr>
        <w:t>—</w:t>
      </w:r>
      <w:r>
        <w:rPr>
          <w:rFonts w:ascii="Times New Roman;serif" w:hAnsi="Times New Roman;serif"/>
          <w:b w:val="false"/>
          <w:sz w:val="20"/>
        </w:rPr>
        <w:t>The accompanying interim Condensed Consolidated Financial Statements are unaudited and have been prepared on the same basis as the audited financial statements and, in the opinion of management, reflect all adjustments necessary for the fair presentation of the Company's financial position as of March 31, 2023 and the results of its operations and its cash flows for the periods ended March 31, 2023 and 2022. The financial data and other information disclosed in these notes related to the three-month periods ended March 31, 2023 and 2022 are also unaudited. The results for the three-month periods ended March 31, 2023 are not necessarily indicative of results to be expected for the year ending December 31, 2023, any other interim periods or any future year or period.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Use of Estimates</w:t>
      </w:r>
      <w:r>
        <w:rPr>
          <w:rFonts w:ascii="Times New Roman" w:hAnsi="Times New Roman"/>
          <w:sz w:val="20"/>
        </w:rPr>
        <w:t>—</w:t>
      </w:r>
      <w:r>
        <w:rPr>
          <w:rFonts w:ascii="Times New Roman;serif" w:hAnsi="Times New Roman;serif"/>
          <w:b w:val="false"/>
          <w:sz w:val="20"/>
        </w:rPr>
        <w:t>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Principles of Consolidation</w:t>
      </w:r>
      <w:r>
        <w:rPr>
          <w:rFonts w:ascii="Times New Roman" w:hAnsi="Times New Roman"/>
          <w:sz w:val="20"/>
        </w:rPr>
        <w:t>—</w:t>
      </w:r>
      <w:r>
        <w:rPr>
          <w:rFonts w:ascii="Times New Roman;serif" w:hAnsi="Times New Roman;serif"/>
          <w:b w:val="false"/>
          <w:sz w:val="20"/>
        </w:rPr>
        <w:t>The Condensed Consolidated Financial Statements include the accounts of the Company and its wholly-owned subsidiaries. All intercompany balances and transactions have been eliminated in consolidation.</w:t>
      </w:r>
      <w:r>
        <w:rPr>
          <w:rFonts w:ascii="Times New Roman" w:hAnsi="Times New Roman"/>
          <w:sz w:val="20"/>
        </w:rPr>
        <w:t xml:space="preserve"> </w:t>
      </w:r>
    </w:p>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0"/>
        </w:rPr>
        <w:t>Restricted Cash</w:t>
      </w:r>
      <w:r>
        <w:rPr>
          <w:rFonts w:ascii="Times New Roman" w:hAnsi="Times New Roman"/>
          <w:sz w:val="20"/>
        </w:rPr>
        <w:t>—</w:t>
      </w:r>
      <w:r>
        <w:rPr>
          <w:rFonts w:ascii="Times New Roman;serif" w:hAnsi="Times New Roman;serif"/>
          <w:b w:val="false"/>
          <w:sz w:val="20"/>
        </w:rPr>
        <w:t>As of December 31, 2022, the Company has classified the following as restricted cash: $0.1</w:t>
      </w:r>
      <w:r>
        <w:rPr>
          <w:rFonts w:ascii="Times New Roman" w:hAnsi="Times New Roman"/>
          <w:sz w:val="20"/>
        </w:rPr>
        <w:t xml:space="preserve"> </w:t>
      </w:r>
      <w:r>
        <w:rPr>
          <w:rFonts w:ascii="Times New Roman;serif" w:hAnsi="Times New Roman;serif"/>
          <w:b w:val="false"/>
          <w:sz w:val="20"/>
        </w:rPr>
        <w:t>million related to its Chinese subsidiary within “Other Non-current Assets” on the Consolidated Balance Sheets, $2.0</w:t>
      </w:r>
      <w:r>
        <w:rPr>
          <w:rFonts w:ascii="Times New Roman" w:hAnsi="Times New Roman"/>
          <w:sz w:val="20"/>
        </w:rPr>
        <w:t xml:space="preserve"> </w:t>
      </w:r>
      <w:r>
        <w:rPr>
          <w:rFonts w:ascii="Times New Roman;serif" w:hAnsi="Times New Roman;serif"/>
          <w:b w:val="false"/>
          <w:sz w:val="20"/>
        </w:rPr>
        <w:t>million related to a letter of credit and $0.9</w:t>
      </w:r>
      <w:r>
        <w:rPr>
          <w:rFonts w:ascii="Times New Roman" w:hAnsi="Times New Roman"/>
          <w:sz w:val="20"/>
        </w:rPr>
        <w:t xml:space="preserve"> </w:t>
      </w:r>
      <w:r>
        <w:rPr>
          <w:rFonts w:ascii="Times New Roman;serif" w:hAnsi="Times New Roman;serif"/>
          <w:b w:val="false"/>
          <w:sz w:val="20"/>
        </w:rPr>
        <w:t>million for cash sweeps account related to the Midcap Credit Facility within "Prepaid and Other Current Assets" on the Consolidated Balance Sheets.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March 31, 2023, the Company has classified the following as restricted cash: $0.1</w:t>
      </w:r>
      <w:r>
        <w:rPr>
          <w:rFonts w:ascii="Times New Roman" w:hAnsi="Times New Roman"/>
          <w:sz w:val="20"/>
        </w:rPr>
        <w:t xml:space="preserve"> </w:t>
      </w:r>
      <w:r>
        <w:rPr>
          <w:rFonts w:ascii="Times New Roman;serif" w:hAnsi="Times New Roman;serif"/>
          <w:b w:val="false"/>
          <w:sz w:val="20"/>
        </w:rPr>
        <w:t>million related to its Chinese subsidiary within “Other Non-current Assets” on the Condensed Consolidated Balance Sheets, $2.0</w:t>
      </w:r>
      <w:r>
        <w:rPr>
          <w:rFonts w:ascii="Times New Roman" w:hAnsi="Times New Roman"/>
          <w:sz w:val="20"/>
        </w:rPr>
        <w:t xml:space="preserve"> </w:t>
      </w:r>
      <w:r>
        <w:rPr>
          <w:rFonts w:ascii="Times New Roman;serif" w:hAnsi="Times New Roman;serif"/>
          <w:b w:val="false"/>
          <w:sz w:val="20"/>
        </w:rPr>
        <w:t>million related to a letter of credit and $0.2</w:t>
      </w:r>
      <w:r>
        <w:rPr>
          <w:rFonts w:ascii="Times New Roman" w:hAnsi="Times New Roman"/>
          <w:sz w:val="20"/>
        </w:rPr>
        <w:t xml:space="preserve"> </w:t>
      </w:r>
      <w:r>
        <w:rPr>
          <w:rFonts w:ascii="Times New Roman;serif" w:hAnsi="Times New Roman;serif"/>
          <w:b w:val="false"/>
          <w:sz w:val="20"/>
        </w:rPr>
        <w:t>million for cash sweeps account related to the Midcap Credit Facility within "Prepaid and Other Current Assets" on the Condensed Consolidated Balance Sheets.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Inventory and Cost of Goods Sold</w:t>
      </w:r>
      <w:r>
        <w:rPr>
          <w:rFonts w:ascii="Times New Roman" w:hAnsi="Times New Roman"/>
          <w:sz w:val="20"/>
        </w:rPr>
        <w:t>—</w:t>
      </w:r>
      <w:r>
        <w:rPr>
          <w:rFonts w:ascii="Times New Roman;serif" w:hAnsi="Times New Roman;serif"/>
          <w:b w:val="false"/>
          <w:sz w:val="20"/>
        </w:rPr>
        <w:t>The Company’s inventory consists almost entirely of finished goods. The Company currently records inventory on 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These assumptions about future disposition of inventory are inherently uncertain and changes in our estimates and assumptions may cause us to realize material write-downs in the future.</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“Cost of goods sold” line item in the Condensed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Accounts Receivable</w:t>
      </w:r>
      <w:r>
        <w:rPr>
          <w:rFonts w:ascii="Times New Roman" w:hAnsi="Times New Roman"/>
          <w:sz w:val="20"/>
        </w:rPr>
        <w:t>—</w:t>
      </w:r>
      <w:r>
        <w:rPr>
          <w:rFonts w:ascii="Times New Roman;serif" w:hAnsi="Times New Roman;serif"/>
          <w:b w:val="false"/>
          <w:sz w:val="20"/>
        </w:rPr>
        <w:t>Accounts receivable are stated at historical cost less allowance for doubtful accounts.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bad and doubtful receivables. As of December 31, 2022 and March 31, 2023, the Company had an allowance for doubtful accounts of $0.4</w:t>
      </w:r>
      <w:r>
        <w:rPr>
          <w:rFonts w:ascii="Times New Roman" w:hAnsi="Times New Roman"/>
          <w:sz w:val="20"/>
        </w:rPr>
        <w:t xml:space="preserve"> </w:t>
      </w:r>
      <w:r>
        <w:rPr>
          <w:rFonts w:ascii="Times New Roman;serif" w:hAnsi="Times New Roman;serif"/>
          <w:b w:val="false"/>
          <w:sz w:val="20"/>
        </w:rPr>
        <w:t>million.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Revenue Recognition</w:t>
      </w:r>
      <w:r>
        <w:rPr>
          <w:rFonts w:ascii="Times New Roman" w:hAnsi="Times New Roman"/>
          <w:sz w:val="20"/>
        </w:rPr>
        <w:t>—</w:t>
      </w:r>
      <w:r>
        <w:rPr>
          <w:rFonts w:ascii="Times New Roman;serif" w:hAnsi="Times New Roman;serif"/>
          <w:b w:val="false"/>
          <w:sz w:val="20"/>
        </w:rPr>
        <w:t>The Company accounts for revenue in accordance with Financial Accounting Standards Board (“FASB”) Accounting Standard Codification (“ASC”) Topic 606, Revenue from Contracts with Customers (“ASC Topic 606”). The Company derives its revenue from the sale of consumer products. The Company sells its products directly to consumers through online retail channels and through wholesale channels.</w:t>
      </w:r>
    </w:p>
    <w:p>
      <w:pPr>
        <w:pStyle w:val="TextBody"/>
        <w:spacing w:before="0" w:after="0"/>
        <w:jc w:val="both"/>
        <w:rPr>
          <w:rFonts w:ascii="Times New Roman" w:hAnsi="Times New Roman"/>
          <w:sz w:val="20"/>
        </w:rPr>
      </w:pPr>
      <w:r>
        <w:rPr>
          <w:rFonts w:ascii="Times New Roman;serif" w:hAnsi="Times New Roman;serif"/>
          <w:b w:val="false"/>
          <w:sz w:val="20"/>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r>
        <w:rPr>
          <w:rFonts w:ascii="Times New Roman" w:hAnsi="Times New Roman"/>
          <w:sz w:val="20"/>
        </w:rPr>
        <w:t xml:space="preserve"> </w:t>
      </w:r>
    </w:p>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serif" w:hAnsi="Times New Roman;serif"/>
          <w:b w:val="false"/>
          <w:sz w:val="20"/>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$0.6</w:t>
      </w:r>
      <w:r>
        <w:rPr>
          <w:rFonts w:ascii="Times New Roman" w:hAnsi="Times New Roman"/>
          <w:sz w:val="20"/>
        </w:rPr>
        <w:t xml:space="preserve"> </w:t>
      </w:r>
      <w:r>
        <w:rPr>
          <w:rFonts w:ascii="Times New Roman;serif" w:hAnsi="Times New Roman;serif"/>
          <w:b w:val="false"/>
          <w:sz w:val="20"/>
        </w:rPr>
        <w:t>million at December 31, 2022 and $0.4</w:t>
      </w:r>
      <w:r>
        <w:rPr>
          <w:rFonts w:ascii="Times New Roman" w:hAnsi="Times New Roman"/>
          <w:sz w:val="20"/>
        </w:rPr>
        <w:t xml:space="preserve"> </w:t>
      </w:r>
      <w:r>
        <w:rPr>
          <w:rFonts w:ascii="Times New Roman;serif" w:hAnsi="Times New Roman;serif"/>
          <w:b w:val="false"/>
          <w:sz w:val="20"/>
        </w:rPr>
        <w:t>million at March 31, 2023, which is included in accrued liabilities and represents the expected value of the refund that will be due to its customers.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it owns and controls all the goods before they are transferred to the customer. The Company can, at any time, direct Amazon, similarly,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Times New Roman;serif" w:hAnsi="Times New Roman;serif"/>
          <w:b w:val="false"/>
          <w:i/>
          <w:sz w:val="20"/>
        </w:rPr>
        <w:t>Net Revenue by Category</w:t>
      </w:r>
      <w:r>
        <w:rPr>
          <w:rFonts w:ascii="Times New Roman;serif" w:hAnsi="Times New Roman;serif"/>
          <w:b w:val="false"/>
          <w:sz w:val="20"/>
        </w:rPr>
        <w:t>. The following table sets forth the Company’s net revenue disaggregated by sales channel and geographic region based on the billing addresses of its customers:</w:t>
      </w:r>
    </w:p>
    <w:p>
      <w:pPr>
        <w:pStyle w:val="TextBody"/>
        <w:spacing w:before="0" w:after="0"/>
        <w:jc w:val="both"/>
        <w:rPr/>
      </w:pPr>
      <w:r>
        <w:rPr/>
        <w:t> </w:t>
      </w:r>
    </w:p>
    <w:tbl>
      <w:tblPr>
        <w:tblW w:w="5561" w:type="dxa"/>
        <w:jc w:val="left"/>
        <w:tblInd w:w="0" w:type="dxa"/>
        <w:tblCellMar>
          <w:top w:w="28" w:type="dxa"/>
          <w:left w:w="28" w:type="dxa"/>
          <w:bottom w:w="28" w:type="dxa"/>
          <w:right w:w="28" w:type="dxa"/>
        </w:tblCellMar>
      </w:tblPr>
      <w:tblGrid>
        <w:gridCol w:w="1546"/>
        <w:gridCol w:w="146"/>
        <w:gridCol w:w="211"/>
        <w:gridCol w:w="676"/>
        <w:gridCol w:w="146"/>
        <w:gridCol w:w="146"/>
        <w:gridCol w:w="356"/>
        <w:gridCol w:w="964"/>
        <w:gridCol w:w="146"/>
        <w:gridCol w:w="146"/>
        <w:gridCol w:w="211"/>
        <w:gridCol w:w="676"/>
        <w:gridCol w:w="191"/>
      </w:tblGrid>
      <w:tr>
        <w:trPr/>
        <w:tc>
          <w:tcPr>
            <w:tcW w:w="1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8"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8" w:type="dxa"/>
            <w:gridSpan w:val="10"/>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Direct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Wholesale/Other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40,262</w:t>
            </w:r>
          </w:p>
        </w:tc>
        <w:tc>
          <w:tcPr>
            <w:tcW w:w="191" w:type="dxa"/>
            <w:tcBorders/>
            <w:shd w:fill="auto" w:val="clear"/>
            <w:vAlign w:val="center"/>
          </w:tcPr>
          <w:p>
            <w:pPr>
              <w:pStyle w:val="TableContents"/>
              <w:spacing w:before="0" w:after="0"/>
              <w:ind w:left="0" w:right="0" w:hanging="0"/>
              <w:jc w:val="left"/>
              <w:rPr/>
            </w:pPr>
            <w:r>
              <w:rPr/>
              <w:t> </w:t>
            </w:r>
          </w:p>
        </w:tc>
      </w:tr>
      <w:tr>
        <w:trPr/>
        <w:tc>
          <w:tcPr>
            <w:tcW w:w="1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41,673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8"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8" w:type="dxa"/>
            <w:gridSpan w:val="10"/>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15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Direct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Wholesale/Other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33,478</w:t>
            </w:r>
          </w:p>
        </w:tc>
        <w:tc>
          <w:tcPr>
            <w:tcW w:w="191" w:type="dxa"/>
            <w:tcBorders/>
            <w:shd w:fill="auto" w:val="clear"/>
            <w:vAlign w:val="center"/>
          </w:tcPr>
          <w:p>
            <w:pPr>
              <w:pStyle w:val="TableContents"/>
              <w:spacing w:before="0" w:after="0"/>
              <w:ind w:left="0" w:right="0" w:hanging="0"/>
              <w:jc w:val="left"/>
              <w:rPr/>
            </w:pPr>
            <w:r>
              <w:rPr/>
              <w:t> </w:t>
            </w:r>
          </w:p>
        </w:tc>
      </w:tr>
      <w:tr>
        <w:trPr/>
        <w:tc>
          <w:tcPr>
            <w:tcW w:w="1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34,879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i/>
          <w:sz w:val="20"/>
        </w:rPr>
        <w:t>Net Revenue by Product Categories</w:t>
      </w:r>
      <w:r>
        <w:rPr>
          <w:rFonts w:ascii="Times New Roman;serif" w:hAnsi="Times New Roman;serif"/>
          <w:b w:val="false"/>
          <w:sz w:val="20"/>
        </w:rPr>
        <w:t>. The following table sets forth the Company’s net revenue disaggregated by product categories:</w:t>
      </w:r>
    </w:p>
    <w:tbl>
      <w:tblPr>
        <w:tblW w:w="5856" w:type="dxa"/>
        <w:jc w:val="left"/>
        <w:tblInd w:w="0" w:type="dxa"/>
        <w:tblCellMar>
          <w:top w:w="28" w:type="dxa"/>
          <w:left w:w="28" w:type="dxa"/>
          <w:bottom w:w="28" w:type="dxa"/>
          <w:right w:w="28" w:type="dxa"/>
        </w:tblCellMar>
      </w:tblPr>
      <w:tblGrid>
        <w:gridCol w:w="3121"/>
        <w:gridCol w:w="146"/>
        <w:gridCol w:w="245"/>
        <w:gridCol w:w="785"/>
        <w:gridCol w:w="169"/>
        <w:gridCol w:w="169"/>
        <w:gridCol w:w="245"/>
        <w:gridCol w:w="785"/>
        <w:gridCol w:w="191"/>
      </w:tblGrid>
      <w:tr>
        <w:trPr/>
        <w:tc>
          <w:tcPr>
            <w:tcW w:w="3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shd w:fill="auto" w:val="cle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Heating, cooling and air quality</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5,349</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Kitchen appliances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6,371</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Health and beauty</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4,857</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Personal protective equipment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Cookware, kitchen tools and gadgets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3,620</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Home office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2,667</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Housewares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6,547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6,209</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Essential oils and related accessories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4,588</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1,174</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41,673</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34,879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0"/>
        </w:rPr>
        <w:t>Intangibles</w:t>
      </w:r>
      <w:r>
        <w:rPr>
          <w:rFonts w:ascii="Times New Roman" w:hAnsi="Times New Roman"/>
          <w:sz w:val="20"/>
        </w:rPr>
        <w:t>—</w:t>
      </w:r>
      <w:r>
        <w:rPr>
          <w:rFonts w:ascii="Times New Roman;serif" w:hAnsi="Times New Roman;serif"/>
          <w:b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w:t>
      </w:r>
      <w:r>
        <w:rPr>
          <w:rFonts w:ascii="Times New Roman" w:hAnsi="Times New Roman"/>
          <w:sz w:val="20"/>
        </w:rPr>
        <w:t xml:space="preserve"> </w:t>
      </w:r>
      <w:r>
        <w:rPr>
          <w:rFonts w:ascii="Times New Roman;serif" w:hAnsi="Times New Roman;serif"/>
          <w:b w:val="false"/>
          <w:sz w:val="20"/>
        </w:rPr>
        <w:t>million in the three month ending March 31, 2023 within impairment loss on intangibles on the condensed consolidated statement of operations.</w:t>
      </w:r>
    </w:p>
    <w:p>
      <w:pPr>
        <w:pStyle w:val="TextBody"/>
        <w:spacing w:before="240" w:after="0"/>
        <w:jc w:val="both"/>
        <w:rPr>
          <w:rFonts w:ascii="Times New Roman" w:hAnsi="Times New Roman"/>
          <w:sz w:val="20"/>
        </w:rPr>
      </w:pPr>
      <w:r>
        <w:rPr>
          <w:rFonts w:ascii="Times New Roman;serif" w:hAnsi="Times New Roman;serif"/>
          <w:b/>
          <w:sz w:val="20"/>
        </w:rPr>
        <w:t>Fair Value of Financial Instruments</w:t>
      </w:r>
      <w:r>
        <w:rPr>
          <w:rFonts w:ascii="Times New Roman" w:hAnsi="Times New Roman"/>
          <w:sz w:val="20"/>
        </w:rPr>
        <w:t>—</w:t>
      </w:r>
      <w:r>
        <w:rPr>
          <w:rFonts w:ascii="Times New Roman;serif" w:hAnsi="Times New Roman;serif"/>
          <w:b w:val="false"/>
          <w:sz w:val="20"/>
        </w:rPr>
        <w:t>The Company’s financial instruments, including net accounts receivable, accounts payable, and accrued and other current liabilities are carried at historical cost. At March 31, 2023, the carrying amounts of these instruments approximated their fair values because of their short-term nature. The Company’s credit facility is carried at amortized cost at December 31, 2022 and March 31, 2023 and the carrying amount approximates fair value as the stated interest rate approximates market rates currently available to the Company. The Company considers the inputs utilized to determine the fair value of the borrowings to be Level 2 inputs.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The fair value of the Prefunded Warrants and stock purchase warrants</w:t>
      </w:r>
      <w:r>
        <w:rPr>
          <w:rFonts w:ascii="Times New Roman" w:hAnsi="Times New Roman"/>
          <w:sz w:val="20"/>
        </w:rPr>
        <w:t xml:space="preserve"> </w:t>
      </w:r>
      <w:r>
        <w:rPr>
          <w:rFonts w:ascii="Times New Roman;serif" w:hAnsi="Times New Roman;serif"/>
          <w:b w:val="false"/>
          <w:sz w:val="20"/>
        </w:rPr>
        <w:t xml:space="preserve">issued in connection with the Company’s common stock offering on March 1, 2022 were measured using the Black-Scholes model. Due to the complexity of the warrants issued, the Company uses an outside expert to assist in providing the mark-to-market fair valuation of the liabilities over the reporting periods in which the original agreement was in effect.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prefunded warrants and stock purchase warrants, the Company evaluated the terms of each warrant to determine the appropriate accounting and classification pursuant to FASB ASC Topic 480, </w:t>
      </w:r>
      <w:r>
        <w:rPr>
          <w:rFonts w:ascii="Times New Roman;serif" w:hAnsi="Times New Roman;serif"/>
          <w:b w:val="false"/>
          <w:i/>
          <w:sz w:val="20"/>
        </w:rPr>
        <w:t>Distinguishing Liabilities from Equity (“ASC 480”)</w:t>
      </w:r>
      <w:r>
        <w:rPr>
          <w:rFonts w:ascii="Times New Roman;serif" w:hAnsi="Times New Roman;serif"/>
          <w:b w:val="false"/>
          <w:sz w:val="20"/>
        </w:rPr>
        <w:t xml:space="preserve">, and FASB Accounting Standards Codification Topic 815, </w:t>
      </w:r>
      <w:r>
        <w:rPr>
          <w:rFonts w:ascii="Times New Roman;serif" w:hAnsi="Times New Roman;serif"/>
          <w:b w:val="false"/>
          <w:i/>
          <w:sz w:val="20"/>
        </w:rPr>
        <w:t>Derivatives and Hedging (“ASC 815”)</w:t>
      </w:r>
      <w:r>
        <w:rPr>
          <w:rFonts w:ascii="Times New Roman;serif" w:hAnsi="Times New Roman;serif"/>
          <w:b w:val="false"/>
          <w:sz w:val="20"/>
        </w:rPr>
        <w:t>. Based on the Company’s evaluation and due to certain terms in the warrant agreements, it concluded the prefunded warrants, and the stock purchase warrants should be classified as liability with subsequent remeasurement as long as such warrants continue to be classified as liabilities.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“change in fair value of contingent earn-out liabilities” on the statement of operations.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spacing w:before="240" w:after="0"/>
        <w:jc w:val="both"/>
        <w:rPr>
          <w:rFonts w:ascii="Times New Roman" w:hAnsi="Times New Roman"/>
          <w:sz w:val="20"/>
        </w:rPr>
      </w:pPr>
      <w:r>
        <w:rPr>
          <w:rFonts w:ascii="Times New Roman;serif" w:hAnsi="Times New Roman;serif"/>
          <w:b w:val="false"/>
          <w:i/>
          <w:sz w:val="20"/>
        </w:rPr>
        <w:t>Level 1</w:t>
      </w:r>
      <w:r>
        <w:rPr>
          <w:rFonts w:ascii="Times New Roman" w:hAnsi="Times New Roman"/>
          <w:sz w:val="20"/>
        </w:rPr>
        <w:t>—</w:t>
      </w:r>
      <w:r>
        <w:rPr>
          <w:rFonts w:ascii="Times New Roman;serif" w:hAnsi="Times New Roman;serif"/>
          <w:b w:val="false"/>
          <w:sz w:val="20"/>
        </w:rPr>
        <w:t>Inputs are unadjusted, quoted prices in active markets for identical assets or liabilities at the measurement date;</w:t>
      </w:r>
    </w:p>
    <w:p>
      <w:pPr>
        <w:pStyle w:val="TextBody"/>
        <w:spacing w:before="120" w:after="0"/>
        <w:jc w:val="both"/>
        <w:rPr>
          <w:rFonts w:ascii="Times New Roman" w:hAnsi="Times New Roman"/>
          <w:sz w:val="20"/>
        </w:rPr>
      </w:pPr>
      <w:r>
        <w:rPr>
          <w:rFonts w:ascii="Times New Roman;serif" w:hAnsi="Times New Roman;serif"/>
          <w:b w:val="false"/>
          <w:i/>
          <w:sz w:val="20"/>
        </w:rPr>
        <w:t>Level 2</w:t>
      </w:r>
      <w:r>
        <w:rPr>
          <w:rFonts w:ascii="Times New Roman" w:hAnsi="Times New Roman"/>
          <w:sz w:val="20"/>
        </w:rPr>
        <w:t>—</w:t>
      </w:r>
      <w:r>
        <w:rPr>
          <w:rFonts w:ascii="Times New Roman;serif" w:hAnsi="Times New Roman;serif"/>
          <w:b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spacing w:before="120" w:after="0"/>
        <w:jc w:val="both"/>
        <w:rPr>
          <w:rFonts w:ascii="Times New Roman" w:hAnsi="Times New Roman"/>
          <w:sz w:val="20"/>
        </w:rPr>
      </w:pPr>
      <w:r>
        <w:rPr>
          <w:rFonts w:ascii="Times New Roman;serif" w:hAnsi="Times New Roman;serif"/>
          <w:b w:val="false"/>
          <w:i/>
          <w:sz w:val="20"/>
        </w:rPr>
        <w:t>Level 3</w:t>
      </w:r>
      <w:r>
        <w:rPr>
          <w:rFonts w:ascii="Times New Roman" w:hAnsi="Times New Roman"/>
          <w:sz w:val="20"/>
        </w:rPr>
        <w:t>—</w:t>
      </w:r>
      <w:r>
        <w:rPr>
          <w:rFonts w:ascii="Times New Roman;serif" w:hAnsi="Times New Roman;serif"/>
          <w:b w:val="false"/>
          <w:sz w:val="20"/>
        </w:rPr>
        <w:t>Unobservable inputs that are supported by little or no market data for the related assets or liabilities.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following table summarizes the fair value of the Company’s financial assets that are measured at fair value as of December 31, 2022 and March 31, 2023 (in thousands):</w:t>
      </w:r>
    </w:p>
    <w:p>
      <w:pPr>
        <w:pStyle w:val="TextBody"/>
        <w:spacing w:before="0" w:after="0"/>
        <w:jc w:val="left"/>
        <w:rPr/>
      </w:pPr>
      <w:r>
        <w:rPr/>
        <w:t> </w:t>
      </w:r>
    </w:p>
    <w:tbl>
      <w:tblPr>
        <w:tblW w:w="5811" w:type="dxa"/>
        <w:jc w:val="left"/>
        <w:tblInd w:w="0" w:type="dxa"/>
        <w:tblCellMar>
          <w:top w:w="28" w:type="dxa"/>
          <w:left w:w="28" w:type="dxa"/>
          <w:bottom w:w="28" w:type="dxa"/>
          <w:right w:w="28" w:type="dxa"/>
        </w:tblCellMar>
      </w:tblPr>
      <w:tblGrid>
        <w:gridCol w:w="2491"/>
        <w:gridCol w:w="146"/>
        <w:gridCol w:w="211"/>
        <w:gridCol w:w="676"/>
        <w:gridCol w:w="146"/>
        <w:gridCol w:w="146"/>
        <w:gridCol w:w="239"/>
        <w:gridCol w:w="391"/>
        <w:gridCol w:w="146"/>
        <w:gridCol w:w="146"/>
        <w:gridCol w:w="211"/>
        <w:gridCol w:w="571"/>
        <w:gridCol w:w="291"/>
      </w:tblGrid>
      <w:tr>
        <w:trPr/>
        <w:tc>
          <w:tcPr>
            <w:tcW w:w="2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3"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3"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 Category</w:t>
            </w:r>
          </w:p>
        </w:tc>
        <w:tc>
          <w:tcPr>
            <w:tcW w:w="291" w:type="dxa"/>
            <w:tcBorders/>
            <w:shd w:fill="auto" w:val="cle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24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24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3,473</w:t>
            </w:r>
          </w:p>
        </w:tc>
        <w:tc>
          <w:tcPr>
            <w:tcW w:w="2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3"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83"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 Category</w:t>
            </w:r>
          </w:p>
        </w:tc>
        <w:tc>
          <w:tcPr>
            <w:tcW w:w="291" w:type="dxa"/>
            <w:tcBorders/>
            <w:shd w:fill="auto" w:val="cle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24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249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2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3,827</w:t>
            </w:r>
          </w:p>
        </w:tc>
        <w:tc>
          <w:tcPr>
            <w:tcW w:w="291"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A summary of the activity of the Level 3 liabilities carried at fair value on a recurring basis for the Year-ended December 31, 2022 and the three months ended March 31, 2023 is as follows (in thousands):</w:t>
      </w:r>
      <w:r>
        <w:rPr>
          <w:rFonts w:ascii="Times New Roman" w:hAnsi="Times New Roman"/>
          <w:sz w:val="20"/>
        </w:rPr>
        <w:t xml:space="preserve"> </w:t>
      </w:r>
    </w:p>
    <w:p>
      <w:pPr>
        <w:pStyle w:val="TextBody"/>
        <w:spacing w:before="0" w:after="0"/>
        <w:jc w:val="center"/>
        <w:rPr/>
      </w:pPr>
      <w:r>
        <w:rPr/>
        <w:t> </w:t>
      </w:r>
    </w:p>
    <w:tbl>
      <w:tblPr>
        <w:tblW w:w="5569" w:type="dxa"/>
        <w:jc w:val="left"/>
        <w:tblInd w:w="0" w:type="dxa"/>
        <w:tblCellMar>
          <w:top w:w="28" w:type="dxa"/>
          <w:left w:w="28" w:type="dxa"/>
          <w:bottom w:w="28" w:type="dxa"/>
          <w:right w:w="28" w:type="dxa"/>
        </w:tblCellMar>
      </w:tblPr>
      <w:tblGrid>
        <w:gridCol w:w="3586"/>
        <w:gridCol w:w="146"/>
        <w:gridCol w:w="146"/>
        <w:gridCol w:w="403"/>
        <w:gridCol w:w="1097"/>
        <w:gridCol w:w="191"/>
      </w:tblGrid>
      <w:tr>
        <w:trPr/>
        <w:tc>
          <w:tcPr>
            <w:tcW w:w="3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liability as of January 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liability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liability as of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3,473</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 liability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0"/>
        <w:jc w:val="left"/>
        <w:rPr>
          <w:rFonts w:ascii="Times New Roman" w:hAnsi="Times New Roman"/>
          <w:sz w:val="20"/>
        </w:rPr>
      </w:pPr>
      <w:r>
        <w:rPr>
          <w:rFonts w:ascii="Times New Roman;serif" w:hAnsi="Times New Roman;serif"/>
          <w:b/>
          <w:i/>
          <w:sz w:val="20"/>
        </w:rPr>
        <w:t>Adopted Accounting Standards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August 2020, the FASB issued ASU No. 2020-06, “Debt—Debt with Conversion and Other Options (Topic 470) and Derivatives and Hedging—Contracts in Entity’s Own Equity (Topic 814): Accounting for Convertible Instruments and Contracts in an Entity’s Own Equity” (“ASU 2020-06”). ASU 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2023, including interim periods within those fiscal years. Early adoption is permitted. The new guidance was early adopted on January 1, 2022 with no material impact on the Company’s Consolidated Financial Statements.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September 2022, the FASB issued ASU 2022-04, Disclosures for Supplier Finance Arrangements. This amendment in this Update enhances the transparency of supplier finance programs. This standard is effective for fiscal years beginning after December 15, 2021, and interim periods within fiscal years beginning after December 15, 2022, except for amendment on rollforward information, which is effective for fiscal years beginning after December 15, 2023. Early adoption is permitted. The new guidance was early adopted on January 1, 2022, with no impact on the Company’s Consolidated Financial Statements.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June 2016, the FASB issued ASU 2016-13: Financial Instruments – Credit Losses (Topic 326).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The Company adopted this standard on January 1, 2023, but it does not have a material impact on the Consolidated Financial Statements.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December 2019, the FASB issued ASU 2019-12, Income Taxes.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The adoption of this standard does not have a material impact on the Consolidated Financial Statements.</w:t>
      </w:r>
    </w:p>
    <w:p>
      <w:pPr>
        <w:pStyle w:val="TextBody"/>
        <w:spacing w:before="240" w:after="0"/>
        <w:jc w:val="left"/>
        <w:rPr>
          <w:rFonts w:ascii="Times New Roman;serif" w:hAnsi="Times New Roman;serif"/>
          <w:b/>
          <w:i/>
          <w:sz w:val="20"/>
        </w:rPr>
      </w:pPr>
      <w:r>
        <w:rPr>
          <w:rFonts w:ascii="Times New Roman;serif" w:hAnsi="Times New Roman;serif"/>
          <w:b/>
          <w:i/>
          <w:sz w:val="20"/>
        </w:rPr>
        <w:t>Recent Accounting Pronouncements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JOBS Act permits an emerging growth company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financial statements may not be comparable to companies that comply with new or revised accounting pronouncements as of public company effective dates.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b/>
          <w:sz w:val="20"/>
        </w:rPr>
      </w:pPr>
      <w:r>
        <w:rPr>
          <w:rFonts w:ascii="Times New Roman" w:hAnsi="Times New Roman"/>
          <w:b/>
          <w:sz w:val="20"/>
        </w:rPr>
        <w:t>3.</w:t>
      </w:r>
    </w:p>
    <w:p>
      <w:pPr>
        <w:pStyle w:val="TextBody"/>
        <w:spacing w:before="360" w:after="283"/>
        <w:jc w:val="left"/>
        <w:rPr>
          <w:rFonts w:ascii="Times New Roman;serif" w:hAnsi="Times New Roman;serif"/>
          <w:b/>
          <w:sz w:val="20"/>
        </w:rPr>
      </w:pPr>
      <w:r>
        <w:rPr>
          <w:rFonts w:ascii="Times New Roman;serif" w:hAnsi="Times New Roman;serif"/>
          <w:b/>
          <w:sz w:val="20"/>
        </w:rPr>
        <w:t>INVENTORY</w:t>
      </w:r>
    </w:p>
    <w:p>
      <w:pPr>
        <w:pStyle w:val="TextBody"/>
        <w:spacing w:before="120" w:after="0"/>
        <w:jc w:val="left"/>
        <w:rPr>
          <w:rFonts w:ascii="Times New Roman" w:hAnsi="Times New Roman"/>
          <w:sz w:val="20"/>
        </w:rPr>
      </w:pPr>
      <w:r>
        <w:rPr>
          <w:rFonts w:ascii="Times New Roman;serif" w:hAnsi="Times New Roman;serif"/>
          <w:b w:val="false"/>
          <w:sz w:val="20"/>
        </w:rPr>
        <w:t>Inventory consisted of the following as of December 31, 2022 and March 31, 2023 (in thousands):</w:t>
      </w:r>
      <w:r>
        <w:rPr>
          <w:rFonts w:ascii="Times New Roman" w:hAnsi="Times New Roman"/>
          <w:sz w:val="20"/>
        </w:rPr>
        <w:t xml:space="preserve"> </w:t>
      </w:r>
    </w:p>
    <w:tbl>
      <w:tblPr>
        <w:tblW w:w="4307" w:type="dxa"/>
        <w:jc w:val="left"/>
        <w:tblInd w:w="0" w:type="dxa"/>
        <w:tblCellMar>
          <w:top w:w="28" w:type="dxa"/>
          <w:left w:w="28" w:type="dxa"/>
          <w:bottom w:w="28" w:type="dxa"/>
          <w:right w:w="28" w:type="dxa"/>
        </w:tblCellMar>
      </w:tblPr>
      <w:tblGrid>
        <w:gridCol w:w="1696"/>
        <w:gridCol w:w="146"/>
        <w:gridCol w:w="260"/>
        <w:gridCol w:w="835"/>
        <w:gridCol w:w="146"/>
        <w:gridCol w:w="146"/>
        <w:gridCol w:w="211"/>
        <w:gridCol w:w="676"/>
        <w:gridCol w:w="191"/>
      </w:tblGrid>
      <w:tr>
        <w:trPr/>
        <w:tc>
          <w:tcPr>
            <w:tcW w:w="16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91" w:type="dxa"/>
            <w:tcBorders/>
            <w:shd w:fill="auto" w:val="clear"/>
            <w:vAlign w:val="center"/>
          </w:tcPr>
          <w:p>
            <w:pPr>
              <w:pStyle w:val="TableContents"/>
              <w:spacing w:before="0" w:after="0"/>
              <w:ind w:left="0" w:right="0" w:hanging="0"/>
              <w:jc w:val="center"/>
              <w:rPr/>
            </w:pPr>
            <w:r>
              <w:rPr/>
              <w:t> </w:t>
            </w:r>
          </w:p>
        </w:tc>
      </w:tr>
      <w:tr>
        <w:trPr/>
        <w:tc>
          <w:tcPr>
            <w:tcW w:w="16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Inventory on-hand</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34,538</w:t>
            </w:r>
          </w:p>
        </w:tc>
        <w:tc>
          <w:tcPr>
            <w:tcW w:w="191" w:type="dxa"/>
            <w:tcBorders/>
            <w:shd w:fill="auto" w:val="cle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Inventory in-transit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43,666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40,378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rFonts w:ascii="Times New Roman" w:hAnsi="Times New Roman"/>
          <w:sz w:val="20"/>
        </w:rPr>
      </w:pPr>
      <w:r>
        <w:rPr>
          <w:rFonts w:ascii="Times New Roman;serif" w:hAnsi="Times New Roman;serif"/>
          <w:b w:val="false"/>
          <w:sz w:val="20"/>
        </w:rPr>
        <w:t>The Company’s inventory on-hand is held either with Amazon or the Company’s other third-party warehouses. The Company does not have any contractual right of returns with its contract manufacturers. The Company’s inventory on-hand held by Amazon was approximately $8.6</w:t>
      </w:r>
      <w:r>
        <w:rPr>
          <w:rFonts w:ascii="Times New Roman" w:hAnsi="Times New Roman"/>
          <w:sz w:val="20"/>
        </w:rPr>
        <w:t xml:space="preserve"> </w:t>
      </w:r>
      <w:r>
        <w:rPr>
          <w:rFonts w:ascii="Times New Roman;serif" w:hAnsi="Times New Roman;serif"/>
          <w:b w:val="false"/>
          <w:sz w:val="20"/>
        </w:rPr>
        <w:t>million and $7.1</w:t>
      </w:r>
      <w:r>
        <w:rPr>
          <w:rFonts w:ascii="Times New Roman" w:hAnsi="Times New Roman"/>
          <w:sz w:val="20"/>
        </w:rPr>
        <w:t xml:space="preserve"> </w:t>
      </w:r>
      <w:r>
        <w:rPr>
          <w:rFonts w:ascii="Times New Roman;serif" w:hAnsi="Times New Roman;serif"/>
          <w:b w:val="false"/>
          <w:sz w:val="20"/>
        </w:rPr>
        <w:t>million as of December 31, 2022 and March 31, 2023, respectively.</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4.</w:t>
      </w:r>
    </w:p>
    <w:p>
      <w:pPr>
        <w:pStyle w:val="TextBody"/>
        <w:spacing w:before="360" w:after="283"/>
        <w:jc w:val="left"/>
        <w:rPr>
          <w:rFonts w:ascii="Times New Roman;serif" w:hAnsi="Times New Roman;serif"/>
          <w:b/>
          <w:sz w:val="20"/>
        </w:rPr>
      </w:pPr>
      <w:r>
        <w:rPr>
          <w:rFonts w:ascii="Times New Roman;serif" w:hAnsi="Times New Roman;serif"/>
          <w:b/>
          <w:sz w:val="20"/>
        </w:rPr>
        <w:t>PREPAID EXPENSES AND OTHER CURRENT ASSETS</w:t>
      </w:r>
    </w:p>
    <w:p>
      <w:pPr>
        <w:pStyle w:val="TextBody"/>
        <w:spacing w:before="120" w:after="0"/>
        <w:jc w:val="left"/>
        <w:rPr>
          <w:rFonts w:ascii="Times New Roman" w:hAnsi="Times New Roman"/>
          <w:sz w:val="20"/>
        </w:rPr>
      </w:pPr>
      <w:r>
        <w:rPr>
          <w:rFonts w:ascii="Times New Roman;serif" w:hAnsi="Times New Roman;serif"/>
          <w:b w:val="false"/>
          <w:sz w:val="20"/>
        </w:rPr>
        <w:t>Prepaid and other current assets consisted of the following as of December 31, 2022 and March 31, 2023 (in thousands):</w:t>
      </w:r>
      <w:r>
        <w:rPr>
          <w:rFonts w:ascii="Times New Roman" w:hAnsi="Times New Roman"/>
          <w:sz w:val="20"/>
        </w:rPr>
        <w:t xml:space="preserve"> </w:t>
      </w:r>
    </w:p>
    <w:tbl>
      <w:tblPr>
        <w:tblW w:w="5257" w:type="dxa"/>
        <w:jc w:val="left"/>
        <w:tblInd w:w="0" w:type="dxa"/>
        <w:tblCellMar>
          <w:top w:w="28" w:type="dxa"/>
          <w:left w:w="28" w:type="dxa"/>
          <w:bottom w:w="28" w:type="dxa"/>
          <w:right w:w="28" w:type="dxa"/>
        </w:tblCellMar>
      </w:tblPr>
      <w:tblGrid>
        <w:gridCol w:w="2101"/>
        <w:gridCol w:w="146"/>
        <w:gridCol w:w="146"/>
        <w:gridCol w:w="146"/>
        <w:gridCol w:w="339"/>
        <w:gridCol w:w="921"/>
        <w:gridCol w:w="146"/>
        <w:gridCol w:w="146"/>
        <w:gridCol w:w="263"/>
        <w:gridCol w:w="712"/>
        <w:gridCol w:w="191"/>
      </w:tblGrid>
      <w:tr>
        <w:trPr/>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b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inventory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1,641</w:t>
            </w:r>
          </w:p>
        </w:tc>
        <w:tc>
          <w:tcPr>
            <w:tcW w:w="19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2,158</w:t>
            </w:r>
          </w:p>
        </w:tc>
        <w:tc>
          <w:tcPr>
            <w:tcW w:w="19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w:t>
            </w:r>
          </w:p>
        </w:tc>
        <w:tc>
          <w:tcPr>
            <w:tcW w:w="19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Amazon global logistics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7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w:t>
            </w:r>
          </w:p>
        </w:tc>
        <w:tc>
          <w:tcPr>
            <w:tcW w:w="191"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360" w:after="0"/>
        <w:jc w:val="left"/>
        <w:rPr>
          <w:rFonts w:ascii="Times New Roman" w:hAnsi="Times New Roman"/>
          <w:b/>
          <w:sz w:val="20"/>
        </w:rPr>
      </w:pPr>
      <w:r>
        <w:rPr>
          <w:rFonts w:ascii="Times New Roman" w:hAnsi="Times New Roman"/>
          <w:b/>
          <w:sz w:val="20"/>
        </w:rPr>
        <w:t>5.</w:t>
      </w:r>
    </w:p>
    <w:p>
      <w:pPr>
        <w:pStyle w:val="TextBody"/>
        <w:spacing w:before="360" w:after="283"/>
        <w:jc w:val="left"/>
        <w:rPr>
          <w:rFonts w:ascii="Times New Roman;serif" w:hAnsi="Times New Roman;serif"/>
          <w:b/>
          <w:sz w:val="20"/>
        </w:rPr>
      </w:pPr>
      <w:r>
        <w:rPr>
          <w:rFonts w:ascii="Times New Roman;serif" w:hAnsi="Times New Roman;serif"/>
          <w:b/>
          <w:sz w:val="20"/>
        </w:rPr>
        <w:t xml:space="preserve">ACCRUED AND OTHER CURRENT LIABILITIES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expenses and other current liabilities consisted of the following as of December 31, 2022 and March 31, 2023 (in thousands):</w:t>
      </w:r>
    </w:p>
    <w:p>
      <w:pPr>
        <w:pStyle w:val="TextBody"/>
        <w:spacing w:before="0" w:after="0"/>
        <w:jc w:val="left"/>
        <w:rPr/>
      </w:pPr>
      <w:r>
        <w:rPr/>
        <w:t> </w:t>
      </w:r>
    </w:p>
    <w:tbl>
      <w:tblPr>
        <w:tblW w:w="6900" w:type="dxa"/>
        <w:jc w:val="left"/>
        <w:tblInd w:w="0" w:type="dxa"/>
        <w:tblCellMar>
          <w:top w:w="28" w:type="dxa"/>
          <w:left w:w="28" w:type="dxa"/>
          <w:bottom w:w="28" w:type="dxa"/>
          <w:right w:w="28" w:type="dxa"/>
        </w:tblCellMar>
      </w:tblPr>
      <w:tblGrid>
        <w:gridCol w:w="3511"/>
        <w:gridCol w:w="146"/>
        <w:gridCol w:w="357"/>
        <w:gridCol w:w="1143"/>
        <w:gridCol w:w="146"/>
        <w:gridCol w:w="146"/>
        <w:gridCol w:w="299"/>
        <w:gridCol w:w="961"/>
        <w:gridCol w:w="19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 costs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fees and consultants</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logistics costs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related accruals</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1,218</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tax payable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775</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return reserve</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fulfillment expense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insurance</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payroll taxes payable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1,319</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interest payable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 liability</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3,827</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accruals</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current liabilities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13,045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sponsors, through its professional employer organization provider, a 401(k) defined contribution plan covering all eligible US employees. Contributions to the 401(k) plan are discretionary. Currently, the Company does not match or make any contributions to the 401(k) plan.</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60" w:after="0"/>
        <w:jc w:val="left"/>
        <w:rPr>
          <w:rFonts w:ascii="Times New Roman" w:hAnsi="Times New Roman"/>
          <w:b/>
          <w:sz w:val="20"/>
        </w:rPr>
      </w:pPr>
      <w:r>
        <w:rPr>
          <w:rFonts w:ascii="Times New Roman" w:hAnsi="Times New Roman"/>
          <w:b/>
          <w:sz w:val="20"/>
        </w:rPr>
        <w:t>6.</w:t>
      </w:r>
    </w:p>
    <w:p>
      <w:pPr>
        <w:pStyle w:val="TextBody"/>
        <w:spacing w:before="160" w:after="283"/>
        <w:jc w:val="left"/>
        <w:rPr>
          <w:rFonts w:ascii="Times New Roman;serif" w:hAnsi="Times New Roman;serif"/>
          <w:b/>
          <w:sz w:val="20"/>
        </w:rPr>
      </w:pPr>
      <w:r>
        <w:rPr>
          <w:rFonts w:ascii="Times New Roman;serif" w:hAnsi="Times New Roman;serif"/>
          <w:b/>
          <w:sz w:val="20"/>
        </w:rPr>
        <w:t xml:space="preserve">CREDIT FACILITY, TERM LOANS AND WARRANTS </w:t>
      </w:r>
    </w:p>
    <w:p>
      <w:pPr>
        <w:pStyle w:val="TextBody"/>
        <w:spacing w:before="120" w:after="0"/>
        <w:jc w:val="left"/>
        <w:rPr>
          <w:rFonts w:ascii="Times New Roman" w:hAnsi="Times New Roman"/>
          <w:sz w:val="20"/>
        </w:rPr>
      </w:pPr>
      <w:r>
        <w:rPr>
          <w:rFonts w:ascii="Times New Roman;serif" w:hAnsi="Times New Roman;serif"/>
          <w:b/>
          <w:sz w:val="20"/>
        </w:rPr>
        <w:t>MidCap Credit Facility</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w:t>
      </w:r>
      <w:r>
        <w:rPr>
          <w:rFonts w:ascii="Times New Roman" w:hAnsi="Times New Roman"/>
          <w:sz w:val="20"/>
        </w:rPr>
        <w:t xml:space="preserve"> </w:t>
      </w:r>
      <w:r>
        <w:rPr>
          <w:rFonts w:ascii="Times New Roman;serif" w:hAnsi="Times New Roman;serif"/>
          <w:b w:val="false"/>
          <w:sz w:val="20"/>
        </w:rPr>
        <w:t>revolving credit facility in a principal amount of up to $40.0</w:t>
      </w:r>
      <w:r>
        <w:rPr>
          <w:rFonts w:ascii="Times New Roman" w:hAnsi="Times New Roman"/>
          <w:sz w:val="20"/>
        </w:rPr>
        <w:t xml:space="preserve"> </w:t>
      </w:r>
      <w:r>
        <w:rPr>
          <w:rFonts w:ascii="Times New Roman;serif" w:hAnsi="Times New Roman;serif"/>
          <w:b w:val="false"/>
          <w:sz w:val="20"/>
        </w:rPr>
        <w:t>million subject to a borrowing base consisting of, among other things, inventory and sales receivables (subject to certain reserves), and (ii) the Company agreed to issue to MidCap Funding XXVII Trust a warrant (the “Midcap Warrant”) to purchase up to an aggregate of 200,000</w:t>
      </w:r>
      <w:r>
        <w:rPr>
          <w:rFonts w:ascii="Times New Roman" w:hAnsi="Times New Roman"/>
          <w:sz w:val="20"/>
        </w:rPr>
        <w:t xml:space="preserve"> </w:t>
      </w:r>
      <w:r>
        <w:rPr>
          <w:rFonts w:ascii="Times New Roman;serif" w:hAnsi="Times New Roman;serif"/>
          <w:b w:val="false"/>
          <w:sz w:val="20"/>
        </w:rPr>
        <w:t>shares of common stock of the Company, par value $0.0001</w:t>
      </w:r>
      <w:r>
        <w:rPr>
          <w:rFonts w:ascii="Times New Roman" w:hAnsi="Times New Roman"/>
          <w:sz w:val="20"/>
        </w:rPr>
        <w:t xml:space="preserve"> </w:t>
      </w:r>
      <w:r>
        <w:rPr>
          <w:rFonts w:ascii="Times New Roman;serif" w:hAnsi="Times New Roman;serif"/>
          <w:b w:val="false"/>
          <w:sz w:val="20"/>
        </w:rPr>
        <w:t>per share, in exchange for the Lenders extending loans and other extensions of credit to the Company under the Credit Agreement.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December 22, 2021, the Company used $27.6</w:t>
      </w:r>
      <w:r>
        <w:rPr>
          <w:rFonts w:ascii="Times New Roman" w:hAnsi="Times New Roman"/>
          <w:sz w:val="20"/>
        </w:rPr>
        <w:t xml:space="preserve"> </w:t>
      </w:r>
      <w:r>
        <w:rPr>
          <w:rFonts w:ascii="Times New Roman;serif" w:hAnsi="Times New Roman;serif"/>
          <w:b w:val="false"/>
          <w:sz w:val="20"/>
        </w:rPr>
        <w:t>million of the net proceeds from the initial loan under the Credit Agreement to repay all remaining amounts owed under those certain senior secured promissory notes issued by the Company to High Trail Investments SA LLC and High Trail Investments ON LLC in an initial principal amount of $110.0</w:t>
      </w:r>
      <w:r>
        <w:rPr>
          <w:rFonts w:ascii="Times New Roman" w:hAnsi="Times New Roman"/>
          <w:sz w:val="20"/>
        </w:rPr>
        <w:t xml:space="preserve"> </w:t>
      </w:r>
      <w:r>
        <w:rPr>
          <w:rFonts w:ascii="Times New Roman;serif" w:hAnsi="Times New Roman;serif"/>
          <w:b w:val="false"/>
          <w:sz w:val="20"/>
        </w:rPr>
        <w:t>million, as amended (the “Terminated Notes”).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w:t>
      </w:r>
      <w:r>
        <w:rPr>
          <w:rFonts w:ascii="Times New Roman;serif" w:hAnsi="Times New Roman;serif"/>
          <w:b w:val="false"/>
          <w:sz w:val="13"/>
        </w:rPr>
        <w:t>st</w:t>
      </w:r>
      <w:r>
        <w:rPr>
          <w:rFonts w:ascii="Times New Roman;serif" w:hAnsi="Times New Roman;serif"/>
          <w:sz w:val="20"/>
        </w:rPr>
        <w:t xml:space="preserve"> </w:t>
      </w:r>
      <w:r>
        <w:rPr>
          <w:rFonts w:ascii="Times New Roman;serif" w:hAnsi="Times New Roman;serif"/>
          <w:b w:val="false"/>
          <w:sz w:val="20"/>
        </w:rPr>
        <w:t>through and including May 31</w:t>
      </w:r>
      <w:r>
        <w:rPr>
          <w:rFonts w:ascii="Times New Roman;serif" w:hAnsi="Times New Roman;serif"/>
          <w:b w:val="false"/>
          <w:sz w:val="13"/>
        </w:rPr>
        <w:t>st</w:t>
      </w:r>
      <w:r>
        <w:rPr>
          <w:rFonts w:ascii="Times New Roman;serif" w:hAnsi="Times New Roman;serif"/>
          <w:sz w:val="20"/>
        </w:rPr>
        <w:t xml:space="preserve"> </w:t>
      </w:r>
      <w:r>
        <w:rPr>
          <w:rFonts w:ascii="Times New Roman;serif" w:hAnsi="Times New Roman;serif"/>
          <w:b w:val="false"/>
          <w:sz w:val="20"/>
        </w:rPr>
        <w:t>of each calendar year, $12.5</w:t>
      </w:r>
      <w:r>
        <w:rPr>
          <w:rFonts w:ascii="Times New Roman;serif" w:hAnsi="Times New Roman;serif"/>
          <w:sz w:val="20"/>
        </w:rPr>
        <w:t xml:space="preserve"> </w:t>
      </w:r>
      <w:r>
        <w:rPr>
          <w:rFonts w:ascii="Times New Roman;serif" w:hAnsi="Times New Roman;serif"/>
          <w:b w:val="false"/>
          <w:sz w:val="20"/>
        </w:rPr>
        <w:t>million and (b) at all other times, $15.0</w:t>
      </w:r>
      <w:r>
        <w:rPr>
          <w:rFonts w:ascii="Times New Roman;serif" w:hAnsi="Times New Roman;serif"/>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The Credit Agreement includes events of default that are customary for these types of credit facilities, including the occurrence of a change of control. The Company was in compliance with the financial covenants contained within the Credit Agreement as of December 31, 2021.</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Midcap Warrant has an exercise price of $4.70</w:t>
      </w:r>
      <w:r>
        <w:rPr>
          <w:rFonts w:ascii="Times New Roman" w:hAnsi="Times New Roman"/>
          <w:sz w:val="20"/>
        </w:rPr>
        <w:t xml:space="preserve"> </w:t>
      </w:r>
      <w:r>
        <w:rPr>
          <w:rFonts w:ascii="Times New Roman;serif" w:hAnsi="Times New Roman;serif"/>
          <w:b w:val="false"/>
          <w:sz w:val="20"/>
        </w:rPr>
        <w:t>per share, subject to adjustment for stock splits, reverse stock splits, stock dividends and similar transactions, is immediately exercisable, has a term of ten years</w:t>
      </w:r>
      <w:r>
        <w:rPr>
          <w:rFonts w:ascii="Times New Roman" w:hAnsi="Times New Roman"/>
          <w:sz w:val="20"/>
        </w:rPr>
        <w:t xml:space="preserve"> </w:t>
      </w:r>
      <w:r>
        <w:rPr>
          <w:rFonts w:ascii="Times New Roman;serif" w:hAnsi="Times New Roman;serif"/>
          <w:b w:val="false"/>
          <w:sz w:val="20"/>
        </w:rPr>
        <w:t>from the date of issuance and is exercisable on a cash or cashless basis.</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Company’s credit facility consisted of the following as of December 31, 2022 and March 31, 2023 (in thousands):</w:t>
      </w:r>
    </w:p>
    <w:p>
      <w:pPr>
        <w:pStyle w:val="TextBody"/>
        <w:spacing w:before="0" w:after="0"/>
        <w:jc w:val="both"/>
        <w:rPr/>
      </w:pPr>
      <w:r>
        <w:rPr/>
        <w:t> </w:t>
      </w:r>
    </w:p>
    <w:tbl>
      <w:tblPr>
        <w:tblW w:w="6897" w:type="dxa"/>
        <w:jc w:val="left"/>
        <w:tblInd w:w="0" w:type="dxa"/>
        <w:tblCellMar>
          <w:top w:w="28" w:type="dxa"/>
          <w:left w:w="28" w:type="dxa"/>
          <w:bottom w:w="28" w:type="dxa"/>
          <w:right w:w="28" w:type="dxa"/>
        </w:tblCellMar>
      </w:tblPr>
      <w:tblGrid>
        <w:gridCol w:w="4246"/>
        <w:gridCol w:w="146"/>
        <w:gridCol w:w="260"/>
        <w:gridCol w:w="835"/>
        <w:gridCol w:w="166"/>
        <w:gridCol w:w="146"/>
        <w:gridCol w:w="211"/>
        <w:gridCol w:w="676"/>
        <w:gridCol w:w="211"/>
      </w:tblGrid>
      <w:tr>
        <w:trPr/>
        <w:tc>
          <w:tcPr>
            <w:tcW w:w="4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MidCap Credit Facility</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19,843</w:t>
            </w:r>
          </w:p>
        </w:tc>
        <w:tc>
          <w:tcPr>
            <w:tcW w:w="21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deferred debt issuance costs</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discount associated with issuance of warrants</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MidCap Credit Facility</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19,103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sz w:val="20"/>
        </w:rPr>
        <w:t>Interest Expense, Net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Interest expense, net consisted of the following for the three months ended March 31, 2022 and 2023 (in thousands):</w:t>
      </w:r>
      <w:r>
        <w:rPr>
          <w:rFonts w:ascii="Times New Roman" w:hAnsi="Times New Roman"/>
          <w:sz w:val="20"/>
        </w:rPr>
        <w:t xml:space="preserve"> </w:t>
      </w:r>
    </w:p>
    <w:p>
      <w:pPr>
        <w:pStyle w:val="TextBody"/>
        <w:spacing w:before="0" w:after="0"/>
        <w:jc w:val="left"/>
        <w:rPr/>
      </w:pPr>
      <w:r>
        <w:rPr/>
        <w:t> </w:t>
      </w:r>
    </w:p>
    <w:tbl>
      <w:tblPr>
        <w:tblW w:w="5005" w:type="dxa"/>
        <w:jc w:val="left"/>
        <w:tblInd w:w="0" w:type="dxa"/>
        <w:tblCellMar>
          <w:top w:w="28" w:type="dxa"/>
          <w:left w:w="28" w:type="dxa"/>
          <w:bottom w:w="28" w:type="dxa"/>
          <w:right w:w="28" w:type="dxa"/>
        </w:tblCellMar>
      </w:tblPr>
      <w:tblGrid>
        <w:gridCol w:w="2251"/>
        <w:gridCol w:w="146"/>
        <w:gridCol w:w="313"/>
        <w:gridCol w:w="625"/>
        <w:gridCol w:w="216"/>
        <w:gridCol w:w="216"/>
        <w:gridCol w:w="313"/>
        <w:gridCol w:w="714"/>
        <w:gridCol w:w="211"/>
      </w:tblGrid>
      <w:tr>
        <w:trPr/>
        <w:tc>
          <w:tcPr>
            <w:tcW w:w="22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2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6"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102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1" w:type="dxa"/>
            <w:tcBorders/>
            <w:shd w:fill="auto" w:val="clear"/>
            <w:vAlign w:val="center"/>
          </w:tcPr>
          <w:p>
            <w:pPr>
              <w:pStyle w:val="TableContents"/>
              <w:spacing w:before="0" w:after="0"/>
              <w:ind w:left="0" w:right="0" w:hanging="0"/>
              <w:jc w:val="center"/>
              <w:rPr/>
            </w:pPr>
            <w:r>
              <w:rPr/>
              <w:t> </w:t>
            </w:r>
          </w:p>
        </w:tc>
      </w:tr>
      <w:tr>
        <w:trPr/>
        <w:tc>
          <w:tcPr>
            <w:tcW w:w="2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w:t>
            </w:r>
          </w:p>
        </w:tc>
        <w:tc>
          <w:tcPr>
            <w:tcW w:w="21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596</w:t>
            </w:r>
          </w:p>
        </w:tc>
        <w:tc>
          <w:tcPr>
            <w:tcW w:w="211" w:type="dxa"/>
            <w:tcBorders/>
            <w:shd w:fill="auto" w:val="clear"/>
            <w:vAlign w:val="center"/>
          </w:tcPr>
          <w:p>
            <w:pPr>
              <w:pStyle w:val="TableContents"/>
              <w:spacing w:before="0" w:after="0"/>
              <w:ind w:left="0" w:right="0" w:hanging="0"/>
              <w:jc w:val="left"/>
              <w:rPr/>
            </w:pPr>
            <w:r>
              <w:rPr/>
              <w:t> </w:t>
            </w:r>
          </w:p>
        </w:tc>
      </w:tr>
      <w:tr>
        <w:trPr/>
        <w:tc>
          <w:tcPr>
            <w:tcW w:w="2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expense, net</w:t>
            </w:r>
          </w:p>
        </w:tc>
        <w:tc>
          <w:tcPr>
            <w:tcW w:w="146" w:type="dxa"/>
            <w:tcBorders/>
            <w:shd w:fill="auto" w:val="clear"/>
            <w:vAlign w:val="center"/>
          </w:tcPr>
          <w:p>
            <w:pPr>
              <w:pStyle w:val="TableContents"/>
              <w:spacing w:before="0" w:after="0"/>
              <w:ind w:left="0" w:right="0" w:hanging="0"/>
              <w:jc w:val="left"/>
              <w:rPr/>
            </w:pPr>
            <w:r>
              <w:rPr/>
              <w:t> </w:t>
            </w:r>
          </w:p>
        </w:tc>
        <w:tc>
          <w:tcPr>
            <w:tcW w:w="3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3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Securities Purchase Agreement and Warrants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March 1, 2022, 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“2022 Private Placement”), (i) 6,436,322</w:t>
      </w:r>
      <w:r>
        <w:rPr>
          <w:rFonts w:ascii="Times New Roman" w:hAnsi="Times New Roman"/>
          <w:sz w:val="20"/>
        </w:rPr>
        <w:t xml:space="preserve"> </w:t>
      </w:r>
      <w:r>
        <w:rPr>
          <w:rFonts w:ascii="Times New Roman;serif" w:hAnsi="Times New Roman;serif"/>
          <w:b w:val="false"/>
          <w:sz w:val="20"/>
        </w:rPr>
        <w:t>shares of the Company’s common stock (the “Shares”), and accompanying warrants to purchase an aggregate of 4,827,242</w:t>
      </w:r>
      <w:r>
        <w:rPr>
          <w:rFonts w:ascii="Times New Roman" w:hAnsi="Times New Roman"/>
          <w:sz w:val="20"/>
        </w:rPr>
        <w:t xml:space="preserve"> </w:t>
      </w:r>
      <w:r>
        <w:rPr>
          <w:rFonts w:ascii="Times New Roman;serif" w:hAnsi="Times New Roman;serif"/>
          <w:b w:val="false"/>
          <w:sz w:val="20"/>
        </w:rPr>
        <w:t>shares of common stock, and (ii) prefunded warrants to purchase up to an aggregate of 3,013,850</w:t>
      </w:r>
      <w:r>
        <w:rPr>
          <w:rFonts w:ascii="Times New Roman" w:hAnsi="Times New Roman"/>
          <w:sz w:val="20"/>
        </w:rPr>
        <w:t xml:space="preserve"> </w:t>
      </w:r>
      <w:r>
        <w:rPr>
          <w:rFonts w:ascii="Times New Roman;serif" w:hAnsi="Times New Roman;serif"/>
          <w:b w:val="false"/>
          <w:sz w:val="20"/>
        </w:rPr>
        <w:t>shares of common stock (the “Prefunded Warrants”) and accompanying warrants to purchase an aggregate of 2,260,388</w:t>
      </w:r>
      <w:r>
        <w:rPr>
          <w:rFonts w:ascii="Times New Roman" w:hAnsi="Times New Roman"/>
          <w:sz w:val="20"/>
        </w:rPr>
        <w:t xml:space="preserve"> </w:t>
      </w:r>
      <w:r>
        <w:rPr>
          <w:rFonts w:ascii="Times New Roman;serif" w:hAnsi="Times New Roman;serif"/>
          <w:b w:val="false"/>
          <w:sz w:val="20"/>
        </w:rPr>
        <w:t>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$2.9099, for gross proceeds of approximately $27.5</w:t>
      </w:r>
      <w:r>
        <w:rPr>
          <w:rFonts w:ascii="Times New Roman" w:hAnsi="Times New Roman"/>
          <w:sz w:val="20"/>
        </w:rPr>
        <w:t xml:space="preserve"> </w:t>
      </w:r>
      <w:r>
        <w:rPr>
          <w:rFonts w:ascii="Times New Roman;serif" w:hAnsi="Times New Roman;serif"/>
          <w:b w:val="false"/>
          <w:sz w:val="20"/>
        </w:rPr>
        <w:t>million. In connection with the 2022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agreed to file a registration statement covering the resale by the Purchasers of the Shares and Warrant Shares within 30 days following the agreement date. The Company filed such resale registration statement on March 28, 2022, and it was declared effective by the SEC on April 8, 2022.</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Upon the issuance of the Prefunded Warrants and stock purchase warrants, the Company evaluated the terms of each Warrant to determine the appropriate accounting and classification pursuant to ASC 480 and ASC 815. Based on the Company’s evaluation and due to certain terms in the warrant agreements, it concluded the Prefunded Warrant and the stock purchase warrants should be classified as liabilities with subsequent remeasurement at each quarter so long as such warrants remain to be classified as liabilities. The Company recorded an initial liability on issuance of $19.0</w:t>
      </w:r>
      <w:r>
        <w:rPr>
          <w:rFonts w:ascii="Times New Roman" w:hAnsi="Times New Roman"/>
          <w:sz w:val="20"/>
        </w:rPr>
        <w:t xml:space="preserve"> </w:t>
      </w:r>
      <w:r>
        <w:rPr>
          <w:rFonts w:ascii="Times New Roman;serif" w:hAnsi="Times New Roman;serif"/>
          <w:b w:val="false"/>
          <w:sz w:val="20"/>
        </w:rPr>
        <w:t>million from this conclusion. As of March 31, 2023, the Company has $3.8</w:t>
      </w:r>
      <w:r>
        <w:rPr>
          <w:rFonts w:ascii="Times New Roman" w:hAnsi="Times New Roman"/>
          <w:sz w:val="20"/>
        </w:rPr>
        <w:t xml:space="preserve"> </w:t>
      </w:r>
      <w:r>
        <w:rPr>
          <w:rFonts w:ascii="Times New Roman;serif" w:hAnsi="Times New Roman;serif"/>
          <w:b w:val="false"/>
          <w:sz w:val="20"/>
        </w:rPr>
        <w:t>million as the liability related to the Warrants.</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September 29, 2022, the Company entered into securities purchase agreements (the “September Purchase Agreements”) with certain accredited investors, pursuant to which, among other things, the Company agreed to sell and issue, in a registered direct offering (the “Registered Direct Offering”), an aggregate of 10,643,034</w:t>
      </w:r>
      <w:r>
        <w:rPr>
          <w:rFonts w:ascii="Times New Roman" w:hAnsi="Times New Roman"/>
          <w:sz w:val="20"/>
        </w:rPr>
        <w:t xml:space="preserve"> </w:t>
      </w:r>
      <w:r>
        <w:rPr>
          <w:rFonts w:ascii="Times New Roman;serif" w:hAnsi="Times New Roman;serif"/>
          <w:b w:val="false"/>
          <w:sz w:val="20"/>
        </w:rPr>
        <w:t>shares of its common stock and accompanying warrants to purchase an aggregate of 10,643,034</w:t>
      </w:r>
      <w:r>
        <w:rPr>
          <w:rFonts w:ascii="Times New Roman" w:hAnsi="Times New Roman"/>
          <w:sz w:val="20"/>
        </w:rPr>
        <w:t xml:space="preserve"> </w:t>
      </w:r>
      <w:r>
        <w:rPr>
          <w:rFonts w:ascii="Times New Roman;serif" w:hAnsi="Times New Roman;serif"/>
          <w:b w:val="false"/>
          <w:sz w:val="20"/>
        </w:rPr>
        <w:t>shares of its common stock. 10,526,368</w:t>
      </w:r>
      <w:r>
        <w:rPr>
          <w:rFonts w:ascii="Times New Roman" w:hAnsi="Times New Roman"/>
          <w:sz w:val="20"/>
        </w:rPr>
        <w:t xml:space="preserve"> </w:t>
      </w:r>
      <w:r>
        <w:rPr>
          <w:rFonts w:ascii="Times New Roman;serif" w:hAnsi="Times New Roman;serif"/>
          <w:b w:val="false"/>
          <w:sz w:val="20"/>
        </w:rPr>
        <w:t>of the shares and the accompanying warrants to purchase 10,526,368</w:t>
      </w:r>
      <w:r>
        <w:rPr>
          <w:rFonts w:ascii="Times New Roman" w:hAnsi="Times New Roman"/>
          <w:sz w:val="20"/>
        </w:rPr>
        <w:t xml:space="preserve"> </w:t>
      </w:r>
      <w:r>
        <w:rPr>
          <w:rFonts w:ascii="Times New Roman;serif" w:hAnsi="Times New Roman;serif"/>
          <w:b w:val="false"/>
          <w:sz w:val="20"/>
        </w:rPr>
        <w:t>shares of common stock were sold to certain accredited Purchasers that are not affiliated with the Company at a combined offering price of $1.90</w:t>
      </w:r>
      <w:r>
        <w:rPr>
          <w:rFonts w:ascii="Times New Roman" w:hAnsi="Times New Roman"/>
          <w:sz w:val="20"/>
        </w:rPr>
        <w:t xml:space="preserve"> </w:t>
      </w:r>
      <w:r>
        <w:rPr>
          <w:rFonts w:ascii="Times New Roman;serif" w:hAnsi="Times New Roman;serif"/>
          <w:b w:val="false"/>
          <w:sz w:val="20"/>
        </w:rPr>
        <w:t>per share and accompanying warrant to purchase one share of common stock. The remaining 116,666</w:t>
      </w:r>
      <w:r>
        <w:rPr>
          <w:rFonts w:ascii="Times New Roman" w:hAnsi="Times New Roman"/>
          <w:sz w:val="20"/>
        </w:rPr>
        <w:t xml:space="preserve"> </w:t>
      </w:r>
      <w:r>
        <w:rPr>
          <w:rFonts w:ascii="Times New Roman;serif" w:hAnsi="Times New Roman;serif"/>
          <w:b w:val="false"/>
          <w:sz w:val="20"/>
        </w:rPr>
        <w:t>of the shares and the accompanying warrants to purchase 116,666</w:t>
      </w:r>
      <w:r>
        <w:rPr>
          <w:rFonts w:ascii="Times New Roman" w:hAnsi="Times New Roman"/>
          <w:sz w:val="20"/>
        </w:rPr>
        <w:t xml:space="preserve"> </w:t>
      </w:r>
      <w:r>
        <w:rPr>
          <w:rFonts w:ascii="Times New Roman;serif" w:hAnsi="Times New Roman;serif"/>
          <w:b w:val="false"/>
          <w:sz w:val="20"/>
        </w:rPr>
        <w:t>shares of common stock were sold to certain insiders of the Company, comprised of the Company’s President and Chief Executive Officer, Chief Financial Officer, Chief Legal Officer and Global Head of M&amp;A and Chief Technology Officer, at a combined offering price of $2.10</w:t>
      </w:r>
      <w:r>
        <w:rPr>
          <w:rFonts w:ascii="Times New Roman" w:hAnsi="Times New Roman"/>
          <w:sz w:val="20"/>
        </w:rPr>
        <w:t xml:space="preserve"> </w:t>
      </w:r>
      <w:r>
        <w:rPr>
          <w:rFonts w:ascii="Times New Roman;serif" w:hAnsi="Times New Roman;serif"/>
          <w:b w:val="false"/>
          <w:sz w:val="20"/>
        </w:rPr>
        <w:t>per share and accompanying warrant to purchase one share of common stock.</w:t>
      </w:r>
    </w:p>
    <w:p>
      <w:pPr>
        <w:pStyle w:val="TextBody"/>
        <w:spacing w:before="240" w:after="0"/>
        <w:jc w:val="both"/>
        <w:rPr>
          <w:rFonts w:ascii="Times New Roman" w:hAnsi="Times New Roman"/>
          <w:sz w:val="20"/>
        </w:rPr>
      </w:pPr>
      <w:r>
        <w:rPr>
          <w:rFonts w:ascii="Times New Roman;serif" w:hAnsi="Times New Roman;serif"/>
          <w:b w:val="false"/>
          <w:sz w:val="20"/>
        </w:rPr>
        <w:t>The Registered Direct Offering closed on October 4, 2022 and the Company issued and sold an aggregate of 10,643,034</w:t>
      </w:r>
      <w:r>
        <w:rPr>
          <w:rFonts w:ascii="Times New Roman" w:hAnsi="Times New Roman"/>
          <w:sz w:val="20"/>
        </w:rPr>
        <w:t xml:space="preserve"> </w:t>
      </w:r>
      <w:r>
        <w:rPr>
          <w:rFonts w:ascii="Times New Roman;serif" w:hAnsi="Times New Roman;serif"/>
          <w:b w:val="false"/>
          <w:sz w:val="20"/>
        </w:rPr>
        <w:t>shares of common stock to the Purchasers. The gross proceeds to the Company from the Registered Direct Offering were approximately $20.2</w:t>
      </w:r>
      <w:r>
        <w:rPr>
          <w:rFonts w:ascii="Times New Roman" w:hAnsi="Times New Roman"/>
          <w:sz w:val="20"/>
        </w:rPr>
        <w:t xml:space="preserve"> </w:t>
      </w:r>
      <w:r>
        <w:rPr>
          <w:rFonts w:ascii="Times New Roman;serif" w:hAnsi="Times New Roman;serif"/>
          <w:b w:val="false"/>
          <w:sz w:val="20"/>
        </w:rPr>
        <w:t>million, before deducting fees payable to the placement agent and other estimated offering expenses payable by the Company. The Company currently intends to use the net proceeds from the Registered Direct Offering for working capital purposes, the conduct of its business and other general corporate purposes, which may include acquisitions, investments in or licenses of complementary products, technologies or businesses.</w:t>
      </w:r>
    </w:p>
    <w:p>
      <w:pPr>
        <w:pStyle w:val="TextBody"/>
        <w:spacing w:before="240" w:after="0"/>
        <w:jc w:val="both"/>
        <w:rPr>
          <w:rFonts w:ascii="Times New Roman" w:hAnsi="Times New Roman"/>
          <w:sz w:val="20"/>
        </w:rPr>
      </w:pPr>
      <w:r>
        <w:rPr>
          <w:rFonts w:ascii="Times New Roman;serif" w:hAnsi="Times New Roman;serif"/>
          <w:b w:val="false"/>
          <w:sz w:val="20"/>
        </w:rPr>
        <w:t>Pursuant to the ASC 815-40, the September Purchase Agreements represent legally binding contracts that meets the definition of a firm commitment and as such the Company recorded a derivative related to the offering of common stock (“forward contract”) and associated warrants for the three months ended September 30, 2022. The Company also concluded both the forward contract and the warrants should be classified within stockholders’ equity within the Condensed Consolidated Balance Sheet as of September 30, 2022. Additionally, the Company recorded $12.8</w:t>
      </w:r>
      <w:r>
        <w:rPr>
          <w:rFonts w:ascii="Times New Roman" w:hAnsi="Times New Roman"/>
          <w:sz w:val="20"/>
        </w:rPr>
        <w:t xml:space="preserve"> </w:t>
      </w:r>
      <w:r>
        <w:rPr>
          <w:rFonts w:ascii="Times New Roman;serif" w:hAnsi="Times New Roman;serif"/>
          <w:b w:val="false"/>
          <w:sz w:val="20"/>
        </w:rPr>
        <w:t>million derivative expense derived from the excess of the fair-value of the issuances of equity of common shares and common stock warrants over the anticipated proceeds to be received by the Company. This expense was recorded in Loss on Initial Issuance of Equity on the Consolidated Statement of Operations for the year-ended December 31, 2022.</w:t>
      </w:r>
    </w:p>
    <w:p>
      <w:pPr>
        <w:pStyle w:val="TextBody"/>
        <w:spacing w:before="240" w:after="0"/>
        <w:jc w:val="both"/>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360" w:after="0"/>
        <w:jc w:val="left"/>
        <w:rPr>
          <w:rFonts w:ascii="Times New Roman" w:hAnsi="Times New Roman"/>
          <w:b/>
          <w:sz w:val="20"/>
        </w:rPr>
      </w:pPr>
      <w:r>
        <w:rPr>
          <w:rFonts w:ascii="Times New Roman" w:hAnsi="Times New Roman"/>
          <w:b/>
          <w:sz w:val="20"/>
        </w:rPr>
        <w:t>7.</w:t>
      </w:r>
    </w:p>
    <w:p>
      <w:pPr>
        <w:pStyle w:val="TextBody"/>
        <w:spacing w:before="360" w:after="283"/>
        <w:jc w:val="left"/>
        <w:rPr>
          <w:rFonts w:ascii="Times New Roman;serif" w:hAnsi="Times New Roman;serif"/>
          <w:b/>
          <w:sz w:val="20"/>
        </w:rPr>
      </w:pPr>
      <w:r>
        <w:rPr>
          <w:rFonts w:ascii="Times New Roman;serif" w:hAnsi="Times New Roman;serif"/>
          <w:b/>
          <w:sz w:val="20"/>
        </w:rPr>
        <w:t>STOCK-BASED COMPENSATION</w:t>
      </w:r>
    </w:p>
    <w:p>
      <w:pPr>
        <w:pStyle w:val="TextBody"/>
        <w:spacing w:before="120" w:after="0"/>
        <w:jc w:val="left"/>
        <w:rPr>
          <w:rFonts w:ascii="Times New Roman" w:hAnsi="Times New Roman"/>
          <w:sz w:val="20"/>
        </w:rPr>
      </w:pPr>
      <w:r>
        <w:rPr>
          <w:rFonts w:ascii="Times New Roman;serif" w:hAnsi="Times New Roman;serif"/>
          <w:b w:val="false"/>
          <w:sz w:val="20"/>
        </w:rPr>
        <w:t>The Company has four equity plans:</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2014 Amended and Restated Equity Incentive Plan</w:t>
      </w:r>
    </w:p>
    <w:p>
      <w:pPr>
        <w:pStyle w:val="TextBody"/>
        <w:spacing w:before="120" w:after="0"/>
        <w:jc w:val="both"/>
        <w:rPr>
          <w:rFonts w:ascii="Times New Roman" w:hAnsi="Times New Roman"/>
          <w:sz w:val="20"/>
        </w:rPr>
      </w:pPr>
      <w:r>
        <w:rPr>
          <w:rFonts w:ascii="Times New Roman;serif" w:hAnsi="Times New Roman;serif"/>
          <w:b w:val="false"/>
          <w:sz w:val="20"/>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March 31, 2023, 85,065</w:t>
      </w:r>
      <w:r>
        <w:rPr>
          <w:rFonts w:ascii="Times New Roman" w:hAnsi="Times New Roman"/>
          <w:sz w:val="20"/>
        </w:rPr>
        <w:t xml:space="preserve"> </w:t>
      </w:r>
      <w:r>
        <w:rPr>
          <w:rFonts w:ascii="Times New Roman;serif" w:hAnsi="Times New Roman;serif"/>
          <w:b w:val="false"/>
          <w:sz w:val="20"/>
        </w:rPr>
        <w:t>shares were reserved for awards available for future issuance under the Aterian 2014 Plan.</w:t>
      </w:r>
    </w:p>
    <w:p>
      <w:pPr>
        <w:pStyle w:val="TextBody"/>
        <w:spacing w:before="240" w:after="0"/>
        <w:jc w:val="both"/>
        <w:rPr>
          <w:rFonts w:ascii="Times New Roman" w:hAnsi="Times New Roman"/>
          <w:sz w:val="20"/>
        </w:rPr>
      </w:pPr>
      <w:r>
        <w:rPr>
          <w:rFonts w:ascii="Times New Roman;serif" w:hAnsi="Times New Roman;serif"/>
          <w:b/>
          <w:sz w:val="20"/>
        </w:rPr>
        <w:t>2018 Equity Incentive Plan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Company’s board of directors (the “Board”) adopted the Aterian, Inc. 2018 Equity Incentive Plan (the “2018 Plan”) on October 11, 2018. The 2018 Plan was approved by its stockholders on May 24, 2019. As of March 31, 2023, 10,201,177</w:t>
      </w:r>
      <w:r>
        <w:rPr>
          <w:rFonts w:ascii="Times New Roman" w:hAnsi="Times New Roman"/>
          <w:sz w:val="20"/>
        </w:rPr>
        <w:t xml:space="preserve"> </w:t>
      </w:r>
      <w:r>
        <w:rPr>
          <w:rFonts w:ascii="Times New Roman;serif" w:hAnsi="Times New Roman;serif"/>
          <w:b w:val="false"/>
          <w:sz w:val="20"/>
        </w:rPr>
        <w:t>shares were reserved for awards available for future issuance under the 2018 Plan.</w:t>
      </w:r>
    </w:p>
    <w:p>
      <w:pPr>
        <w:pStyle w:val="TextBody"/>
        <w:spacing w:before="0" w:after="0"/>
        <w:jc w:val="both"/>
        <w:rPr>
          <w:rFonts w:ascii="Times New Roman" w:hAnsi="Times New Roman"/>
          <w:sz w:val="20"/>
        </w:rPr>
      </w:pPr>
      <w:r>
        <w:rPr>
          <w:rFonts w:ascii="Times New Roman;serif" w:hAnsi="Times New Roman;serif"/>
          <w:b w:val="false"/>
          <w:sz w:val="20"/>
        </w:rPr>
        <w:t>Options granted to date under the Aterian 2014 Plan and the 2018 Plan generally vest either: (i) over a four-year</w:t>
      </w:r>
      <w:r>
        <w:rPr>
          <w:rFonts w:ascii="Times New Roman" w:hAnsi="Times New Roman"/>
          <w:sz w:val="20"/>
        </w:rPr>
        <w:t xml:space="preserve"> </w:t>
      </w:r>
      <w:r>
        <w:rPr>
          <w:rFonts w:ascii="Times New Roman;serif" w:hAnsi="Times New Roman;serif"/>
          <w:b w:val="false"/>
          <w:sz w:val="20"/>
        </w:rPr>
        <w:t>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w:t>
      </w:r>
      <w:r>
        <w:rPr>
          <w:rFonts w:ascii="Times New Roman" w:hAnsi="Times New Roman"/>
          <w:sz w:val="20"/>
        </w:rPr>
        <w:t xml:space="preserve"> </w:t>
      </w:r>
      <w:r>
        <w:rPr>
          <w:rFonts w:ascii="Times New Roman;serif" w:hAnsi="Times New Roman;serif"/>
          <w:b w:val="false"/>
          <w:sz w:val="20"/>
        </w:rPr>
        <w:t>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w:t>
      </w:r>
      <w:r>
        <w:rPr>
          <w:rFonts w:ascii="Times New Roman" w:hAnsi="Times New Roman"/>
          <w:sz w:val="20"/>
        </w:rPr>
        <w:t xml:space="preserve"> </w:t>
      </w:r>
      <w:r>
        <w:rPr>
          <w:rFonts w:ascii="Times New Roman;serif" w:hAnsi="Times New Roman;serif"/>
          <w:b w:val="false"/>
          <w:sz w:val="20"/>
        </w:rPr>
        <w:t>years subject to continued service with the Company.</w:t>
      </w:r>
      <w:r>
        <w:rPr>
          <w:rFonts w:ascii="Times New Roman" w:hAnsi="Times New Roman"/>
          <w:sz w:val="20"/>
        </w:rPr>
        <w:t xml:space="preserve"> </w:t>
      </w:r>
    </w:p>
    <w:p>
      <w:pPr>
        <w:pStyle w:val="TextBody"/>
        <w:spacing w:before="240" w:after="0"/>
        <w:jc w:val="both"/>
        <w:rPr>
          <w:rFonts w:ascii="Times New Roman;serif" w:hAnsi="Times New Roman;serif"/>
          <w:b/>
          <w:sz w:val="20"/>
        </w:rPr>
      </w:pPr>
      <w:r>
        <w:rPr>
          <w:rFonts w:ascii="Times New Roman;serif" w:hAnsi="Times New Roman;serif"/>
          <w:b/>
          <w:sz w:val="20"/>
        </w:rPr>
        <w:t>2019 Equity Plan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Board adopted the Aterian, Inc. 2019 Equity Plan (the “2019 Equity Plan”) on March 20, 2019. The 2019 Equity Plan was approved by its stockholders on May 24, 2019. As of March 31, 2023, there were no</w:t>
      </w:r>
      <w:r>
        <w:rPr>
          <w:rFonts w:ascii="Times New Roman" w:hAnsi="Times New Roman"/>
          <w:sz w:val="20"/>
        </w:rPr>
        <w:t xml:space="preserve"> </w:t>
      </w:r>
      <w:r>
        <w:rPr>
          <w:rFonts w:ascii="Times New Roman;serif" w:hAnsi="Times New Roman;serif"/>
          <w:b w:val="false"/>
          <w:sz w:val="20"/>
        </w:rPr>
        <w:t>shares were reserved for future issuance and there were no longer any awards outstanding under the 2019 Equity Plan. Shares of restricted common stock granted under the 2019 Equity Plan initially vested in substantially equal installments on the 6th, 12th, 18th and 24th monthly anniversary of the closing of the Company’s initial public offering (“IPO”). The Company and the 2019 Equity Plan participants subsequently agreed to extend the vesting date of the shares granted under the 2019 Equity Plan a number of times and the last remaining shares granted under the 2019 Equity Plan vested on March 14, 2022. Awards granted under the 2019 Equity Plan and not previously forfeited upon termination of service carried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catch-up expense and the remaining expense was recorded under graded vesting. In the event the service of a participant in the 2019 Equity Plan (each, a “Participant”) was terminated due to an “involuntary termination”, then all of such Participant’s unvested shares of restricted common stock were to vest on the date of such involuntary termination unless, within three business days of such termination (1) the Company’s board of directors unanimously determines that such vesting should not occur and (2) the remaining Participants holding restricted share awards covering at least 70% of the shares of restricted common stock issued and outstanding under the 2019 Equity Plan determine that such vesting should not occur. In the event of a forfeiture, voluntary or involuntary, of shares of restricted common stock granted under the 2019 Equity Plan, such shares were automatically reallocated to the remaining Participants in proportion to the number of shares of restricted common stock covered by outstanding awards that each such Participant holds.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Inducement Equity Incentive Plan</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2,700,000</w:t>
      </w:r>
      <w:r>
        <w:rPr>
          <w:rFonts w:ascii="Times New Roman" w:hAnsi="Times New Roman"/>
          <w:sz w:val="20"/>
        </w:rPr>
        <w:t xml:space="preserve"> </w:t>
      </w:r>
      <w:r>
        <w:rPr>
          <w:rFonts w:ascii="Times New Roman;serif" w:hAnsi="Times New Roman;serif"/>
          <w:b w:val="false"/>
          <w:sz w:val="20"/>
        </w:rPr>
        <w:t>shares of the Company’s common stock (subject to adjustment for recapitalizations, stock splits, reorganizations and similar transactions). The Inducement Plan is administered by the Compensation Committee and expires ten years</w:t>
      </w:r>
      <w:r>
        <w:rPr>
          <w:rFonts w:ascii="Times New Roman" w:hAnsi="Times New Roman"/>
          <w:sz w:val="20"/>
        </w:rPr>
        <w:t xml:space="preserve"> </w:t>
      </w:r>
      <w:r>
        <w:rPr>
          <w:rFonts w:ascii="Times New Roman;serif" w:hAnsi="Times New Roman;serif"/>
          <w:b w:val="false"/>
          <w:sz w:val="20"/>
        </w:rPr>
        <w:t>from the date of effectiveness. As of March 31, 2023, 2,180,000</w:t>
      </w:r>
      <w:r>
        <w:rPr>
          <w:rFonts w:ascii="Times New Roman" w:hAnsi="Times New Roman"/>
          <w:sz w:val="20"/>
        </w:rPr>
        <w:t xml:space="preserve"> </w:t>
      </w:r>
      <w:r>
        <w:rPr>
          <w:rFonts w:ascii="Times New Roman;serif" w:hAnsi="Times New Roman;serif"/>
          <w:b w:val="false"/>
          <w:sz w:val="20"/>
        </w:rPr>
        <w:t>shares were reserved for future issuance under the Inducement Plan.</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pStyle w:val="TextBody"/>
        <w:spacing w:before="240" w:after="0"/>
        <w:jc w:val="both"/>
        <w:rPr>
          <w:rFonts w:ascii="Times New Roman" w:hAnsi="Times New Roman"/>
          <w:sz w:val="20"/>
        </w:rPr>
      </w:pPr>
      <w:r>
        <w:rPr>
          <w:rFonts w:ascii="Times New Roman;serif" w:hAnsi="Times New Roman;serif"/>
          <w:b w:val="false"/>
          <w:sz w:val="20"/>
        </w:rPr>
        <w:t>The following is a summary of stock option activity during the three months ended March 31, 2023:</w:t>
      </w:r>
      <w:r>
        <w:rPr>
          <w:rFonts w:ascii="Times New Roman" w:hAnsi="Times New Roman"/>
          <w:sz w:val="20"/>
        </w:rPr>
        <w:t xml:space="preserve"> </w:t>
      </w:r>
    </w:p>
    <w:p>
      <w:pPr>
        <w:pStyle w:val="TextBody"/>
        <w:spacing w:before="0" w:after="0"/>
        <w:jc w:val="both"/>
        <w:rPr/>
      </w:pPr>
      <w:r>
        <w:rPr/>
        <w:t> </w:t>
      </w:r>
    </w:p>
    <w:tbl>
      <w:tblPr>
        <w:tblW w:w="9019" w:type="dxa"/>
        <w:jc w:val="left"/>
        <w:tblInd w:w="0" w:type="dxa"/>
        <w:tblCellMar>
          <w:top w:w="28" w:type="dxa"/>
          <w:left w:w="28" w:type="dxa"/>
          <w:bottom w:w="28" w:type="dxa"/>
          <w:right w:w="28" w:type="dxa"/>
        </w:tblCellMar>
      </w:tblPr>
      <w:tblGrid>
        <w:gridCol w:w="4141"/>
        <w:gridCol w:w="146"/>
        <w:gridCol w:w="146"/>
        <w:gridCol w:w="781"/>
        <w:gridCol w:w="166"/>
        <w:gridCol w:w="146"/>
        <w:gridCol w:w="266"/>
        <w:gridCol w:w="590"/>
        <w:gridCol w:w="146"/>
        <w:gridCol w:w="146"/>
        <w:gridCol w:w="236"/>
        <w:gridCol w:w="755"/>
        <w:gridCol w:w="146"/>
        <w:gridCol w:w="146"/>
        <w:gridCol w:w="329"/>
        <w:gridCol w:w="542"/>
        <w:gridCol w:w="191"/>
      </w:tblGrid>
      <w:tr>
        <w:trPr/>
        <w:tc>
          <w:tcPr>
            <w:tcW w:w="4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41"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 Outstanding</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Life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368,596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canceled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362,333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362,333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362,333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all options have been fully expensed.</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 summary of restricted stock award activity within the Company’s equity plans and changes for the three months ended March 31, 2023 is as follows:</w:t>
      </w:r>
    </w:p>
    <w:p>
      <w:pPr>
        <w:pStyle w:val="TextBody"/>
        <w:spacing w:before="0" w:after="0"/>
        <w:jc w:val="both"/>
        <w:rPr/>
      </w:pPr>
      <w:r>
        <w:rPr/>
        <w:t> </w:t>
      </w:r>
    </w:p>
    <w:tbl>
      <w:tblPr>
        <w:tblW w:w="5522" w:type="dxa"/>
        <w:jc w:val="left"/>
        <w:tblInd w:w="0" w:type="dxa"/>
        <w:tblCellMar>
          <w:top w:w="28" w:type="dxa"/>
          <w:left w:w="28" w:type="dxa"/>
          <w:bottom w:w="28" w:type="dxa"/>
          <w:right w:w="28" w:type="dxa"/>
        </w:tblCellMar>
      </w:tblPr>
      <w:tblGrid>
        <w:gridCol w:w="2521"/>
        <w:gridCol w:w="146"/>
        <w:gridCol w:w="146"/>
        <w:gridCol w:w="931"/>
        <w:gridCol w:w="166"/>
        <w:gridCol w:w="146"/>
        <w:gridCol w:w="397"/>
        <w:gridCol w:w="878"/>
        <w:gridCol w:w="191"/>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Restricted Stock Awards</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 Grant-</w:t>
              <w:br/>
              <w:t>Date 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January 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4,223,023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668,104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0.93</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(277,479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1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(586,233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4,027,415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March 31, 2023, the total unrecognized compensation expense related to unvested shares of restricted common stock was $14.2</w:t>
      </w:r>
      <w:r>
        <w:rPr>
          <w:rFonts w:ascii="Times New Roman" w:hAnsi="Times New Roman"/>
          <w:sz w:val="20"/>
        </w:rPr>
        <w:t xml:space="preserve"> </w:t>
      </w:r>
      <w:r>
        <w:rPr>
          <w:rFonts w:ascii="Times New Roman;serif" w:hAnsi="Times New Roman;serif"/>
          <w:b w:val="false"/>
          <w:sz w:val="20"/>
        </w:rPr>
        <w:t>million, which the Company expects to recognize over an estimated weighted-average period of 1.7</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Stock-based compensation expense is allocated based on the cost center to which the award holder belongs. The following table summarizes the total stock-based compensation expense by function, including expense related to consultants, for the three months ended March 31, 2022 and 2023 (in thousands):</w:t>
      </w:r>
    </w:p>
    <w:p>
      <w:pPr>
        <w:pStyle w:val="TextBody"/>
        <w:spacing w:before="0" w:after="0"/>
        <w:jc w:val="both"/>
        <w:rPr/>
      </w:pPr>
      <w:r>
        <w:rPr/>
        <w:t> </w:t>
      </w:r>
    </w:p>
    <w:tbl>
      <w:tblPr>
        <w:tblW w:w="6184" w:type="dxa"/>
        <w:jc w:val="left"/>
        <w:tblInd w:w="0" w:type="dxa"/>
        <w:tblCellMar>
          <w:top w:w="28" w:type="dxa"/>
          <w:left w:w="28" w:type="dxa"/>
          <w:bottom w:w="28" w:type="dxa"/>
          <w:right w:w="28" w:type="dxa"/>
        </w:tblCellMar>
      </w:tblPr>
      <w:tblGrid>
        <w:gridCol w:w="3451"/>
        <w:gridCol w:w="146"/>
        <w:gridCol w:w="272"/>
        <w:gridCol w:w="738"/>
        <w:gridCol w:w="188"/>
        <w:gridCol w:w="188"/>
        <w:gridCol w:w="272"/>
        <w:gridCol w:w="738"/>
        <w:gridCol w:w="1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8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distribution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671</w:t>
            </w:r>
          </w:p>
        </w:tc>
        <w:tc>
          <w:tcPr>
            <w:tcW w:w="1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1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2,244</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2,865</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b/>
          <w:sz w:val="20"/>
        </w:rPr>
      </w:pPr>
      <w:r>
        <w:rPr>
          <w:rFonts w:ascii="Times New Roman" w:hAnsi="Times New Roman"/>
          <w:b/>
          <w:sz w:val="20"/>
        </w:rPr>
        <w:t>8.</w:t>
      </w:r>
    </w:p>
    <w:p>
      <w:pPr>
        <w:pStyle w:val="TextBody"/>
        <w:spacing w:before="160" w:after="283"/>
        <w:jc w:val="left"/>
        <w:rPr>
          <w:rFonts w:ascii="Times New Roman;serif" w:hAnsi="Times New Roman;serif"/>
          <w:b/>
          <w:sz w:val="20"/>
        </w:rPr>
      </w:pPr>
      <w:r>
        <w:rPr>
          <w:rFonts w:ascii="Times New Roman;serif" w:hAnsi="Times New Roman;serif"/>
          <w:b/>
          <w:sz w:val="20"/>
        </w:rPr>
        <w:t xml:space="preserve">NET LOSS PER SHARE </w:t>
      </w:r>
    </w:p>
    <w:p>
      <w:pPr>
        <w:pStyle w:val="TextBody"/>
        <w:spacing w:before="120" w:after="0"/>
        <w:jc w:val="both"/>
        <w:rPr>
          <w:rFonts w:ascii="Times New Roman" w:hAnsi="Times New Roman"/>
          <w:sz w:val="20"/>
        </w:rPr>
      </w:pPr>
      <w:r>
        <w:rPr>
          <w:rFonts w:ascii="Times New Roman;serif" w:hAnsi="Times New Roman;serif"/>
          <w:b w:val="false"/>
          <w:sz w:val="20"/>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following table sets forth the computation of basic and diluted net loss per share (in thousands, except share and per share data):</w:t>
      </w:r>
      <w:r>
        <w:rPr>
          <w:rFonts w:ascii="Times New Roman" w:hAnsi="Times New Roman"/>
          <w:sz w:val="20"/>
        </w:rPr>
        <w:t xml:space="preserve"> </w:t>
      </w:r>
    </w:p>
    <w:p>
      <w:pPr>
        <w:pStyle w:val="TextBody"/>
        <w:spacing w:before="0" w:after="0"/>
        <w:jc w:val="left"/>
        <w:rPr/>
      </w:pPr>
      <w:r>
        <w:rPr/>
        <w:t> </w:t>
      </w:r>
    </w:p>
    <w:tbl>
      <w:tblPr>
        <w:tblW w:w="9689" w:type="dxa"/>
        <w:jc w:val="left"/>
        <w:tblInd w:w="0" w:type="dxa"/>
        <w:tblCellMar>
          <w:top w:w="28" w:type="dxa"/>
          <w:left w:w="28" w:type="dxa"/>
          <w:bottom w:w="28" w:type="dxa"/>
          <w:right w:w="28" w:type="dxa"/>
        </w:tblCellMar>
      </w:tblPr>
      <w:tblGrid>
        <w:gridCol w:w="6526"/>
        <w:gridCol w:w="146"/>
        <w:gridCol w:w="211"/>
        <w:gridCol w:w="1036"/>
        <w:gridCol w:w="166"/>
        <w:gridCol w:w="146"/>
        <w:gridCol w:w="211"/>
        <w:gridCol w:w="1036"/>
        <w:gridCol w:w="211"/>
      </w:tblGrid>
      <w:tr>
        <w:trPr/>
        <w:tc>
          <w:tcPr>
            <w:tcW w:w="6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526" w:type="dxa"/>
            <w:tcBorders/>
            <w:shd w:fill="auto" w:val="clear"/>
            <w:vAlign w:val="center"/>
          </w:tcPr>
          <w:p>
            <w:pPr>
              <w:pStyle w:val="TableContents"/>
              <w:spacing w:before="0" w:after="0"/>
              <w:ind w:left="0" w:right="0" w:hanging="0"/>
              <w:jc w:val="center"/>
              <w:rPr/>
            </w:pPr>
            <w:r>
              <w:rPr/>
              <w:t> </w:t>
            </w:r>
          </w:p>
        </w:tc>
        <w:tc>
          <w:tcPr>
            <w:tcW w:w="2952" w:type="dxa"/>
            <w:gridSpan w:val="7"/>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shd w:fill="auto" w:val="clear"/>
            <w:vAlign w:val="center"/>
          </w:tcPr>
          <w:p>
            <w:pPr>
              <w:pStyle w:val="TableContents"/>
              <w:spacing w:before="0" w:after="0"/>
              <w:ind w:left="0" w:right="0" w:hanging="0"/>
              <w:jc w:val="center"/>
              <w:rPr/>
            </w:pPr>
            <w:r>
              <w:rPr/>
              <w:t> </w:t>
            </w:r>
          </w:p>
        </w:tc>
      </w:tr>
      <w:tr>
        <w:trPr/>
        <w:tc>
          <w:tcPr>
            <w:tcW w:w="65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(42,776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number of shares used in computing net</w:t>
              <w:br/>
              <w: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55,141,448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76,732,539</w:t>
            </w:r>
          </w:p>
        </w:tc>
        <w:tc>
          <w:tcPr>
            <w:tcW w:w="211" w:type="dxa"/>
            <w:tcBorders/>
            <w:shd w:fill="auto" w:val="clear"/>
            <w:vAlign w:val="center"/>
          </w:tcPr>
          <w:p>
            <w:pPr>
              <w:pStyle w:val="TableContents"/>
              <w:spacing w:before="0" w:after="0"/>
              <w:ind w:left="0" w:right="0" w:hanging="0"/>
              <w:jc w:val="left"/>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65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Anti-dilutive shares excluded from computation of net loss per share (in shares)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6,009,126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23,755,130</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40" w:after="0"/>
        <w:jc w:val="left"/>
        <w:rPr/>
      </w:pPr>
      <w:r>
        <w:rPr/>
        <w:t> </w:t>
      </w:r>
    </w:p>
    <w:p>
      <w:pPr>
        <w:pStyle w:val="TextBody"/>
        <w:spacing w:before="240" w:after="0"/>
        <w:jc w:val="left"/>
        <w:rPr>
          <w:rFonts w:ascii="Times New Roman" w:hAnsi="Times New Roman"/>
          <w:b/>
          <w:sz w:val="20"/>
        </w:rPr>
      </w:pPr>
      <w:r>
        <w:rPr>
          <w:rFonts w:ascii="Times New Roman" w:hAnsi="Times New Roman"/>
          <w:b/>
          <w:sz w:val="20"/>
        </w:rPr>
        <w:t>9.</w:t>
      </w:r>
    </w:p>
    <w:p>
      <w:pPr>
        <w:pStyle w:val="TextBody"/>
        <w:spacing w:before="240" w:after="283"/>
        <w:jc w:val="left"/>
        <w:rPr>
          <w:rFonts w:ascii="Times New Roman;serif" w:hAnsi="Times New Roman;serif"/>
          <w:b/>
          <w:sz w:val="20"/>
        </w:rPr>
      </w:pPr>
      <w:r>
        <w:rPr>
          <w:rFonts w:ascii="Times New Roman;serif" w:hAnsi="Times New Roman;serif"/>
          <w:b/>
          <w:sz w:val="20"/>
        </w:rPr>
        <w:t>COMMITMENTS AND CONTINGENCIES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18"/>
        </w:rPr>
        <w:t>Sales or Other Similar Taxes</w:t>
      </w:r>
      <w:r>
        <w:rPr>
          <w:rFonts w:ascii="Times New Roman" w:hAnsi="Times New Roman"/>
          <w:sz w:val="20"/>
        </w:rPr>
        <w:t>—</w:t>
      </w:r>
      <w:r>
        <w:rPr>
          <w:rFonts w:ascii="Times New Roman;serif" w:hAnsi="Times New Roman;serif"/>
          <w:b w:val="false"/>
          <w:sz w:val="20"/>
        </w:rPr>
        <w:t>Based on the location of the Company’s current operations, the majority of sales tax is collected and remitted either by the 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each of December 31, 2022 and March 31, 2023, the Company estimates that the potential liability, including current sales tax payable is approximately $0.7</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18"/>
        </w:rPr>
        <w:t>Settlement Agreement</w:t>
      </w:r>
      <w:r>
        <w:rPr>
          <w:rFonts w:ascii="Times New Roman" w:hAnsi="Times New Roman"/>
          <w:sz w:val="20"/>
        </w:rPr>
        <w:t>—</w:t>
      </w:r>
      <w:r>
        <w:rPr>
          <w:rFonts w:ascii="Times New Roman;serif" w:hAnsi="Times New Roman;serif"/>
          <w:b w:val="false"/>
          <w:sz w:val="20"/>
        </w:rPr>
        <w:t>On May 2, 2021, the Company entered into a settlement agreement with one of the Company’s suppliers who agreed to pay the amount of $3.0</w:t>
      </w:r>
      <w:r>
        <w:rPr>
          <w:rFonts w:ascii="Times New Roman" w:hAnsi="Times New Roman"/>
          <w:sz w:val="20"/>
        </w:rPr>
        <w:t xml:space="preserve"> </w:t>
      </w:r>
      <w:r>
        <w:rPr>
          <w:rFonts w:ascii="Times New Roman;serif" w:hAnsi="Times New Roman;serif"/>
          <w:b w:val="false"/>
          <w:sz w:val="20"/>
        </w:rPr>
        <w:t>million to the Company in three</w:t>
      </w:r>
      <w:r>
        <w:rPr>
          <w:rFonts w:ascii="Times New Roman" w:hAnsi="Times New Roman"/>
          <w:sz w:val="20"/>
        </w:rPr>
        <w:t xml:space="preserve"> </w:t>
      </w:r>
      <w:r>
        <w:rPr>
          <w:rFonts w:ascii="Times New Roman;serif" w:hAnsi="Times New Roman;serif"/>
          <w:b w:val="false"/>
          <w:sz w:val="20"/>
        </w:rPr>
        <w:t>installments of $1.0</w:t>
      </w:r>
      <w:r>
        <w:rPr>
          <w:rFonts w:ascii="Times New Roman" w:hAnsi="Times New Roman"/>
          <w:sz w:val="20"/>
        </w:rPr>
        <w:t xml:space="preserve"> </w:t>
      </w:r>
      <w:r>
        <w:rPr>
          <w:rFonts w:ascii="Times New Roman;serif" w:hAnsi="Times New Roman;serif"/>
          <w:b w:val="false"/>
          <w:sz w:val="20"/>
        </w:rPr>
        <w:t>million each, with the first payment to be paid on or before May 31, 2021, the second payment to be paid on or before September 30, 2021, and the third payment to be paid on or before November 30, 2021. Further, the supplier agreed to deliver certain goods as part of this settlement by September 30, 2021. Through the date of the accompanying Condensed Consolidated Financial Statements, the supplier has not paid in full its required first payment of $1.0</w:t>
      </w:r>
      <w:r>
        <w:rPr>
          <w:rFonts w:ascii="Times New Roman" w:hAnsi="Times New Roman"/>
          <w:sz w:val="20"/>
        </w:rPr>
        <w:t xml:space="preserve"> </w:t>
      </w:r>
      <w:r>
        <w:rPr>
          <w:rFonts w:ascii="Times New Roman;serif" w:hAnsi="Times New Roman;serif"/>
          <w:b w:val="false"/>
          <w:sz w:val="20"/>
        </w:rPr>
        <w:t>million nor has it delivered the required quantity of goods. The Company fully reserved $4.1</w:t>
      </w:r>
      <w:r>
        <w:rPr>
          <w:rFonts w:ascii="Times New Roman" w:hAnsi="Times New Roman"/>
          <w:sz w:val="20"/>
        </w:rPr>
        <w:t xml:space="preserve"> </w:t>
      </w:r>
      <w:r>
        <w:rPr>
          <w:rFonts w:ascii="Times New Roman;serif" w:hAnsi="Times New Roman;serif"/>
          <w:b w:val="false"/>
          <w:sz w:val="20"/>
        </w:rPr>
        <w:t>million within Prepaid and Other Current Assets on its Consolidated Financial Statements during the year-ended December 31, 2022. The Company has commenced legal action against the supplier and certain other parties to the matter. One of the parties to the matter has filed for bankruptcy and such legal action is being stayed until the resolution of such bankruptcy. The Company continues to reserve its legal options and rights on this matter as of March 31, 2023.</w:t>
      </w:r>
    </w:p>
    <w:p>
      <w:pPr>
        <w:pStyle w:val="TextBody"/>
        <w:spacing w:before="0" w:after="0"/>
        <w:jc w:val="both"/>
        <w:rPr>
          <w:rFonts w:ascii="Times New Roman" w:hAnsi="Times New Roman"/>
          <w:sz w:val="20"/>
        </w:rPr>
      </w:pPr>
      <w:r>
        <w:rPr>
          <w:rFonts w:ascii="Times New Roman;serif" w:hAnsi="Times New Roman;serif"/>
          <w:b/>
          <w:sz w:val="18"/>
        </w:rPr>
        <w:t>Legal Proceedings</w:t>
      </w:r>
      <w:r>
        <w:rPr>
          <w:rFonts w:ascii="Times New Roman" w:hAnsi="Times New Roman"/>
          <w:sz w:val="20"/>
        </w:rPr>
        <w:t>—</w:t>
      </w:r>
      <w:r>
        <w:rPr>
          <w:rFonts w:ascii="Times New Roman;serif" w:hAnsi="Times New Roman;serif"/>
          <w:b w:val="false"/>
          <w:sz w:val="20"/>
        </w:rPr>
        <w:t>The Company is party to various actions and claims arising in the normal course of business. The Company does not believe that the 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pStyle w:val="TextBody"/>
        <w:spacing w:before="0" w:after="0"/>
        <w:jc w:val="both"/>
        <w:rPr>
          <w:rFonts w:ascii="Times New Roman" w:hAnsi="Times New Roman"/>
          <w:sz w:val="20"/>
        </w:rPr>
      </w:pPr>
      <w:r>
        <w:rPr>
          <w:rFonts w:ascii="Times New Roman;serif" w:hAnsi="Times New Roman;serif"/>
          <w:b/>
          <w:sz w:val="20"/>
        </w:rPr>
        <w:t>Shareholder Derivative Actions Related to the Securities Class Action</w:t>
      </w:r>
      <w:r>
        <w:rPr>
          <w:rFonts w:ascii="Times New Roman" w:hAnsi="Times New Roman"/>
          <w:sz w:val="20"/>
        </w:rPr>
        <w:t>—</w:t>
      </w:r>
      <w:r>
        <w:rPr>
          <w:rFonts w:ascii="Times New Roman;serif" w:hAnsi="Times New Roman;serif"/>
          <w:b w:val="false"/>
          <w:sz w:val="20"/>
        </w:rPr>
        <w:t>On October 21, October 25 and November 10, 2021, three shareholder derivative actions were filed on behalf of the Company by Shaoxuan Zhang, Michael Sheller and Tyler Magnus in the U.S. District Court for the Southern District of New York. These actions, collectively, name Yaniv Sarig, Fabrice Hamaide, Arturo Rodriguez, Greg B. Petersen, Bari A. Harlam, Amy von Walter, William Kurtz, Roi Zion Zahut, Joseph A. Risico, Tomer Pascal and Mihal Chaouat-Fix as individual defendants, and the Company as a nominal defendant. These actions are predicated on substantively the same factual allegations contained in the above-described securities class action which was resolved via settlement in September 2022. The Company believes the allegations are without merit and continues to deny each of the claims and allegations of wrongdoing. On December 12, 2022, the parties reached an agreement and entered into a Stipulation and Agreement of Settlement (the “Stipulation”) to resolve this derivative action. Under the Stipulation, the Company agreed to adopt certain corporate governance reforms, the terms of which are outlined in Exhibit A to the Stipulation, and a payment of the Plaintiffs’ attorneys’ fees and expenses of $0.3</w:t>
      </w:r>
      <w:r>
        <w:rPr>
          <w:rFonts w:ascii="Times New Roman" w:hAnsi="Times New Roman"/>
          <w:sz w:val="20"/>
        </w:rPr>
        <w:t xml:space="preserve"> </w:t>
      </w:r>
      <w:r>
        <w:rPr>
          <w:rFonts w:ascii="Times New Roman;serif" w:hAnsi="Times New Roman;serif"/>
          <w:b w:val="false"/>
          <w:sz w:val="20"/>
        </w:rPr>
        <w:t>million The proposed settlement was preliminarily approved by the Court on December 29, 2022, the Company made the agreed $0.3</w:t>
      </w:r>
      <w:r>
        <w:rPr>
          <w:rFonts w:ascii="Times New Roman" w:hAnsi="Times New Roman"/>
          <w:sz w:val="20"/>
        </w:rPr>
        <w:t xml:space="preserve"> </w:t>
      </w:r>
      <w:r>
        <w:rPr>
          <w:rFonts w:ascii="Times New Roman;serif" w:hAnsi="Times New Roman;serif"/>
          <w:b w:val="false"/>
          <w:sz w:val="20"/>
        </w:rPr>
        <w:t>million payment during the three months ended March 31, 2023. The final settlement was approved by the Court on March 17, 2023.</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18"/>
        </w:rPr>
        <w:t>Mueller Action</w:t>
      </w:r>
      <w:r>
        <w:rPr>
          <w:rFonts w:ascii="Times New Roman" w:hAnsi="Times New Roman"/>
          <w:sz w:val="20"/>
        </w:rPr>
        <w:t>—</w:t>
      </w:r>
      <w:r>
        <w:rPr>
          <w:rFonts w:ascii="Times New Roman;serif" w:hAnsi="Times New Roman;serif"/>
          <w:b w:val="false"/>
          <w:sz w:val="20"/>
        </w:rPr>
        <w:t>In October 2021, the Company received a class action notification and pre-lawsuit demand letter demanding corrective action with respect to the marketing, advertising and labeling of certain products under the Mueller brand (the “Mueller Action”). In April 2022, the parties reached an agreement in principle to resolve this potential action for $0.5</w:t>
      </w:r>
      <w:r>
        <w:rPr>
          <w:rFonts w:ascii="Times New Roman" w:hAnsi="Times New Roman"/>
          <w:sz w:val="20"/>
        </w:rPr>
        <w:t xml:space="preserve"> </w:t>
      </w:r>
      <w:r>
        <w:rPr>
          <w:rFonts w:ascii="Times New Roman;serif" w:hAnsi="Times New Roman;serif"/>
          <w:b w:val="false"/>
          <w:sz w:val="20"/>
        </w:rPr>
        <w:t>million in cash and $0.3</w:t>
      </w:r>
      <w:r>
        <w:rPr>
          <w:rFonts w:ascii="Times New Roman" w:hAnsi="Times New Roman"/>
          <w:sz w:val="20"/>
        </w:rPr>
        <w:t xml:space="preserve"> </w:t>
      </w:r>
      <w:r>
        <w:rPr>
          <w:rFonts w:ascii="Times New Roman;serif" w:hAnsi="Times New Roman;serif"/>
          <w:b w:val="false"/>
          <w:sz w:val="20"/>
        </w:rPr>
        <w:t>million worth of coupons, which the Company accrued $0.8</w:t>
      </w:r>
      <w:r>
        <w:rPr>
          <w:rFonts w:ascii="Times New Roman" w:hAnsi="Times New Roman"/>
          <w:sz w:val="20"/>
        </w:rPr>
        <w:t xml:space="preserve"> </w:t>
      </w:r>
      <w:r>
        <w:rPr>
          <w:rFonts w:ascii="Times New Roman;serif" w:hAnsi="Times New Roman;serif"/>
          <w:b w:val="false"/>
          <w:sz w:val="20"/>
        </w:rPr>
        <w:t>million in the three months ended March 31, 2022, subject to negotiation and the execution of final settlement documents and court approval. If that process does not succeed, the Company is prepared to continue the full defense of this action.</w:t>
      </w:r>
    </w:p>
    <w:p>
      <w:pPr>
        <w:pStyle w:val="TextBody"/>
        <w:spacing w:before="0" w:after="0"/>
        <w:jc w:val="both"/>
        <w:rPr>
          <w:rFonts w:ascii="Times New Roman" w:hAnsi="Times New Roman"/>
          <w:sz w:val="20"/>
        </w:rPr>
      </w:pPr>
      <w:r>
        <w:rPr>
          <w:rFonts w:ascii="Times New Roman;serif" w:hAnsi="Times New Roman;serif"/>
          <w:b/>
          <w:sz w:val="18"/>
        </w:rPr>
        <w:t>Earn-out Payment Dispute</w:t>
      </w:r>
      <w:r>
        <w:rPr>
          <w:rFonts w:ascii="Times New Roman" w:hAnsi="Times New Roman"/>
          <w:sz w:val="20"/>
        </w:rPr>
        <w:t>—</w:t>
      </w:r>
      <w:r>
        <w:rPr>
          <w:rFonts w:ascii="Times New Roman;serif" w:hAnsi="Times New Roman;serif"/>
          <w:b w:val="false"/>
          <w:sz w:val="20"/>
        </w:rPr>
        <w:t>On February 24, 2022, the Company received a notice disputing the Company’s calculation of the earn-out payment to be paid to Josef Eitan and Ran Nir pursuant to the Stock Purchase Agreement (the “PPD Stock Purchase Agreement”), dated as of May 5, 2021, by and among the Company, Truweo, LLC, Photo Paper Direct Ltd, Josef Eitan and Ran Nir. The Company is in discussions with representatives of Mr. Eitan and Mr. Nir, who believe they are entitled to the full earn-out under the terms of the PPD Stock Purchase Agreement, whereas the Company believes they are not. Mr. Eitan and Mr. Nir filed a motion to compel arbitration in the Southern District of New York on September 14, 2022. The Company filed its motion to oppose such motion on October 28, 2022, believes its calculations are accurate and intends to vigorously defend itself.</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Leases</w:t>
      </w:r>
      <w:r>
        <w:rPr>
          <w:rFonts w:ascii="Times New Roman" w:hAnsi="Times New Roman"/>
          <w:sz w:val="20"/>
        </w:rPr>
        <w:t>—</w:t>
      </w:r>
      <w:r>
        <w:rPr>
          <w:rFonts w:ascii="Times New Roman;serif" w:hAnsi="Times New Roman;serif"/>
          <w:b w:val="false"/>
          <w:sz w:val="20"/>
        </w:rPr>
        <w:t>The Company’s minimum lease liabilities have not changed significantly during the three months ended March 31, 2023.</w:t>
      </w:r>
    </w:p>
    <w:p>
      <w:pPr>
        <w:pStyle w:val="TextBody"/>
        <w:spacing w:before="0" w:after="0"/>
        <w:jc w:val="left"/>
        <w:rPr>
          <w:rFonts w:ascii="Times New Roman" w:hAnsi="Times New Roman"/>
          <w:b/>
          <w:sz w:val="20"/>
        </w:rPr>
      </w:pPr>
      <w:r>
        <w:rPr>
          <w:rFonts w:ascii="Times New Roman" w:hAnsi="Times New Roman"/>
          <w:b/>
          <w:sz w:val="20"/>
        </w:rPr>
        <w:t>10.</w:t>
      </w:r>
    </w:p>
    <w:p>
      <w:pPr>
        <w:pStyle w:val="TextBody"/>
        <w:jc w:val="left"/>
        <w:rPr>
          <w:rFonts w:ascii="Times New Roman;serif" w:hAnsi="Times New Roman;serif"/>
          <w:b/>
          <w:sz w:val="20"/>
        </w:rPr>
      </w:pPr>
      <w:r>
        <w:rPr>
          <w:rFonts w:ascii="Times New Roman;serif" w:hAnsi="Times New Roman;serif"/>
          <w:b/>
          <w:sz w:val="20"/>
        </w:rPr>
        <w:t>CONTINGENT EARN-OUT LIABILITIES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 (loss).</w:t>
      </w:r>
    </w:p>
    <w:p>
      <w:pPr>
        <w:pStyle w:val="TextBody"/>
        <w:spacing w:before="240" w:after="120"/>
        <w:jc w:val="both"/>
        <w:rPr>
          <w:rFonts w:ascii="Times New Roman" w:hAnsi="Times New Roman"/>
          <w:sz w:val="20"/>
        </w:rPr>
      </w:pPr>
      <w:r>
        <w:rPr>
          <w:rFonts w:ascii="Times New Roman;serif" w:hAnsi="Times New Roman;serif"/>
          <w:b w:val="false"/>
          <w:sz w:val="20"/>
        </w:rPr>
        <w:t>On December 1, 2020, the Company acquired the assets of leading e-commerce business brands Mueller, Pursteam, Pohl and Schmitt, and Spiralizer (the “Smash Assets”) for total consideration of (i) $25.0</w:t>
      </w:r>
      <w:r>
        <w:rPr>
          <w:rFonts w:ascii="Times New Roman" w:hAnsi="Times New Roman"/>
          <w:sz w:val="20"/>
        </w:rPr>
        <w:t xml:space="preserve"> </w:t>
      </w:r>
      <w:r>
        <w:rPr>
          <w:rFonts w:ascii="Times New Roman;serif" w:hAnsi="Times New Roman;serif"/>
          <w:b w:val="false"/>
          <w:sz w:val="20"/>
        </w:rPr>
        <w:t>million, (ii) 4,220,000</w:t>
      </w:r>
      <w:r>
        <w:rPr>
          <w:rFonts w:ascii="Times New Roman" w:hAnsi="Times New Roman"/>
          <w:sz w:val="20"/>
        </w:rPr>
        <w:t xml:space="preserve"> </w:t>
      </w:r>
      <w:r>
        <w:rPr>
          <w:rFonts w:ascii="Times New Roman;serif" w:hAnsi="Times New Roman;serif"/>
          <w:b w:val="false"/>
          <w:sz w:val="20"/>
        </w:rPr>
        <w:t>shares of common stock, the cost basis of which was $6.89</w:t>
      </w:r>
      <w:r>
        <w:rPr>
          <w:rFonts w:ascii="Times New Roman" w:hAnsi="Times New Roman"/>
          <w:sz w:val="20"/>
        </w:rPr>
        <w:t xml:space="preserve"> </w:t>
      </w:r>
      <w:r>
        <w:rPr>
          <w:rFonts w:ascii="Times New Roman;serif" w:hAnsi="Times New Roman;serif"/>
          <w:b w:val="false"/>
          <w:sz w:val="20"/>
        </w:rPr>
        <w:t>(closing stock price at closing of the transaction), of which 164,000</w:t>
      </w:r>
      <w:r>
        <w:rPr>
          <w:rFonts w:ascii="Times New Roman" w:hAnsi="Times New Roman"/>
          <w:sz w:val="20"/>
        </w:rPr>
        <w:t xml:space="preserve"> </w:t>
      </w:r>
      <w:r>
        <w:rPr>
          <w:rFonts w:ascii="Times New Roman;serif" w:hAnsi="Times New Roman;serif"/>
          <w:b w:val="false"/>
          <w:sz w:val="20"/>
        </w:rPr>
        <w:t>of such shares were issued to the sellers brokers and (iii) a seller note in the amount of $15.6</w:t>
      </w:r>
      <w:r>
        <w:rPr>
          <w:rFonts w:ascii="Times New Roman" w:hAnsi="Times New Roman"/>
          <w:sz w:val="20"/>
        </w:rPr>
        <w:t xml:space="preserve"> </w:t>
      </w:r>
      <w:r>
        <w:rPr>
          <w:rFonts w:ascii="Times New Roman;serif" w:hAnsi="Times New Roman;serif"/>
          <w:b w:val="false"/>
          <w:sz w:val="20"/>
        </w:rPr>
        <w:t>million, representing the value of certain inventory that the sellers had paid for but not yet sold as of the closing date. As part of the acquisition of the Smash Assets, the sellers of the Smash Assets are entitled to earn-out payments based on the achievement of certain contribution margin thresholds on certain products of the acquired business.</w:t>
      </w:r>
      <w:r>
        <w:rPr>
          <w:rFonts w:ascii="Times New Roman" w:hAnsi="Times New Roman"/>
          <w:sz w:val="20"/>
        </w:rPr>
        <w:t xml:space="preserve"> </w:t>
      </w:r>
    </w:p>
    <w:p>
      <w:pPr>
        <w:pStyle w:val="TextBody"/>
        <w:spacing w:before="240" w:after="120"/>
        <w:jc w:val="both"/>
        <w:rPr>
          <w:rFonts w:ascii="Times New Roman" w:hAnsi="Times New Roman"/>
          <w:sz w:val="20"/>
        </w:rPr>
      </w:pPr>
      <w:r>
        <w:rPr>
          <w:rFonts w:ascii="Times New Roman;serif" w:hAnsi="Times New Roman;serif"/>
          <w:b w:val="false"/>
          <w:sz w:val="20"/>
        </w:rPr>
        <w:t>As of December 31, 2022 and March 31, 2023, there was no</w:t>
      </w:r>
      <w:r>
        <w:rPr>
          <w:rFonts w:ascii="Times New Roman" w:hAnsi="Times New Roman"/>
          <w:sz w:val="20"/>
        </w:rPr>
        <w:t xml:space="preserve"> </w:t>
      </w:r>
      <w:r>
        <w:rPr>
          <w:rFonts w:ascii="Times New Roman;serif" w:hAnsi="Times New Roman;serif"/>
          <w:b w:val="false"/>
          <w:sz w:val="20"/>
        </w:rPr>
        <w:t>remaining earn-out liability related to Smash Assets.</w:t>
      </w:r>
    </w:p>
    <w:p>
      <w:pPr>
        <w:pStyle w:val="TextBody"/>
        <w:spacing w:before="240" w:after="0"/>
        <w:jc w:val="both"/>
        <w:rPr>
          <w:rFonts w:ascii="Times New Roman" w:hAnsi="Times New Roman"/>
          <w:sz w:val="20"/>
        </w:rPr>
      </w:pPr>
      <w:r>
        <w:rPr>
          <w:rFonts w:ascii="Times New Roman;serif" w:hAnsi="Times New Roman;serif"/>
          <w:b w:val="false"/>
          <w:sz w:val="20"/>
        </w:rPr>
        <w:t>As part of the acquisition of the Squatty Potty Assets, Squatty Potty is entitled to earn-out payments based on the achievement of certain contribution margin thresholds on certain products of the acquired business. If the earn-out consideration event occurs in the 12 months ended December 31, 2021, the maximum payment amount is $3.9</w:t>
      </w:r>
      <w:r>
        <w:rPr>
          <w:rFonts w:ascii="Times New Roman" w:hAnsi="Times New Roman"/>
          <w:sz w:val="20"/>
        </w:rPr>
        <w:t xml:space="preserve"> </w:t>
      </w:r>
      <w:r>
        <w:rPr>
          <w:rFonts w:ascii="Times New Roman;serif" w:hAnsi="Times New Roman;serif"/>
          <w:b w:val="false"/>
          <w:sz w:val="20"/>
        </w:rPr>
        <w:t>million and if the termination of the transition service agreement is prior to the date that is nine months following the Closing Date, an additional $3.9</w:t>
      </w:r>
      <w:r>
        <w:rPr>
          <w:rFonts w:ascii="Times New Roman" w:hAnsi="Times New Roman"/>
          <w:sz w:val="20"/>
        </w:rPr>
        <w:t xml:space="preserve"> </w:t>
      </w:r>
      <w:r>
        <w:rPr>
          <w:rFonts w:ascii="Times New Roman;serif" w:hAnsi="Times New Roman;serif"/>
          <w:b w:val="false"/>
          <w:sz w:val="20"/>
        </w:rPr>
        <w:t>million.</w:t>
      </w:r>
    </w:p>
    <w:p>
      <w:pPr>
        <w:pStyle w:val="TextBody"/>
        <w:spacing w:before="240" w:after="0"/>
        <w:jc w:val="both"/>
        <w:rPr>
          <w:rFonts w:ascii="Times New Roman" w:hAnsi="Times New Roman"/>
          <w:sz w:val="20"/>
        </w:rPr>
      </w:pPr>
      <w:r>
        <w:rPr>
          <w:rFonts w:ascii="Times New Roman;serif" w:hAnsi="Times New Roman;serif"/>
          <w:b w:val="false"/>
          <w:sz w:val="20"/>
        </w:rPr>
        <w:t>As of May 5, 2021, the acquisition date, the initial fair value amount of the earn-out payment with respect to the Squatty Potty Assets was appropriately $3.5</w:t>
      </w:r>
      <w:r>
        <w:rPr>
          <w:rFonts w:ascii="Times New Roman" w:hAnsi="Times New Roman"/>
          <w:sz w:val="20"/>
        </w:rPr>
        <w:t xml:space="preserve"> </w:t>
      </w:r>
      <w:r>
        <w:rPr>
          <w:rFonts w:ascii="Times New Roman;serif" w:hAnsi="Times New Roman;serif"/>
          <w:b w:val="false"/>
          <w:sz w:val="20"/>
        </w:rPr>
        <w:t>million. As of December 31, 2022 and March 31, 2023, there was no</w:t>
      </w:r>
      <w:r>
        <w:rPr>
          <w:rFonts w:ascii="Times New Roman" w:hAnsi="Times New Roman"/>
          <w:sz w:val="20"/>
        </w:rPr>
        <w:t xml:space="preserve"> </w:t>
      </w:r>
      <w:r>
        <w:rPr>
          <w:rFonts w:ascii="Times New Roman;serif" w:hAnsi="Times New Roman;serif"/>
          <w:b w:val="false"/>
          <w:sz w:val="20"/>
        </w:rPr>
        <w:t>remaining earn-out liability related to Squatty Potty.</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following table summarizes the changes in the carrying value of estimated contingent earn-out liabilities as of December 31, 2022 (in thousands):</w:t>
      </w:r>
    </w:p>
    <w:p>
      <w:pPr>
        <w:pStyle w:val="TextBody"/>
        <w:spacing w:before="0" w:after="0"/>
        <w:jc w:val="both"/>
        <w:rPr/>
      </w:pPr>
      <w:r>
        <w:rPr/>
        <w:t> </w:t>
      </w:r>
    </w:p>
    <w:tbl>
      <w:tblPr>
        <w:tblW w:w="7963" w:type="dxa"/>
        <w:jc w:val="left"/>
        <w:tblInd w:w="0" w:type="dxa"/>
        <w:tblCellMar>
          <w:top w:w="28" w:type="dxa"/>
          <w:left w:w="28" w:type="dxa"/>
          <w:bottom w:w="28" w:type="dxa"/>
          <w:right w:w="28" w:type="dxa"/>
        </w:tblCellMar>
      </w:tblPr>
      <w:tblGrid>
        <w:gridCol w:w="4456"/>
        <w:gridCol w:w="146"/>
        <w:gridCol w:w="211"/>
        <w:gridCol w:w="631"/>
        <w:gridCol w:w="166"/>
        <w:gridCol w:w="146"/>
        <w:gridCol w:w="211"/>
        <w:gridCol w:w="631"/>
        <w:gridCol w:w="166"/>
        <w:gridCol w:w="146"/>
        <w:gridCol w:w="211"/>
        <w:gridCol w:w="631"/>
        <w:gridCol w:w="211"/>
      </w:tblGrid>
      <w:tr>
        <w:trPr/>
        <w:tc>
          <w:tcPr>
            <w:tcW w:w="4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15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xml:space="preserve">Smash </w:t>
              <w:br/>
              <w:t>Assets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xml:space="preserve">Squatty </w:t>
              <w:br/>
              <w:t>Potty</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211"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January 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9,223</w:t>
            </w:r>
          </w:p>
        </w:tc>
        <w:tc>
          <w:tcPr>
            <w:tcW w:w="21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Payment of contingent earn-out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There was no</w:t>
      </w:r>
      <w:r>
        <w:rPr>
          <w:rFonts w:ascii="Times New Roman" w:hAnsi="Times New Roman"/>
          <w:sz w:val="20"/>
        </w:rPr>
        <w:t xml:space="preserve"> </w:t>
      </w:r>
      <w:r>
        <w:rPr>
          <w:rFonts w:ascii="Times New Roman;serif" w:hAnsi="Times New Roman;serif"/>
          <w:b w:val="false"/>
          <w:sz w:val="20"/>
        </w:rPr>
        <w:t>activity for contingent earn-out liabilities for the three months ending March 31, 2023.</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60" w:after="0"/>
        <w:jc w:val="left"/>
        <w:rPr>
          <w:rFonts w:ascii="Times New Roman" w:hAnsi="Times New Roman"/>
          <w:b/>
          <w:sz w:val="20"/>
        </w:rPr>
      </w:pPr>
      <w:r>
        <w:rPr>
          <w:rFonts w:ascii="Times New Roman" w:hAnsi="Times New Roman"/>
          <w:b/>
          <w:sz w:val="20"/>
        </w:rPr>
        <w:t>11.</w:t>
      </w:r>
    </w:p>
    <w:p>
      <w:pPr>
        <w:pStyle w:val="TextBody"/>
        <w:spacing w:before="160" w:after="283"/>
        <w:jc w:val="left"/>
        <w:rPr>
          <w:rFonts w:ascii="Times New Roman;serif" w:hAnsi="Times New Roman;serif"/>
          <w:b/>
          <w:sz w:val="20"/>
        </w:rPr>
      </w:pPr>
      <w:r>
        <w:rPr>
          <w:rFonts w:ascii="Times New Roman;serif" w:hAnsi="Times New Roman;serif"/>
          <w:b/>
          <w:sz w:val="20"/>
        </w:rPr>
        <w:t xml:space="preserve">GOODWILL AND INTANGIBLES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following tables summarize the changes in the Company’s intangible assets as of December 31, 2022 (in thousands):</w:t>
      </w:r>
    </w:p>
    <w:p>
      <w:pPr>
        <w:pStyle w:val="TextBody"/>
        <w:spacing w:before="0" w:after="0"/>
        <w:jc w:val="both"/>
        <w:rPr/>
      </w:pPr>
      <w:r>
        <w:rPr/>
        <w:t> </w:t>
      </w:r>
    </w:p>
    <w:tbl>
      <w:tblPr>
        <w:tblW w:w="7639" w:type="dxa"/>
        <w:jc w:val="left"/>
        <w:tblInd w:w="0" w:type="dxa"/>
        <w:tblCellMar>
          <w:top w:w="28" w:type="dxa"/>
          <w:left w:w="28" w:type="dxa"/>
          <w:bottom w:w="28" w:type="dxa"/>
          <w:right w:w="28" w:type="dxa"/>
        </w:tblCellMar>
      </w:tblPr>
      <w:tblGrid>
        <w:gridCol w:w="886"/>
        <w:gridCol w:w="146"/>
        <w:gridCol w:w="398"/>
        <w:gridCol w:w="1477"/>
        <w:gridCol w:w="146"/>
        <w:gridCol w:w="146"/>
        <w:gridCol w:w="265"/>
        <w:gridCol w:w="531"/>
        <w:gridCol w:w="178"/>
        <w:gridCol w:w="178"/>
        <w:gridCol w:w="257"/>
        <w:gridCol w:w="1028"/>
        <w:gridCol w:w="166"/>
        <w:gridCol w:w="146"/>
        <w:gridCol w:w="566"/>
        <w:gridCol w:w="934"/>
        <w:gridCol w:w="191"/>
      </w:tblGrid>
      <w:tr>
        <w:trPr/>
        <w:tc>
          <w:tcPr>
            <w:tcW w:w="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8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Year-Ended December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Impairments (1)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119,941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4"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8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178" w:type="dxa"/>
            <w:tcBorders/>
            <w:shd w:fill="auto" w:val="clear"/>
            <w:vAlign w:val="center"/>
          </w:tcPr>
          <w:p>
            <w:pPr>
              <w:pStyle w:val="TableContents"/>
              <w:spacing w:before="0" w:after="0"/>
              <w:ind w:left="0" w:right="0" w:hanging="0"/>
              <w:jc w:val="righ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85"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both"/>
        <w:rPr>
          <w:rFonts w:ascii="Times New Roman" w:hAnsi="Times New Roman"/>
          <w:b w:val="false"/>
          <w:sz w:val="20"/>
        </w:rPr>
      </w:pPr>
      <w:r>
        <w:rPr>
          <w:rFonts w:ascii="Times New Roman" w:hAnsi="Times New Roman"/>
          <w:b w:val="false"/>
          <w:sz w:val="20"/>
        </w:rPr>
        <w:t>(1)</w:t>
      </w:r>
    </w:p>
    <w:p>
      <w:pPr>
        <w:pStyle w:val="TextBody"/>
        <w:jc w:val="both"/>
        <w:rPr>
          <w:rFonts w:ascii="Calibri;sans-serif" w:hAnsi="Calibri;sans-serif"/>
          <w:sz w:val="22"/>
        </w:rPr>
      </w:pPr>
      <w:r>
        <w:rPr>
          <w:rFonts w:ascii="Times New Roman;serif" w:hAnsi="Times New Roman;serif"/>
          <w:b w:val="false"/>
          <w:sz w:val="20"/>
        </w:rPr>
        <w:t>The Company evaluated current economic conditions during 2022, including the impact of the Federal Reserve further increasing the risk-free interest rate, as well as the inflationary pressure on product and labor costs and operational impacts attributable to continued global supply chain disruptions. The Company believed that these conditions were factors in our market capitalization falling below the book value of net assets during the fiscal quarters ending March 31, 2022 and September 30, 2022. Accordingly, the Company concluded a triggering event had occurred in each of these periods and performed interim goodwill impairment analyses. As a result, the Company recorded a goodwill impairment charge of approximately $29.0</w:t>
      </w:r>
      <w:r>
        <w:rPr>
          <w:rFonts w:ascii="Calibri;sans-serif" w:hAnsi="Calibri;sans-serif"/>
          <w:sz w:val="22"/>
        </w:rPr>
        <w:t xml:space="preserve"> </w:t>
      </w:r>
      <w:r>
        <w:rPr>
          <w:rFonts w:ascii="Times New Roman;serif" w:hAnsi="Times New Roman;serif"/>
          <w:b w:val="false"/>
          <w:sz w:val="20"/>
        </w:rPr>
        <w:t>million and $90.9</w:t>
      </w:r>
      <w:r>
        <w:rPr>
          <w:rFonts w:ascii="Calibri;sans-serif" w:hAnsi="Calibri;sans-serif"/>
          <w:sz w:val="22"/>
        </w:rPr>
        <w:t xml:space="preserve"> </w:t>
      </w:r>
      <w:r>
        <w:rPr>
          <w:rFonts w:ascii="Times New Roman;serif" w:hAnsi="Times New Roman;serif"/>
          <w:b w:val="false"/>
          <w:sz w:val="20"/>
        </w:rPr>
        <w:t>during the three months ended March 31, 2022 and September 30, 2022, respectively. On October 4, 2022, the Company acquired Step and Go, a brand in the health and Wellness category, for $0.7</w:t>
      </w:r>
      <w:r>
        <w:rPr>
          <w:rFonts w:ascii="Calibri;sans-serif" w:hAnsi="Calibri;sans-serif"/>
          <w:sz w:val="22"/>
        </w:rPr>
        <w:t xml:space="preserve"> </w:t>
      </w:r>
      <w:r>
        <w:rPr>
          <w:rFonts w:ascii="Times New Roman;serif" w:hAnsi="Times New Roman;serif"/>
          <w:b w:val="false"/>
          <w:sz w:val="20"/>
        </w:rPr>
        <w:t>million. As part of the purchase price allocation of the acquisition, $0.5</w:t>
      </w:r>
      <w:r>
        <w:rPr>
          <w:rFonts w:ascii="Calibri;sans-serif" w:hAnsi="Calibri;sans-serif"/>
          <w:sz w:val="22"/>
        </w:rPr>
        <w:t xml:space="preserve"> </w:t>
      </w:r>
      <w:r>
        <w:rPr>
          <w:rFonts w:ascii="Times New Roman;serif" w:hAnsi="Times New Roman;serif"/>
          <w:b w:val="false"/>
          <w:sz w:val="20"/>
        </w:rPr>
        <w:t>million was attributed to goodwill. As our market capitalization was further reduced below net assets as of December 31, 2022, we concluded a triggering event has occurred to test goodwill, an impairment loss on goodwill of $0.5</w:t>
      </w:r>
      <w:r>
        <w:rPr>
          <w:rFonts w:ascii="Calibri;sans-serif" w:hAnsi="Calibri;sans-serif"/>
          <w:sz w:val="22"/>
        </w:rPr>
        <w:t xml:space="preserve"> </w:t>
      </w:r>
      <w:r>
        <w:rPr>
          <w:rFonts w:ascii="Times New Roman;serif" w:hAnsi="Times New Roman;serif"/>
          <w:b w:val="false"/>
          <w:sz w:val="20"/>
        </w:rPr>
        <w:t xml:space="preserve">million was recorded for the three months ended December 31, 2022, which is included in impairment loss on goodwill in the Consolidated Statement of Operations for the year-ended December 31, 2022.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For the year-ended December 31, 2022, total goodwill impairment was approximately $120.4</w:t>
      </w:r>
      <w:r>
        <w:rPr>
          <w:rFonts w:ascii="Times New Roman" w:hAnsi="Times New Roman"/>
          <w:sz w:val="20"/>
        </w:rPr>
        <w:t xml:space="preserve"> </w:t>
      </w:r>
      <w:r>
        <w:rPr>
          <w:rFonts w:ascii="Times New Roman;serif" w:hAnsi="Times New Roman;serif"/>
          <w:b w:val="false"/>
          <w:sz w:val="20"/>
        </w:rPr>
        <w:t>million. There is no</w:t>
      </w:r>
      <w:r>
        <w:rPr>
          <w:rFonts w:ascii="Times New Roman" w:hAnsi="Times New Roman"/>
          <w:sz w:val="20"/>
        </w:rPr>
        <w:t xml:space="preserve"> </w:t>
      </w:r>
      <w:r>
        <w:rPr>
          <w:rFonts w:ascii="Times New Roman;serif" w:hAnsi="Times New Roman;serif"/>
          <w:b w:val="false"/>
          <w:sz w:val="20"/>
        </w:rPr>
        <w:t>goodwill balance as of December 31, 2023 and March 31, 2023.</w:t>
      </w:r>
    </w:p>
    <w:p>
      <w:pPr>
        <w:pStyle w:val="TextBody"/>
        <w:spacing w:before="0" w:after="0"/>
        <w:jc w:val="both"/>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following tables summarize the changes in the Company’s intangible assets as of December 31, 2022 and March 31, 2023 (in thousands):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101"/>
        <w:gridCol w:w="146"/>
        <w:gridCol w:w="345"/>
        <w:gridCol w:w="1109"/>
        <w:gridCol w:w="146"/>
        <w:gridCol w:w="146"/>
        <w:gridCol w:w="293"/>
        <w:gridCol w:w="577"/>
        <w:gridCol w:w="184"/>
        <w:gridCol w:w="184"/>
        <w:gridCol w:w="301"/>
        <w:gridCol w:w="966"/>
        <w:gridCol w:w="166"/>
        <w:gridCol w:w="146"/>
        <w:gridCol w:w="406"/>
        <w:gridCol w:w="1242"/>
        <w:gridCol w:w="166"/>
        <w:gridCol w:w="146"/>
        <w:gridCol w:w="294"/>
        <w:gridCol w:w="944"/>
        <w:gridCol w:w="197"/>
      </w:tblGrid>
      <w:tr>
        <w:trPr/>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21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Year-Ended December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Impairments (1)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Trademarks</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65,910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84"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50,007</w:t>
            </w:r>
          </w:p>
        </w:tc>
        <w:tc>
          <w:tcPr>
            <w:tcW w:w="197"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Non-competition agreement</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pPr>
            <w:r>
              <w:rPr/>
              <w:t>—</w:t>
            </w:r>
          </w:p>
        </w:tc>
        <w:tc>
          <w:tcPr>
            <w:tcW w:w="184"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2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pPr>
            <w:r>
              <w:rPr/>
              <w:t>—</w:t>
            </w:r>
          </w:p>
        </w:tc>
        <w:tc>
          <w:tcPr>
            <w:tcW w:w="197"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Transition services agreement</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pPr>
            <w:r>
              <w:rPr/>
              <w:t>—</w:t>
            </w:r>
          </w:p>
        </w:tc>
        <w:tc>
          <w:tcPr>
            <w:tcW w:w="184"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2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pPr>
            <w:r>
              <w:rPr/>
              <w:t>—</w:t>
            </w:r>
          </w:p>
        </w:tc>
        <w:tc>
          <w:tcPr>
            <w:tcW w:w="197"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pPr>
            <w:r>
              <w:rPr/>
              <w:t>—</w:t>
            </w:r>
          </w:p>
        </w:tc>
        <w:tc>
          <w:tcPr>
            <w:tcW w:w="184"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2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4,750</w:t>
            </w:r>
          </w:p>
        </w:tc>
        <w:tc>
          <w:tcPr>
            <w:tcW w:w="197"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intangibles</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(14,761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54,757</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126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8"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8" w:type="dxa"/>
            <w:gridSpan w:val="2"/>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Impairments (2)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Book Value</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Trademarks</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62,202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pPr>
            <w:r>
              <w:rPr/>
              <w:t>—</w:t>
            </w:r>
          </w:p>
        </w:tc>
        <w:tc>
          <w:tcPr>
            <w:tcW w:w="184"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(13,758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31,784</w:t>
            </w:r>
          </w:p>
        </w:tc>
        <w:tc>
          <w:tcPr>
            <w:tcW w:w="197"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Non-competition agreement</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pPr>
            <w:r>
              <w:rPr/>
              <w:t>—</w:t>
            </w:r>
          </w:p>
        </w:tc>
        <w:tc>
          <w:tcPr>
            <w:tcW w:w="184"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2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pPr>
            <w:r>
              <w:rPr/>
              <w:t>—</w:t>
            </w:r>
          </w:p>
        </w:tc>
        <w:tc>
          <w:tcPr>
            <w:tcW w:w="197"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Transition services agreement</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pPr>
            <w:r>
              <w:rPr/>
              <w:t>—</w:t>
            </w:r>
          </w:p>
        </w:tc>
        <w:tc>
          <w:tcPr>
            <w:tcW w:w="184"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2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pPr>
            <w:r>
              <w:rPr/>
              <w:t>—</w:t>
            </w:r>
          </w:p>
        </w:tc>
        <w:tc>
          <w:tcPr>
            <w:tcW w:w="197"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11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pPr>
            <w:r>
              <w:rPr/>
              <w:t>—</w:t>
            </w:r>
          </w:p>
        </w:tc>
        <w:tc>
          <w:tcPr>
            <w:tcW w:w="184"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96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2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4,608</w:t>
            </w:r>
          </w:p>
        </w:tc>
        <w:tc>
          <w:tcPr>
            <w:tcW w:w="197" w:type="dxa"/>
            <w:tcBorders/>
            <w:shd w:fill="auto" w:val="cle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intangibles</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68,625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36,392</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both"/>
        <w:rPr>
          <w:rFonts w:ascii="Times New Roman" w:hAnsi="Times New Roman"/>
          <w:sz w:val="20"/>
        </w:rPr>
      </w:pPr>
      <w:r>
        <w:rPr>
          <w:rFonts w:ascii="Times New Roman;serif" w:hAnsi="Times New Roman;serif"/>
          <w:b w:val="false"/>
          <w:sz w:val="20"/>
        </w:rPr>
        <w:t>(1) Certain asset groups experienced a significant decrease in sales and contribution margin through September 30, 2022. This was considered an interim triggering event for the three months ended September 30, 2022. Based on the analysis of comparing the undiscounted cash flow to the carrying value of the asset group, one group tested indicated that the assets may not be recoverable. For this asset group, the Company compared the fair value to the carrying amount of the asset group and recorded an intangible impairment</w:t>
      </w:r>
      <w:r>
        <w:rPr>
          <w:rFonts w:ascii="Times New Roman" w:hAnsi="Times New Roman"/>
          <w:sz w:val="20"/>
        </w:rPr>
        <w:t xml:space="preserve"> </w:t>
      </w:r>
      <w:r>
        <w:rPr>
          <w:rFonts w:ascii="Times New Roman;serif" w:hAnsi="Times New Roman;serif"/>
          <w:b w:val="false"/>
          <w:sz w:val="20"/>
        </w:rPr>
        <w:t>charge of $3.1</w:t>
      </w:r>
      <w:r>
        <w:rPr>
          <w:rFonts w:ascii="Times New Roman" w:hAnsi="Times New Roman"/>
          <w:sz w:val="20"/>
        </w:rPr>
        <w:t xml:space="preserve"> </w:t>
      </w:r>
      <w:r>
        <w:rPr>
          <w:rFonts w:ascii="Times New Roman;serif" w:hAnsi="Times New Roman;serif"/>
          <w:b w:val="false"/>
          <w:sz w:val="20"/>
        </w:rPr>
        <w:t>million for the year-ended December 31, 2022.</w:t>
      </w:r>
    </w:p>
    <w:p>
      <w:pPr>
        <w:pStyle w:val="TextBody"/>
        <w:spacing w:before="4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(2) 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w:t>
      </w:r>
      <w:r>
        <w:rPr>
          <w:rFonts w:ascii="Times New Roman" w:hAnsi="Times New Roman"/>
          <w:sz w:val="20"/>
        </w:rPr>
        <w:t xml:space="preserve"> </w:t>
      </w:r>
      <w:r>
        <w:rPr>
          <w:rFonts w:ascii="Times New Roman;serif" w:hAnsi="Times New Roman;serif"/>
          <w:b w:val="false"/>
          <w:sz w:val="20"/>
        </w:rPr>
        <w:t>million in the three month ending March 31, 2023 within impairment loss on intangibles on the condensed consolidated statement of operations.</w:t>
      </w:r>
    </w:p>
    <w:p>
      <w:pPr>
        <w:pStyle w:val="TextBody"/>
        <w:spacing w:before="4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sets forth the estimated aggregate amortization of the Company’s intangible assets for the next five years and thereafter (amounts in thousands):</w:t>
      </w:r>
    </w:p>
    <w:p>
      <w:pPr>
        <w:pStyle w:val="TextBody"/>
        <w:spacing w:before="0" w:after="0"/>
        <w:jc w:val="both"/>
        <w:rPr/>
      </w:pPr>
      <w:r>
        <w:rPr/>
        <w:t> </w:t>
      </w:r>
    </w:p>
    <w:tbl>
      <w:tblPr>
        <w:tblW w:w="2905" w:type="dxa"/>
        <w:jc w:val="left"/>
        <w:tblInd w:w="0" w:type="dxa"/>
        <w:tblCellMar>
          <w:top w:w="28" w:type="dxa"/>
          <w:left w:w="28" w:type="dxa"/>
          <w:bottom w:w="28" w:type="dxa"/>
          <w:right w:w="28" w:type="dxa"/>
        </w:tblCellMar>
      </w:tblPr>
      <w:tblGrid>
        <w:gridCol w:w="1681"/>
        <w:gridCol w:w="146"/>
        <w:gridCol w:w="211"/>
        <w:gridCol w:w="676"/>
        <w:gridCol w:w="1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3,519</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4,672</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4,631</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4,631</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4,631</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4,631</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9,677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36,392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serif" w:hAnsi="Times New Roman;serif"/>
          <w:b/>
          <w:sz w:val="20"/>
        </w:rPr>
      </w:pPr>
      <w:r>
        <w:rPr>
          <w:rFonts w:ascii="Times New Roman;serif" w:hAnsi="Times New Roman;serif"/>
          <w:b/>
          <w:sz w:val="20"/>
        </w:rPr>
        <w:t>12. SUBSEQUENT EVENTS</w:t>
      </w:r>
    </w:p>
    <w:p>
      <w:pPr>
        <w:pStyle w:val="TextBody"/>
        <w:spacing w:before="0" w:after="0"/>
        <w:jc w:val="both"/>
        <w:rPr>
          <w:rFonts w:ascii="Times New Roman" w:hAnsi="Times New Roman"/>
          <w:sz w:val="20"/>
        </w:rPr>
      </w:pPr>
      <w:r>
        <w:rPr>
          <w:rFonts w:ascii="Times New Roman;serif" w:hAnsi="Times New Roman;serif"/>
          <w:b w:val="false"/>
          <w:sz w:val="20"/>
        </w:rPr>
        <w:t>As of the date of this Quarterly Report, our stock has a minimum closing bid price below $1.00</w:t>
      </w:r>
      <w:r>
        <w:rPr>
          <w:rFonts w:ascii="Times New Roman" w:hAnsi="Times New Roman"/>
          <w:sz w:val="20"/>
        </w:rPr>
        <w:t xml:space="preserve"> </w:t>
      </w:r>
      <w:r>
        <w:rPr>
          <w:rFonts w:ascii="Times New Roman;serif" w:hAnsi="Times New Roman;serif"/>
          <w:b w:val="false"/>
          <w:sz w:val="20"/>
        </w:rPr>
        <w:t>per share. On April 24, 2023, we received a letter from the Listing Qualifications Staff of The Nasdaq Stock Market LLC (“Nasdaq”) indicating that, based upon the closing bid price of our common stock for the last 30</w:t>
      </w:r>
      <w:r>
        <w:rPr>
          <w:rFonts w:ascii="Times New Roman" w:hAnsi="Times New Roman"/>
          <w:sz w:val="20"/>
        </w:rPr>
        <w:t xml:space="preserve"> </w:t>
      </w:r>
      <w:r>
        <w:rPr>
          <w:rFonts w:ascii="Times New Roman;serif" w:hAnsi="Times New Roman;serif"/>
          <w:b w:val="false"/>
          <w:sz w:val="20"/>
        </w:rPr>
        <w:t>consecutive business days, the Company is not currently in compliance with the requirement to maintain a minimum bid price of $1.00</w:t>
      </w:r>
      <w:r>
        <w:rPr>
          <w:rFonts w:ascii="Times New Roman" w:hAnsi="Times New Roman"/>
          <w:sz w:val="20"/>
        </w:rPr>
        <w:t xml:space="preserve"> </w:t>
      </w:r>
      <w:r>
        <w:rPr>
          <w:rFonts w:ascii="Times New Roman;serif" w:hAnsi="Times New Roman;serif"/>
          <w:b w:val="false"/>
          <w:sz w:val="20"/>
        </w:rPr>
        <w:t>per share for continued listing on The Nasdaq Capital Market, as set forth in Nasdaq Listing Rule 5550(a)(2) (the “Bid Price Notice”).</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Bid Price Notice has no immediate effect on the continued listing status of our common stock on The Nasdaq Capital Market, and, therefore, our listing remains fully effective.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Company is provided a compliance period of 180</w:t>
      </w:r>
      <w:r>
        <w:rPr>
          <w:rFonts w:ascii="Times New Roman" w:hAnsi="Times New Roman"/>
          <w:sz w:val="20"/>
        </w:rPr>
        <w:t xml:space="preserve"> </w:t>
      </w:r>
      <w:r>
        <w:rPr>
          <w:rFonts w:ascii="Times New Roman;serif" w:hAnsi="Times New Roman;serif"/>
          <w:b w:val="false"/>
          <w:sz w:val="20"/>
        </w:rPr>
        <w:t>calendar days from the date of the Bid Price Notice, or until October 23, 2023, to regain compliance with the minimum closing bid requirement, pursuant to Nasdaq Listing Rule 5810(c)(3)(A). If at any time before October 23, 2023, the closing bid price of our common stock closes at or above $1.00</w:t>
      </w:r>
      <w:r>
        <w:rPr>
          <w:rFonts w:ascii="Times New Roman" w:hAnsi="Times New Roman"/>
          <w:sz w:val="20"/>
        </w:rPr>
        <w:t xml:space="preserve"> </w:t>
      </w:r>
      <w:r>
        <w:rPr>
          <w:rFonts w:ascii="Times New Roman;serif" w:hAnsi="Times New Roman;serif"/>
          <w:b w:val="false"/>
          <w:sz w:val="20"/>
        </w:rPr>
        <w:t>per share for a minimum of 10</w:t>
      </w:r>
      <w:r>
        <w:rPr>
          <w:rFonts w:ascii="Times New Roman" w:hAnsi="Times New Roman"/>
          <w:sz w:val="20"/>
        </w:rPr>
        <w:t xml:space="preserve"> </w:t>
      </w:r>
      <w:r>
        <w:rPr>
          <w:rFonts w:ascii="Times New Roman;serif" w:hAnsi="Times New Roman;serif"/>
          <w:b w:val="false"/>
          <w:sz w:val="20"/>
        </w:rPr>
        <w:t>consecutive business days, subject to Nasdaq’s discretion to extend this period pursuant to Nasdaq Listing Rule 5810(c)(3)(H) to 20</w:t>
      </w:r>
      <w:r>
        <w:rPr>
          <w:rFonts w:ascii="Times New Roman" w:hAnsi="Times New Roman"/>
          <w:sz w:val="20"/>
        </w:rPr>
        <w:t xml:space="preserve"> </w:t>
      </w:r>
      <w:r>
        <w:rPr>
          <w:rFonts w:ascii="Times New Roman;serif" w:hAnsi="Times New Roman;serif"/>
          <w:b w:val="false"/>
          <w:sz w:val="20"/>
        </w:rPr>
        <w:t>consecutive business days, Nasdaq will provide written notification that the Company has achieved compliance with the minimum bid price requirement, and the matter would be resolved. If the Company does not regain compliance during the compliance period ending October 23, 2023, then Nasdaq may grant the Company a second 180</w:t>
      </w:r>
      <w:r>
        <w:rPr>
          <w:rFonts w:ascii="Times New Roman" w:hAnsi="Times New Roman"/>
          <w:sz w:val="20"/>
        </w:rPr>
        <w:t xml:space="preserve"> </w:t>
      </w:r>
      <w:r>
        <w:rPr>
          <w:rFonts w:ascii="Times New Roman;serif" w:hAnsi="Times New Roman;serif"/>
          <w:b w:val="false"/>
          <w:sz w:val="20"/>
        </w:rPr>
        <w:t>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pStyle w:val="TextBody"/>
        <w:spacing w:before="0" w:after="0"/>
        <w:jc w:val="both"/>
        <w:rPr>
          <w:rFonts w:ascii="Times New Roman" w:hAnsi="Times New Roman"/>
          <w:sz w:val="20"/>
        </w:rPr>
      </w:pPr>
      <w:r>
        <w:rPr>
          <w:rFonts w:ascii="Times New Roman;serif" w:hAnsi="Times New Roman;serif"/>
          <w:b w:val="false"/>
          <w:sz w:val="20"/>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w:t>
      </w:r>
      <w:r>
        <w:rPr>
          <w:rFonts w:ascii="Times New Roman" w:hAnsi="Times New Roman"/>
          <w:sz w:val="20"/>
        </w:rPr>
        <w:t xml:space="preserve"> </w:t>
      </w:r>
      <w:r>
        <w:rPr>
          <w:rFonts w:ascii="Times New Roman;serif" w:hAnsi="Times New Roman;serif"/>
          <w:b w:val="false"/>
          <w:sz w:val="20"/>
        </w:rPr>
        <w:t>days to regain compliance or maintain compliance with the other Nasdaq listing requirements.</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May 9, 2023, the Company announced a plan to reduce expenses by implementing a reduction in its current workforce impacting approximately 70</w:t>
      </w:r>
      <w:r>
        <w:rPr>
          <w:rFonts w:ascii="Times New Roman" w:hAnsi="Times New Roman"/>
          <w:sz w:val="20"/>
        </w:rPr>
        <w:t xml:space="preserve"> </w:t>
      </w:r>
      <w:r>
        <w:rPr>
          <w:rFonts w:ascii="Times New Roman;serif" w:hAnsi="Times New Roman;serif"/>
          <w:b w:val="false"/>
          <w:sz w:val="20"/>
        </w:rPr>
        <w:t>employees and 30</w:t>
      </w:r>
      <w:r>
        <w:rPr>
          <w:rFonts w:ascii="Times New Roman" w:hAnsi="Times New Roman"/>
          <w:sz w:val="20"/>
        </w:rPr>
        <w:t xml:space="preserve"> </w:t>
      </w:r>
      <w:r>
        <w:rPr>
          <w:rFonts w:ascii="Times New Roman;serif" w:hAnsi="Times New Roman;serif"/>
          <w:b w:val="false"/>
          <w:sz w:val="20"/>
        </w:rPr>
        <w:t>contractors, primarily in the Philippines The Company expects to recognize restructuring charges in connection with the workforce reduction plan, primarily from severance in the range between $1.0</w:t>
      </w:r>
      <w:r>
        <w:rPr>
          <w:rFonts w:ascii="Times New Roman" w:hAnsi="Times New Roman"/>
          <w:sz w:val="20"/>
        </w:rPr>
        <w:t xml:space="preserve"> </w:t>
      </w:r>
      <w:r>
        <w:rPr>
          <w:rFonts w:ascii="Times New Roman;serif" w:hAnsi="Times New Roman;serif"/>
          <w:b w:val="false"/>
          <w:sz w:val="20"/>
        </w:rPr>
        <w:t>million to $1.3</w:t>
      </w:r>
      <w:r>
        <w:rPr>
          <w:rFonts w:ascii="Times New Roman" w:hAnsi="Times New Roman"/>
          <w:sz w:val="20"/>
        </w:rPr>
        <w:t xml:space="preserve"> </w:t>
      </w:r>
      <w:r>
        <w:rPr>
          <w:rFonts w:ascii="Times New Roman;serif" w:hAnsi="Times New Roman;serif"/>
          <w:b w:val="false"/>
          <w:sz w:val="20"/>
        </w:rPr>
        <w:t>million. The Company expects the charges will be recognized primarily in the second quarter of 2023, with the majority of such charges anticipated to be paid by the end of the third quarter of 2023.</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120" w:after="0"/>
        <w:jc w:val="both"/>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2022 included in our Annual Report on Form 10-K for the year ended December 31, 2022 as filed with the Securities and Exchange Commission (the “SEC”) on March 16, 2023.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“Special Note Regarding Forward Looking Statements” and those discussed in the section titled “Risk Factors” under Part II, Item 1A in this Quarterly Report on Form 10-Q.</w:t>
      </w:r>
    </w:p>
    <w:p>
      <w:pPr>
        <w:pStyle w:val="TextBody"/>
        <w:spacing w:before="240" w:after="0"/>
        <w:jc w:val="both"/>
        <w:rPr>
          <w:rFonts w:ascii="Times New Roman" w:hAnsi="Times New Roman"/>
          <w:sz w:val="20"/>
        </w:rPr>
      </w:pPr>
      <w:r>
        <w:rPr>
          <w:rFonts w:ascii="Times New Roman;serif" w:hAnsi="Times New Roman;serif"/>
          <w:b w:val="false"/>
          <w:i/>
          <w:sz w:val="20"/>
        </w:rPr>
        <w:t>Unless the context otherwise requires, the terms “Aterian,” the “Company,” “we,” “us” and “our” in this Quarterly Report on Form 10-Q refer to Aterian, Inc. and our consolidated subsidiaries, including Aterian Group, Inc.</w:t>
      </w:r>
      <w:r>
        <w:rPr>
          <w:rFonts w:ascii="Times New Roman" w:hAnsi="Times New Roman"/>
          <w:sz w:val="20"/>
        </w:rPr>
        <w:t xml:space="preserve"> </w:t>
      </w:r>
    </w:p>
    <w:p>
      <w:pPr>
        <w:pStyle w:val="TextBody"/>
        <w:spacing w:before="240" w:after="0"/>
        <w:jc w:val="both"/>
        <w:rPr>
          <w:rFonts w:ascii="Times New Roman;serif" w:hAnsi="Times New Roman;serif"/>
          <w:b/>
          <w:sz w:val="20"/>
        </w:rPr>
      </w:pPr>
      <w:r>
        <w:rPr>
          <w:rFonts w:ascii="Times New Roman;serif" w:hAnsi="Times New Roman;serif"/>
          <w:b/>
          <w:sz w:val="20"/>
        </w:rPr>
        <w:t>Overview</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are a technology-enabled consumer products company that uses “data science” (which includes but is not limited to, machine learning, natural language processing, and data analytics) to design, develop, market and sell products. Today, we predominantly operate through online retail channels such as Amazon.com (“Amazon”) and Walmart, Inc.</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Today, we own and operate brands that sell products in multiple categories, including home and kitchen appliances, kitchenware, cooling and air quality appliances (dehumidifiers, humidifiers and air conditioners), health and beauty products and essential oils. Our brands include hOmeLabs; Vremi; Squatty Potty; Xtava; RIF6; Aussie Health; Holonix; Truweo; Mueller; Pursteam; Pohl and Schmitt; Spiralizer; Healing Solutions; Photo Paper Direct and Step and Go.</w:t>
      </w:r>
    </w:p>
    <w:p>
      <w:pPr>
        <w:pStyle w:val="TextBody"/>
        <w:spacing w:before="240" w:after="0"/>
        <w:jc w:val="left"/>
        <w:rPr>
          <w:rFonts w:ascii="Times New Roman" w:hAnsi="Times New Roman"/>
          <w:sz w:val="20"/>
        </w:rPr>
      </w:pPr>
      <w:r>
        <w:rPr>
          <w:rFonts w:ascii="Times New Roman;serif" w:hAnsi="Times New Roman;serif"/>
          <w:b/>
          <w:i/>
          <w:sz w:val="20"/>
        </w:rPr>
        <w:t>Seasonality of Business and Product Mix</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pStyle w:val="TextBody"/>
        <w:spacing w:before="0" w:after="0"/>
        <w:jc w:val="both"/>
        <w:rPr>
          <w:rFonts w:ascii="Times New Roman" w:hAnsi="Times New Roman"/>
          <w:sz w:val="20"/>
        </w:rPr>
      </w:pPr>
      <w:r>
        <w:rPr>
          <w:rFonts w:ascii="Times New Roman;serif" w:hAnsi="Times New Roman;serif"/>
          <w:b w:val="false"/>
          <w:sz w:val="20"/>
        </w:rPr>
        <w:t>Product mix can affect our gross profit and the variable portion of our sales and distribution expenses. We rely heavily on supply chain in which the cost, lead times, and delays, as well as global and geopolitical events can ultimately have a direct impact to our margins. Further, impacts on supply chain may force us to hold more inventory which not only effects working capital but also requires us to increase our storage capacity, through our warehouse network, which of itself has a capital impact. For example, the impact of the COVID-19 pandemic on the global supply chain, the unpredictability of container availability, space on vessels and shipping lead times, as well as associated manufacturing lead time, led us to secure more inventory upfront which affected our business and operating results in 2022.</w:t>
      </w:r>
      <w:r>
        <w:rPr>
          <w:rFonts w:ascii="Times New Roman" w:hAnsi="Times New Roman"/>
          <w:sz w:val="20"/>
        </w:rPr>
        <w:t xml:space="preserve"> </w:t>
      </w:r>
    </w:p>
    <w:p>
      <w:pPr>
        <w:pStyle w:val="TextBody"/>
        <w:spacing w:before="0" w:after="0"/>
        <w:jc w:val="both"/>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Financial Operations Overview</w:t>
      </w:r>
    </w:p>
    <w:p>
      <w:pPr>
        <w:pStyle w:val="TextBody"/>
        <w:spacing w:before="120" w:after="0"/>
        <w:jc w:val="both"/>
        <w:rPr>
          <w:rFonts w:ascii="Times New Roman" w:hAnsi="Times New Roman"/>
          <w:sz w:val="20"/>
        </w:rPr>
      </w:pPr>
      <w:r>
        <w:rPr>
          <w:rFonts w:ascii="Times New Roman;serif" w:hAnsi="Times New Roman;serif"/>
          <w:b/>
          <w:sz w:val="20"/>
        </w:rPr>
        <w:t>Net Revenue—</w:t>
      </w:r>
      <w:r>
        <w:rPr>
          <w:rFonts w:ascii="Times New Roman;serif" w:hAnsi="Times New Roman;serif"/>
          <w:b w:val="false"/>
          <w:sz w:val="20"/>
        </w:rPr>
        <w:t>We derive our revenue from the sale of consumer products, primarily in the U.S. We sell products directly to consumers through online 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sz w:val="20"/>
        </w:rPr>
        <w:t>Cost of Goods Sold—</w:t>
      </w:r>
      <w:r>
        <w:rPr>
          <w:rFonts w:ascii="Times New Roman;serif" w:hAnsi="Times New Roman;serif"/>
          <w:b w:val="false"/>
          <w:sz w:val="20"/>
        </w:rPr>
        <w:t>Cost of goods sold consists of the book value of inventory sold to customers during the reporting period and the amortization of inventory step-up from acquisitions. Book value of inventory includes the amounts we pay manufacturers for product, tariffs and duties associated with transporting product across national borders, and freight costs associated with transporting the product from our manufacturers to our warehouses, as applicable. When circumstances dictate that we use net realizable value as the basis for recording inventory, we base our estimates on expected future selling prices, less expected disposal costs.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360" w:after="0"/>
        <w:jc w:val="both"/>
        <w:rPr>
          <w:rFonts w:ascii="Times New Roman" w:hAnsi="Times New Roman"/>
          <w:sz w:val="20"/>
        </w:rPr>
      </w:pPr>
      <w:r>
        <w:rPr>
          <w:rFonts w:ascii="Times New Roman;serif" w:hAnsi="Times New Roman;serif"/>
          <w:b/>
          <w:i/>
          <w:sz w:val="20"/>
        </w:rPr>
        <w:t>Expenses: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sz w:val="20"/>
        </w:rPr>
        <w:t>Research and Development Expenses—</w:t>
      </w:r>
      <w:r>
        <w:rPr>
          <w:rFonts w:ascii="Times New Roman;serif" w:hAnsi="Times New Roman;serif"/>
          <w:b w:val="false"/>
          <w:sz w:val="20"/>
        </w:rPr>
        <w:t>Research and development expenses include compensation and employee benefits for technology development employees, travel-related costs and fees paid to outside consultants related to the development of our intellectual property.</w:t>
      </w:r>
    </w:p>
    <w:p>
      <w:pPr>
        <w:pStyle w:val="TextBody"/>
        <w:spacing w:before="240" w:after="0"/>
        <w:jc w:val="both"/>
        <w:rPr>
          <w:rFonts w:ascii="Times New Roman" w:hAnsi="Times New Roman"/>
          <w:sz w:val="20"/>
        </w:rPr>
      </w:pPr>
      <w:r>
        <w:rPr>
          <w:rFonts w:ascii="Times New Roman;serif" w:hAnsi="Times New Roman;serif"/>
          <w:b/>
          <w:sz w:val="20"/>
        </w:rPr>
        <w:t>Sales and Distribution Expenses—</w:t>
      </w:r>
      <w:r>
        <w:rPr>
          <w:rFonts w:ascii="Times New Roman;serif" w:hAnsi="Times New Roman;serif"/>
          <w:b w:val="false"/>
          <w:sz w:val="20"/>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continually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pStyle w:val="TextBody"/>
        <w:spacing w:before="240" w:after="0"/>
        <w:jc w:val="both"/>
        <w:rPr>
          <w:rFonts w:ascii="Times New Roman" w:hAnsi="Times New Roman"/>
          <w:sz w:val="20"/>
        </w:rPr>
      </w:pPr>
      <w:r>
        <w:rPr>
          <w:rFonts w:ascii="Times New Roman;serif" w:hAnsi="Times New Roman;serif"/>
          <w:b/>
          <w:sz w:val="20"/>
        </w:rPr>
        <w:t>General and Administrative Expenses</w:t>
      </w:r>
      <w:r>
        <w:rPr>
          <w:rFonts w:ascii="Times New Roman" w:hAnsi="Times New Roman"/>
          <w:sz w:val="20"/>
        </w:rPr>
        <w:t>—</w:t>
      </w:r>
      <w:r>
        <w:rPr>
          <w:rFonts w:ascii="Times New Roman;serif" w:hAnsi="Times New Roman;serif"/>
          <w:b w:val="false"/>
          <w:sz w:val="20"/>
        </w:rPr>
        <w:t>General and administrative expenses include compensation and employee benefits for executive management, finance administration, legal, and human resources, facility costs, insurance, travel, professional service fees and other general overhead costs, including the costs of being a public company.</w:t>
      </w:r>
    </w:p>
    <w:p>
      <w:pPr>
        <w:pStyle w:val="TextBody"/>
        <w:spacing w:before="240" w:after="0"/>
        <w:jc w:val="both"/>
        <w:rPr>
          <w:rFonts w:ascii="Times New Roman" w:hAnsi="Times New Roman"/>
          <w:sz w:val="20"/>
        </w:rPr>
      </w:pPr>
      <w:r>
        <w:rPr>
          <w:rFonts w:ascii="Times New Roman;serif" w:hAnsi="Times New Roman;serif"/>
          <w:b/>
          <w:sz w:val="20"/>
        </w:rPr>
        <w:t>Interest Expense, Net</w:t>
      </w:r>
      <w:r>
        <w:rPr>
          <w:rFonts w:ascii="Times New Roman" w:hAnsi="Times New Roman"/>
          <w:sz w:val="20"/>
        </w:rPr>
        <w:t>—</w:t>
      </w:r>
      <w:r>
        <w:rPr>
          <w:rFonts w:ascii="Times New Roman;serif" w:hAnsi="Times New Roman;serif"/>
          <w:b w:val="false"/>
          <w:sz w:val="20"/>
        </w:rPr>
        <w:t>Interest expense, net includes the interest cost from our credit facility and term loans, and includes amortization of deferred finance costs and debt discounts from our credit facility (the “Credit Facility”) with MidCap Funding IV Trust (“MidCap”).</w:t>
      </w:r>
    </w:p>
    <w:p>
      <w:pPr>
        <w:pStyle w:val="TextBody"/>
        <w:spacing w:before="1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Comparison of the Three Months Ended March 31, 2022 and 2023</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table sets forth the components of our results of operations as a percentage of net revenue:</w:t>
      </w:r>
      <w:r>
        <w:rPr>
          <w:rFonts w:ascii="Times New Roman" w:hAnsi="Times New Roman"/>
          <w:sz w:val="20"/>
        </w:rPr>
        <w:t xml:space="preserve"> </w:t>
      </w:r>
    </w:p>
    <w:p>
      <w:pPr>
        <w:pStyle w:val="TextBody"/>
        <w:spacing w:before="0" w:after="0"/>
        <w:jc w:val="left"/>
        <w:rPr/>
      </w:pPr>
      <w:r>
        <w:rPr/>
        <w:t> </w:t>
      </w:r>
    </w:p>
    <w:tbl>
      <w:tblPr>
        <w:tblW w:w="10000" w:type="dxa"/>
        <w:jc w:val="left"/>
        <w:tblInd w:w="0" w:type="dxa"/>
        <w:tblCellMar>
          <w:top w:w="28" w:type="dxa"/>
          <w:left w:w="28" w:type="dxa"/>
          <w:bottom w:w="28" w:type="dxa"/>
          <w:right w:w="28" w:type="dxa"/>
        </w:tblCellMar>
      </w:tblPr>
      <w:tblGrid>
        <w:gridCol w:w="4456"/>
        <w:gridCol w:w="146"/>
        <w:gridCol w:w="229"/>
        <w:gridCol w:w="801"/>
        <w:gridCol w:w="180"/>
        <w:gridCol w:w="158"/>
        <w:gridCol w:w="229"/>
        <w:gridCol w:w="801"/>
        <w:gridCol w:w="166"/>
        <w:gridCol w:w="146"/>
        <w:gridCol w:w="211"/>
        <w:gridCol w:w="736"/>
        <w:gridCol w:w="166"/>
        <w:gridCol w:w="146"/>
        <w:gridCol w:w="146"/>
        <w:gridCol w:w="631"/>
        <w:gridCol w:w="166"/>
        <w:gridCol w:w="486"/>
      </w:tblGrid>
      <w:tr>
        <w:trPr/>
        <w:tc>
          <w:tcPr>
            <w:tcW w:w="4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86"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(1)</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righ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86"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746" w:type="dxa"/>
            <w:gridSpan w:val="14"/>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486"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41,673</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 sold</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18,066</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23,607</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7"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486" w:type="dxa"/>
            <w:tcBorders/>
            <w:shd w:fill="auto" w:val="clear"/>
            <w:vAlign w:val="center"/>
          </w:tcPr>
          <w:p>
            <w:pPr>
              <w:pStyle w:val="TableContents"/>
              <w:spacing w:before="0" w:after="0"/>
              <w:ind w:left="0" w:right="0" w:firstLine="100"/>
              <w:jc w:val="left"/>
              <w:rPr/>
            </w:pPr>
            <w:r>
              <w:rPr/>
              <w:t> </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and distribution</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22,974</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1,144</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66"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9,541</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righ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goodwill</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pPr>
            <w:r>
              <w:rPr/>
              <w:t>—</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firstLine="10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(2,775</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firstLine="20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59,904</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(36,297</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(24,995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seller note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initial issuance of equity</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1,879</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(42,776</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(42,776</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(25,800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16,976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shd w:fill="auto" w:val="clear"/>
            <w:vAlign w:val="center"/>
          </w:tcPr>
          <w:p>
            <w:pPr>
              <w:pStyle w:val="TableContents"/>
              <w:spacing w:before="0" w:after="0"/>
              <w:ind w:left="0" w:right="0" w:hanging="0"/>
              <w:jc w:val="left"/>
              <w:rPr>
                <w:rFonts w:ascii="Calibri;sans-serif" w:hAnsi="Calibri;sans-serif"/>
                <w:b/>
                <w:i/>
                <w:sz w:val="20"/>
              </w:rPr>
            </w:pPr>
            <w:r>
              <w:rPr>
                <w:rFonts w:ascii="Calibri;sans-serif" w:hAnsi="Calibri;sans-serif"/>
                <w:b/>
                <w:i/>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Amounts include stock-based compensation expense as follows:</w:t>
      </w:r>
    </w:p>
    <w:tbl>
      <w:tblPr>
        <w:tblW w:w="8593" w:type="dxa"/>
        <w:jc w:val="left"/>
        <w:tblInd w:w="0" w:type="dxa"/>
        <w:tblCellMar>
          <w:top w:w="28" w:type="dxa"/>
          <w:left w:w="28" w:type="dxa"/>
          <w:bottom w:w="28" w:type="dxa"/>
          <w:right w:w="28" w:type="dxa"/>
        </w:tblCellMar>
      </w:tblPr>
      <w:tblGrid>
        <w:gridCol w:w="3451"/>
        <w:gridCol w:w="146"/>
        <w:gridCol w:w="272"/>
        <w:gridCol w:w="738"/>
        <w:gridCol w:w="188"/>
        <w:gridCol w:w="188"/>
        <w:gridCol w:w="272"/>
        <w:gridCol w:w="738"/>
        <w:gridCol w:w="146"/>
        <w:gridCol w:w="146"/>
        <w:gridCol w:w="211"/>
        <w:gridCol w:w="631"/>
        <w:gridCol w:w="166"/>
        <w:gridCol w:w="146"/>
        <w:gridCol w:w="146"/>
        <w:gridCol w:w="526"/>
        <w:gridCol w:w="166"/>
        <w:gridCol w:w="316"/>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8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4" w:type="dxa"/>
            <w:gridSpan w:val="14"/>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distribution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2,244</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2,865</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sets forth the components of our results of operations as a percentage of net revenue:</w:t>
      </w:r>
    </w:p>
    <w:p>
      <w:pPr>
        <w:pStyle w:val="TextBody"/>
        <w:spacing w:before="0" w:after="0"/>
        <w:jc w:val="left"/>
        <w:rPr/>
      </w:pPr>
      <w:r>
        <w:rPr/>
        <w:t> </w:t>
      </w:r>
    </w:p>
    <w:tbl>
      <w:tblPr>
        <w:tblW w:w="7090" w:type="dxa"/>
        <w:jc w:val="left"/>
        <w:tblInd w:w="0" w:type="dxa"/>
        <w:tblCellMar>
          <w:top w:w="28" w:type="dxa"/>
          <w:left w:w="28" w:type="dxa"/>
          <w:bottom w:w="28" w:type="dxa"/>
          <w:right w:w="28" w:type="dxa"/>
        </w:tblCellMar>
      </w:tblPr>
      <w:tblGrid>
        <w:gridCol w:w="4456"/>
        <w:gridCol w:w="146"/>
        <w:gridCol w:w="146"/>
        <w:gridCol w:w="631"/>
        <w:gridCol w:w="166"/>
        <w:gridCol w:w="271"/>
        <w:gridCol w:w="146"/>
        <w:gridCol w:w="571"/>
        <w:gridCol w:w="166"/>
        <w:gridCol w:w="391"/>
      </w:tblGrid>
      <w:tr>
        <w:trPr/>
        <w:tc>
          <w:tcPr>
            <w:tcW w:w="4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 sold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Sales and distribution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goodwill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69.6</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100"/>
              <w:jc w:val="left"/>
              <w:rPr/>
            </w:pPr>
            <w:r>
              <w:rPr/>
              <w:t> </w:t>
            </w:r>
          </w:p>
        </w:tc>
      </w:tr>
      <w:tr>
        <w:trPr/>
        <w:tc>
          <w:tcPr>
            <w:tcW w:w="445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seller note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initial issuance of equity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i/>
          <w:sz w:val="20"/>
        </w:rPr>
        <w:t>Net Revenue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Revenue by Product Categories</w:t>
      </w:r>
      <w:r>
        <w:rPr>
          <w:rFonts w:ascii="Times New Roman;serif" w:hAnsi="Times New Roman;serif"/>
          <w:b w:val="false"/>
          <w:sz w:val="20"/>
        </w:rPr>
        <w: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tables sets forth our net revenue disaggregated by product categories:</w:t>
      </w:r>
    </w:p>
    <w:p>
      <w:pPr>
        <w:pStyle w:val="TextBody"/>
        <w:spacing w:before="0" w:after="0"/>
        <w:jc w:val="left"/>
        <w:rPr/>
      </w:pPr>
      <w:r>
        <w:rPr/>
        <w:t> </w:t>
      </w:r>
    </w:p>
    <w:tbl>
      <w:tblPr>
        <w:tblW w:w="6300" w:type="dxa"/>
        <w:jc w:val="left"/>
        <w:tblInd w:w="0" w:type="dxa"/>
        <w:tblCellMar>
          <w:top w:w="28" w:type="dxa"/>
          <w:left w:w="28" w:type="dxa"/>
          <w:bottom w:w="28" w:type="dxa"/>
          <w:right w:w="28" w:type="dxa"/>
        </w:tblCellMar>
      </w:tblPr>
      <w:tblGrid>
        <w:gridCol w:w="1096"/>
        <w:gridCol w:w="146"/>
        <w:gridCol w:w="245"/>
        <w:gridCol w:w="785"/>
        <w:gridCol w:w="169"/>
        <w:gridCol w:w="169"/>
        <w:gridCol w:w="245"/>
        <w:gridCol w:w="785"/>
        <w:gridCol w:w="146"/>
        <w:gridCol w:w="146"/>
        <w:gridCol w:w="211"/>
        <w:gridCol w:w="631"/>
        <w:gridCol w:w="166"/>
        <w:gridCol w:w="146"/>
        <w:gridCol w:w="146"/>
        <w:gridCol w:w="526"/>
        <w:gridCol w:w="166"/>
        <w:gridCol w:w="376"/>
      </w:tblGrid>
      <w:tr>
        <w:trPr/>
        <w:tc>
          <w:tcPr>
            <w:tcW w:w="10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109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10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6" w:type="dxa"/>
            <w:gridSpan w:val="14"/>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40,044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Wholesale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1,629</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w:t>
            </w:r>
          </w:p>
        </w:tc>
      </w:tr>
      <w:tr>
        <w:trPr/>
        <w:tc>
          <w:tcPr>
            <w:tcW w:w="10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revenue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41,673</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34,879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(6,794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7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Net revenue decreased $6.8 million, or 16.3%, during the three months ended March 31, 2023 to $34.9 million, compared to $41.7 million for the three months ended March 31, 2022. The decrease in net revenue was primarily attributable to a decrease in direct net revenue of $6.7 million, or a 16.7% which was due to softness in consumer demand due the current macroecononmic environment partially offset by liquidation of higher priced excess inventory during the three months ended March 31, 2023.</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Direct net revenue consists of both organic net revenue and net revenue from our M&amp;A. For the three months ended March 31, 2023, organic revenue was $33.3 million and revenue from our M&amp;A businesses was $0.1 million. For the three months ended March 31, 2022, organic revenue was $29.8 million and revenue from our M&amp;A businesses was $9.6 million. Our organic revenue increased by $3.5 million, or 11.7%, during the three months March 31, 2023, as compared to the three months ended March 31, 2022, as M&amp;A net revenue has moved into organic net revenue after one year from purchase.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0"/>
        <w:jc w:val="both"/>
        <w:rPr/>
      </w:pPr>
      <w:r>
        <w:rPr/>
        <w:t> </w:t>
      </w:r>
    </w:p>
    <w:tbl>
      <w:tblPr>
        <w:tblW w:w="5856" w:type="dxa"/>
        <w:jc w:val="left"/>
        <w:tblInd w:w="0" w:type="dxa"/>
        <w:tblCellMar>
          <w:top w:w="28" w:type="dxa"/>
          <w:left w:w="28" w:type="dxa"/>
          <w:bottom w:w="28" w:type="dxa"/>
          <w:right w:w="28" w:type="dxa"/>
        </w:tblCellMar>
      </w:tblPr>
      <w:tblGrid>
        <w:gridCol w:w="3121"/>
        <w:gridCol w:w="146"/>
        <w:gridCol w:w="245"/>
        <w:gridCol w:w="785"/>
        <w:gridCol w:w="169"/>
        <w:gridCol w:w="169"/>
        <w:gridCol w:w="245"/>
        <w:gridCol w:w="785"/>
        <w:gridCol w:w="191"/>
      </w:tblGrid>
      <w:tr>
        <w:trPr/>
        <w:tc>
          <w:tcPr>
            <w:tcW w:w="3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shd w:fill="auto" w:val="cle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Heating, cooling and air quality</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5,349</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Kitchen appliances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6,371</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Health and beauty</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4,857</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Personal protective equipment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1,040</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Cookware, kitchen tools and gadgets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3,620</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Home office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2,667</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Housewares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6,547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6,209</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Essential oils and related accessories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4,588</w:t>
            </w:r>
          </w:p>
        </w:tc>
        <w:tc>
          <w:tcPr>
            <w:tcW w:w="191" w:type="dxa"/>
            <w:tcBorders/>
            <w:shd w:fill="auto" w:val="cle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1,174</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net revenue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41,673</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34,879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Net revenue decreased $6.8 million, or 16.3%, during the three months ended March 31, 2023 to $34.9 million, compared to $41.7 million for the three months ended March 31, 2022. Every category of business had a reduction in sales compared to the prior year primarily relating to softness in consumer demand due the macroeconomic environment. Kitchen appliances were down from $8.5 million during the three months ending March 31, 2022 to $6.4 million for the three months ending March 31, 2023 due to certain key products in the category dropping in ranking on Amazon resulting in reduced demand.</w:t>
      </w:r>
    </w:p>
    <w:p>
      <w:pPr>
        <w:pStyle w:val="TextBody"/>
        <w:spacing w:before="120" w:after="0"/>
        <w:jc w:val="both"/>
        <w:rPr>
          <w:rFonts w:ascii="Times New Roman;serif" w:hAnsi="Times New Roman;serif"/>
          <w:b/>
          <w:i/>
          <w:sz w:val="20"/>
        </w:rPr>
      </w:pPr>
      <w:r>
        <w:rPr>
          <w:rFonts w:ascii="Times New Roman;serif" w:hAnsi="Times New Roman;serif"/>
          <w:b/>
          <w:i/>
          <w:sz w:val="20"/>
        </w:rPr>
        <w:t>Cost of Goods Sold and Gross Profit</w:t>
      </w:r>
    </w:p>
    <w:p>
      <w:pPr>
        <w:pStyle w:val="TextBody"/>
        <w:spacing w:before="0" w:after="0"/>
        <w:jc w:val="left"/>
        <w:rPr/>
      </w:pPr>
      <w:r>
        <w:rPr/>
        <w:t> </w:t>
      </w:r>
    </w:p>
    <w:tbl>
      <w:tblPr>
        <w:tblW w:w="6780" w:type="dxa"/>
        <w:jc w:val="left"/>
        <w:tblInd w:w="0" w:type="dxa"/>
        <w:tblCellMar>
          <w:top w:w="28" w:type="dxa"/>
          <w:left w:w="28" w:type="dxa"/>
          <w:bottom w:w="28" w:type="dxa"/>
          <w:right w:w="28" w:type="dxa"/>
        </w:tblCellMar>
      </w:tblPr>
      <w:tblGrid>
        <w:gridCol w:w="1636"/>
        <w:gridCol w:w="146"/>
        <w:gridCol w:w="245"/>
        <w:gridCol w:w="785"/>
        <w:gridCol w:w="169"/>
        <w:gridCol w:w="169"/>
        <w:gridCol w:w="245"/>
        <w:gridCol w:w="785"/>
        <w:gridCol w:w="146"/>
        <w:gridCol w:w="146"/>
        <w:gridCol w:w="211"/>
        <w:gridCol w:w="631"/>
        <w:gridCol w:w="166"/>
        <w:gridCol w:w="146"/>
        <w:gridCol w:w="146"/>
        <w:gridCol w:w="526"/>
        <w:gridCol w:w="166"/>
        <w:gridCol w:w="316"/>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6" w:type="dxa"/>
            <w:gridSpan w:val="14"/>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goods sold</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18,066</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23,607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Cost of goods sold decreased by $2.3 million, from $18.1 million for the three months ended March 31, 2022 to $15.8 million for the three months ended March 31, 2023 primarily from reduced sales volumes. The decrease in cost of goods sold was primarily attributable to a decrease of $3.1 million in cost of goods sold from our M&amp;A businesses, a decrease of $0.4 million in cost of goods sold from our organic businesses partially offset by an increase in cost of goods sold of $1.3 million from our wholesale business due to liquidation of high priced excess inventory.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Gross profit decreased from 56.6% for the three months ended March 31, 2022 to 54.8% for the three months ended March 31, 2023. The decrease in gross profit was due to a change of product mix, increased costs of our supply chain and liquidation of high priced excess inventory at reduced prices.</w:t>
      </w:r>
      <w:r>
        <w:rPr>
          <w:rFonts w:ascii="Times New Roman" w:hAnsi="Times New Roman"/>
          <w:sz w:val="20"/>
        </w:rPr>
        <w:t xml:space="preserve"> </w:t>
      </w:r>
    </w:p>
    <w:p>
      <w:pPr>
        <w:pStyle w:val="TextBody"/>
        <w:spacing w:before="160" w:after="0"/>
        <w:jc w:val="both"/>
        <w:rPr>
          <w:rFonts w:ascii="Times New Roman;serif" w:hAnsi="Times New Roman;serif"/>
          <w:b/>
          <w:i/>
          <w:sz w:val="20"/>
        </w:rPr>
      </w:pPr>
      <w:r>
        <w:rPr>
          <w:rFonts w:ascii="Times New Roman;serif" w:hAnsi="Times New Roman;serif"/>
          <w:b/>
          <w:i/>
          <w:sz w:val="20"/>
        </w:rPr>
        <w:t>Sales and Distribution Expenses</w:t>
      </w:r>
    </w:p>
    <w:p>
      <w:pPr>
        <w:pStyle w:val="TextBody"/>
        <w:spacing w:before="0" w:after="0"/>
        <w:jc w:val="left"/>
        <w:rPr/>
      </w:pPr>
      <w:r>
        <w:rPr/>
        <w:t> </w:t>
      </w:r>
    </w:p>
    <w:tbl>
      <w:tblPr>
        <w:tblW w:w="7815" w:type="dxa"/>
        <w:jc w:val="left"/>
        <w:tblInd w:w="0" w:type="dxa"/>
        <w:tblCellMar>
          <w:top w:w="28" w:type="dxa"/>
          <w:left w:w="28" w:type="dxa"/>
          <w:bottom w:w="28" w:type="dxa"/>
          <w:right w:w="28" w:type="dxa"/>
        </w:tblCellMar>
      </w:tblPr>
      <w:tblGrid>
        <w:gridCol w:w="2671"/>
        <w:gridCol w:w="146"/>
        <w:gridCol w:w="245"/>
        <w:gridCol w:w="785"/>
        <w:gridCol w:w="169"/>
        <w:gridCol w:w="169"/>
        <w:gridCol w:w="245"/>
        <w:gridCol w:w="785"/>
        <w:gridCol w:w="146"/>
        <w:gridCol w:w="146"/>
        <w:gridCol w:w="211"/>
        <w:gridCol w:w="631"/>
        <w:gridCol w:w="166"/>
        <w:gridCol w:w="146"/>
        <w:gridCol w:w="146"/>
        <w:gridCol w:w="526"/>
        <w:gridCol w:w="166"/>
        <w:gridCol w:w="316"/>
      </w:tblGrid>
      <w:tr>
        <w:trPr/>
        <w:tc>
          <w:tcPr>
            <w:tcW w:w="2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6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6" w:type="dxa"/>
            <w:gridSpan w:val="14"/>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distribution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22,974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Sales and distribution expenses, which included e-commerce platform commissions, online advertising and logistics expenses (i.e., variable sales and distribution expense), decreased to $20.2 million for the three months ended March 31, 2023, from $23.0 million for the three months ended March 31, 2022. This decrease is primarily attributable to the decrease in the volume of products sold in the three months ended March 31, 2023, as our e-commerce platform commissions, online advertising, selling and logistics expenses decreased to $17.0 million in the three months ended March 31, 2023 as compared to $19.8 million in the prior year period.</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sales and distribution fixed costs (e.g., salary and office expenses) were relatively flat at $3.2 million for the three months ending March 31, 2022 and March 31, 2023.</w:t>
      </w:r>
    </w:p>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a percentage of net revenue, sales and distribution expenses increased to 58.0% for the three months ended March 31, 2023, from 55.1% for the three months ended March 31, 2022. E-commerce platform commissions, online advertising, selling and logistics expenses included within sales and distribution expenses, as a percentage of net revenue, were 48.8% for the three months ended March 31, 2023 as compared to 47.5% for the three months ended March 31, 2022. This increase in sales and distribution expenses as a percentage of revenue is predominantly due to product mix, an increase in e-commerce platform service provider fulfillment fees, and an increase in last mile shipping costs, specifically for oversized goods.</w:t>
      </w:r>
    </w:p>
    <w:p>
      <w:pPr>
        <w:pStyle w:val="TextBody"/>
        <w:spacing w:before="240" w:after="0"/>
        <w:jc w:val="both"/>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spacing w:before="0" w:after="0"/>
        <w:jc w:val="left"/>
        <w:rPr/>
      </w:pPr>
      <w:r>
        <w:rPr/>
        <w:t> </w:t>
      </w:r>
    </w:p>
    <w:tbl>
      <w:tblPr>
        <w:tblW w:w="7877" w:type="dxa"/>
        <w:jc w:val="left"/>
        <w:tblInd w:w="0" w:type="dxa"/>
        <w:tblCellMar>
          <w:top w:w="28" w:type="dxa"/>
          <w:left w:w="28" w:type="dxa"/>
          <w:bottom w:w="28" w:type="dxa"/>
          <w:right w:w="28" w:type="dxa"/>
        </w:tblCellMar>
      </w:tblPr>
      <w:tblGrid>
        <w:gridCol w:w="3091"/>
        <w:gridCol w:w="146"/>
        <w:gridCol w:w="272"/>
        <w:gridCol w:w="738"/>
        <w:gridCol w:w="188"/>
        <w:gridCol w:w="188"/>
        <w:gridCol w:w="272"/>
        <w:gridCol w:w="738"/>
        <w:gridCol w:w="146"/>
        <w:gridCol w:w="146"/>
        <w:gridCol w:w="230"/>
        <w:gridCol w:w="461"/>
        <w:gridCol w:w="146"/>
        <w:gridCol w:w="146"/>
        <w:gridCol w:w="146"/>
        <w:gridCol w:w="361"/>
        <w:gridCol w:w="146"/>
        <w:gridCol w:w="316"/>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9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71" w:type="dxa"/>
            <w:gridSpan w:val="12"/>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50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1,144</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increase in research and development expenses was primarily attributable to an increase in stock-based compensation expense of approximately $0.1 million compared to the prior period.</w:t>
      </w:r>
    </w:p>
    <w:p>
      <w:pPr>
        <w:pStyle w:val="TextBody"/>
        <w:spacing w:before="240" w:after="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spacing w:before="0" w:after="0"/>
        <w:jc w:val="left"/>
        <w:rPr/>
      </w:pPr>
      <w:r>
        <w:rPr/>
        <w:t> </w:t>
      </w:r>
    </w:p>
    <w:tbl>
      <w:tblPr>
        <w:tblW w:w="8233" w:type="dxa"/>
        <w:jc w:val="left"/>
        <w:tblInd w:w="0" w:type="dxa"/>
        <w:tblCellMar>
          <w:top w:w="28" w:type="dxa"/>
          <w:left w:w="28" w:type="dxa"/>
          <w:bottom w:w="28" w:type="dxa"/>
          <w:right w:w="28" w:type="dxa"/>
        </w:tblCellMar>
      </w:tblPr>
      <w:tblGrid>
        <w:gridCol w:w="3091"/>
        <w:gridCol w:w="146"/>
        <w:gridCol w:w="272"/>
        <w:gridCol w:w="738"/>
        <w:gridCol w:w="188"/>
        <w:gridCol w:w="188"/>
        <w:gridCol w:w="272"/>
        <w:gridCol w:w="738"/>
        <w:gridCol w:w="146"/>
        <w:gridCol w:w="146"/>
        <w:gridCol w:w="211"/>
        <w:gridCol w:w="631"/>
        <w:gridCol w:w="166"/>
        <w:gridCol w:w="146"/>
        <w:gridCol w:w="146"/>
        <w:gridCol w:w="526"/>
        <w:gridCol w:w="166"/>
        <w:gridCol w:w="316"/>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righ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42" w:type="dxa"/>
            <w:gridSpan w:val="12"/>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67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9,541</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decrease in general and administrative expenses was primarily the result of a decrease in stock compensation expense of $1.0 million, a decrease of $1.2 million in professional fees and a decrease of $0.8 million relating to a legal settlement in the year ago quarter. (see Note 9 of our Condensed Consolidated Financial Statements in this Quarterly Report on Form 10-Q for additional details)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Impairment loss on goodwill</w:t>
      </w:r>
    </w:p>
    <w:p>
      <w:pPr>
        <w:pStyle w:val="TextBody"/>
        <w:spacing w:before="0" w:after="0"/>
        <w:jc w:val="left"/>
        <w:rPr/>
      </w:pPr>
      <w:r>
        <w:rPr/>
        <w:t> </w:t>
      </w:r>
    </w:p>
    <w:tbl>
      <w:tblPr>
        <w:tblW w:w="7798" w:type="dxa"/>
        <w:jc w:val="left"/>
        <w:tblInd w:w="0" w:type="dxa"/>
        <w:tblCellMar>
          <w:top w:w="28" w:type="dxa"/>
          <w:left w:w="28" w:type="dxa"/>
          <w:bottom w:w="28" w:type="dxa"/>
          <w:right w:w="28" w:type="dxa"/>
        </w:tblCellMar>
      </w:tblPr>
      <w:tblGrid>
        <w:gridCol w:w="2446"/>
        <w:gridCol w:w="146"/>
        <w:gridCol w:w="291"/>
        <w:gridCol w:w="934"/>
        <w:gridCol w:w="201"/>
        <w:gridCol w:w="201"/>
        <w:gridCol w:w="291"/>
        <w:gridCol w:w="478"/>
        <w:gridCol w:w="146"/>
        <w:gridCol w:w="146"/>
        <w:gridCol w:w="211"/>
        <w:gridCol w:w="736"/>
        <w:gridCol w:w="166"/>
        <w:gridCol w:w="146"/>
        <w:gridCol w:w="146"/>
        <w:gridCol w:w="631"/>
        <w:gridCol w:w="166"/>
        <w:gridCol w:w="316"/>
      </w:tblGrid>
      <w:tr>
        <w:trPr/>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1" w:type="dxa"/>
            <w:tcBorders/>
            <w:shd w:fill="auto" w:val="clear"/>
            <w:vAlign w:val="center"/>
          </w:tcPr>
          <w:p>
            <w:pPr>
              <w:pStyle w:val="TableContents"/>
              <w:spacing w:before="0" w:after="0"/>
              <w:ind w:left="0" w:right="0" w:hanging="0"/>
              <w:jc w:val="right"/>
              <w:rPr/>
            </w:pPr>
            <w:r>
              <w:rPr/>
              <w:t> </w:t>
            </w:r>
          </w:p>
        </w:tc>
        <w:tc>
          <w:tcPr>
            <w:tcW w:w="7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724" w:type="dxa"/>
            <w:gridSpan w:val="14"/>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loss on goodwill</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20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assessed our goodwill as of March 31, 2022 due to an interim triggering event related to our reduced market capitalization and determined that our goodwill was impaired. As a result, we recorded a goodwill impairment charge of $29.0 million in the three months ended March 31, 2022, primarily due to the decrease in our market capitalization. Further, we wrote-off the remainder of our goodwill during the three months ended September 30, 2022 as our market capitalization continued to decline and the inflationary pressure on product and labor costs and operational impacts attributable to continued global supply chain disruptions. As such, we have no goodwill recorded as of December 31, 2022.</w:t>
      </w:r>
    </w:p>
    <w:p>
      <w:pPr>
        <w:pStyle w:val="TextBody"/>
        <w:spacing w:before="0" w:after="0"/>
        <w:jc w:val="both"/>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Impairment loss on intangibles</w:t>
      </w:r>
    </w:p>
    <w:p>
      <w:pPr>
        <w:pStyle w:val="TextBody"/>
        <w:spacing w:before="0" w:after="0"/>
        <w:jc w:val="left"/>
        <w:rPr/>
      </w:pPr>
      <w:r>
        <w:rPr/>
        <w:t> </w:t>
      </w:r>
    </w:p>
    <w:tbl>
      <w:tblPr>
        <w:tblW w:w="7898" w:type="dxa"/>
        <w:jc w:val="left"/>
        <w:tblInd w:w="0" w:type="dxa"/>
        <w:tblCellMar>
          <w:top w:w="28" w:type="dxa"/>
          <w:left w:w="28" w:type="dxa"/>
          <w:bottom w:w="28" w:type="dxa"/>
          <w:right w:w="28" w:type="dxa"/>
        </w:tblCellMar>
      </w:tblPr>
      <w:tblGrid>
        <w:gridCol w:w="2626"/>
        <w:gridCol w:w="146"/>
        <w:gridCol w:w="291"/>
        <w:gridCol w:w="478"/>
        <w:gridCol w:w="201"/>
        <w:gridCol w:w="201"/>
        <w:gridCol w:w="291"/>
        <w:gridCol w:w="934"/>
        <w:gridCol w:w="146"/>
        <w:gridCol w:w="146"/>
        <w:gridCol w:w="211"/>
        <w:gridCol w:w="676"/>
        <w:gridCol w:w="146"/>
        <w:gridCol w:w="146"/>
        <w:gridCol w:w="146"/>
        <w:gridCol w:w="631"/>
        <w:gridCol w:w="166"/>
        <w:gridCol w:w="316"/>
      </w:tblGrid>
      <w:tr>
        <w:trPr/>
        <w:tc>
          <w:tcPr>
            <w:tcW w:w="2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1" w:type="dxa"/>
            <w:tcBorders/>
            <w:shd w:fill="auto" w:val="clear"/>
            <w:vAlign w:val="center"/>
          </w:tcPr>
          <w:p>
            <w:pPr>
              <w:pStyle w:val="TableContents"/>
              <w:spacing w:before="0" w:after="0"/>
              <w:ind w:left="0" w:right="0" w:hanging="0"/>
              <w:jc w:val="right"/>
              <w:rPr/>
            </w:pPr>
            <w:r>
              <w:rPr/>
              <w:t> </w:t>
            </w:r>
          </w:p>
        </w:tc>
        <w:tc>
          <w:tcPr>
            <w:tcW w:w="12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67" w:type="dxa"/>
            <w:gridSpan w:val="12"/>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146"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78"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4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 ending March 31, 2023 within impairment loss on intangibles on the condensed consolidated statement of operations.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160" w:after="0"/>
        <w:jc w:val="both"/>
        <w:rPr>
          <w:rFonts w:ascii="Times New Roman;serif" w:hAnsi="Times New Roman;serif"/>
          <w:b/>
          <w:i/>
          <w:sz w:val="20"/>
        </w:rPr>
      </w:pPr>
      <w:r>
        <w:rPr>
          <w:rFonts w:ascii="Times New Roman;serif" w:hAnsi="Times New Roman;serif"/>
          <w:b/>
          <w:i/>
          <w:sz w:val="20"/>
        </w:rPr>
        <w:t>Change in fair value of contingent earn-out liabilities</w:t>
      </w:r>
    </w:p>
    <w:p>
      <w:pPr>
        <w:pStyle w:val="TextBody"/>
        <w:spacing w:before="0" w:after="0"/>
        <w:jc w:val="left"/>
        <w:rPr/>
      </w:pPr>
      <w:r>
        <w:rPr/>
        <w:t> </w:t>
      </w:r>
    </w:p>
    <w:tbl>
      <w:tblPr>
        <w:tblW w:w="9545" w:type="dxa"/>
        <w:jc w:val="left"/>
        <w:tblInd w:w="0" w:type="dxa"/>
        <w:tblCellMar>
          <w:top w:w="28" w:type="dxa"/>
          <w:left w:w="28" w:type="dxa"/>
          <w:bottom w:w="28" w:type="dxa"/>
          <w:right w:w="28" w:type="dxa"/>
        </w:tblCellMar>
      </w:tblPr>
      <w:tblGrid>
        <w:gridCol w:w="4456"/>
        <w:gridCol w:w="146"/>
        <w:gridCol w:w="296"/>
        <w:gridCol w:w="885"/>
        <w:gridCol w:w="232"/>
        <w:gridCol w:w="204"/>
        <w:gridCol w:w="296"/>
        <w:gridCol w:w="485"/>
        <w:gridCol w:w="146"/>
        <w:gridCol w:w="146"/>
        <w:gridCol w:w="211"/>
        <w:gridCol w:w="571"/>
        <w:gridCol w:w="146"/>
        <w:gridCol w:w="146"/>
        <w:gridCol w:w="146"/>
        <w:gridCol w:w="571"/>
        <w:gridCol w:w="146"/>
        <w:gridCol w:w="316"/>
      </w:tblGrid>
      <w:tr>
        <w:trPr/>
        <w:tc>
          <w:tcPr>
            <w:tcW w:w="4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4" w:type="dxa"/>
            <w:tcBorders/>
            <w:shd w:fill="auto" w:val="clear"/>
            <w:vAlign w:val="center"/>
          </w:tcPr>
          <w:p>
            <w:pPr>
              <w:pStyle w:val="TableContents"/>
              <w:spacing w:before="0" w:after="0"/>
              <w:ind w:left="0" w:right="0" w:hanging="0"/>
              <w:jc w:val="righ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64" w:type="dxa"/>
            <w:gridSpan w:val="12"/>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1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146"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(2,775</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4"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 As of December 31, 2022, we no longer have any contingent earn-out liabilities.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Interest expense, net</w:t>
      </w:r>
      <w:r>
        <w:rPr>
          <w:rFonts w:ascii="Times New Roman" w:hAnsi="Times New Roman"/>
          <w:sz w:val="20"/>
        </w:rPr>
        <w:t xml:space="preserve"> </w:t>
      </w:r>
    </w:p>
    <w:p>
      <w:pPr>
        <w:pStyle w:val="TextBody"/>
        <w:spacing w:before="0" w:after="0"/>
        <w:jc w:val="left"/>
        <w:rPr/>
      </w:pPr>
      <w:r>
        <w:rPr/>
        <w:t> </w:t>
      </w:r>
    </w:p>
    <w:tbl>
      <w:tblPr>
        <w:tblW w:w="6765" w:type="dxa"/>
        <w:jc w:val="left"/>
        <w:tblInd w:w="0" w:type="dxa"/>
        <w:tblCellMar>
          <w:top w:w="28" w:type="dxa"/>
          <w:left w:w="28" w:type="dxa"/>
          <w:bottom w:w="28" w:type="dxa"/>
          <w:right w:w="28" w:type="dxa"/>
        </w:tblCellMar>
      </w:tblPr>
      <w:tblGrid>
        <w:gridCol w:w="1771"/>
        <w:gridCol w:w="146"/>
        <w:gridCol w:w="325"/>
        <w:gridCol w:w="649"/>
        <w:gridCol w:w="225"/>
        <w:gridCol w:w="225"/>
        <w:gridCol w:w="325"/>
        <w:gridCol w:w="649"/>
        <w:gridCol w:w="146"/>
        <w:gridCol w:w="146"/>
        <w:gridCol w:w="211"/>
        <w:gridCol w:w="481"/>
        <w:gridCol w:w="166"/>
        <w:gridCol w:w="146"/>
        <w:gridCol w:w="146"/>
        <w:gridCol w:w="526"/>
        <w:gridCol w:w="166"/>
        <w:gridCol w:w="316"/>
      </w:tblGrid>
      <w:tr>
        <w:trPr/>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94" w:type="dxa"/>
            <w:gridSpan w:val="12"/>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67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decrease in interest expense, net of $0.4 million is primarily relating to the decrease in average borrowing for the period compared to the prior period as well as an increase in interest income of $0.2 million compared to the prior period.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Gain on extinguishment of seller note</w:t>
      </w:r>
    </w:p>
    <w:p>
      <w:pPr>
        <w:pStyle w:val="TextBody"/>
        <w:spacing w:before="0" w:after="0"/>
        <w:jc w:val="left"/>
        <w:rPr/>
      </w:pPr>
      <w:r>
        <w:rPr/>
        <w:t> </w:t>
      </w:r>
    </w:p>
    <w:tbl>
      <w:tblPr>
        <w:tblW w:w="8270" w:type="dxa"/>
        <w:jc w:val="left"/>
        <w:tblInd w:w="0" w:type="dxa"/>
        <w:tblCellMar>
          <w:top w:w="28" w:type="dxa"/>
          <w:left w:w="28" w:type="dxa"/>
          <w:bottom w:w="28" w:type="dxa"/>
          <w:right w:w="28" w:type="dxa"/>
        </w:tblCellMar>
      </w:tblPr>
      <w:tblGrid>
        <w:gridCol w:w="3181"/>
        <w:gridCol w:w="146"/>
        <w:gridCol w:w="296"/>
        <w:gridCol w:w="885"/>
        <w:gridCol w:w="232"/>
        <w:gridCol w:w="204"/>
        <w:gridCol w:w="296"/>
        <w:gridCol w:w="485"/>
        <w:gridCol w:w="146"/>
        <w:gridCol w:w="146"/>
        <w:gridCol w:w="211"/>
        <w:gridCol w:w="571"/>
        <w:gridCol w:w="146"/>
        <w:gridCol w:w="146"/>
        <w:gridCol w:w="146"/>
        <w:gridCol w:w="571"/>
        <w:gridCol w:w="146"/>
        <w:gridCol w:w="316"/>
      </w:tblGrid>
      <w:tr>
        <w:trPr/>
        <w:tc>
          <w:tcPr>
            <w:tcW w:w="3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4" w:type="dxa"/>
            <w:tcBorders/>
            <w:shd w:fill="auto" w:val="clear"/>
            <w:vAlign w:val="center"/>
          </w:tcPr>
          <w:p>
            <w:pPr>
              <w:pStyle w:val="TableContents"/>
              <w:spacing w:before="0" w:after="0"/>
              <w:ind w:left="0" w:right="0" w:hanging="0"/>
              <w:jc w:val="righ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64" w:type="dxa"/>
            <w:gridSpan w:val="12"/>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1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seller note</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4"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gain on extinguishment of seller note in the three months ended March 31, 2022 was attributable to the settlement of the Truweo seller note, which resulted in a $2.0 million in gain on extinguishment of seller note upon the extinguishment of the debt.</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i/>
          <w:sz w:val="20"/>
        </w:rPr>
        <w:t>Loss on initial issuance of equity</w:t>
      </w:r>
      <w:r>
        <w:rPr>
          <w:rFonts w:ascii="Times New Roman" w:hAnsi="Times New Roman"/>
          <w:sz w:val="20"/>
        </w:rPr>
        <w:t xml:space="preserve"> </w:t>
      </w:r>
    </w:p>
    <w:p>
      <w:pPr>
        <w:pStyle w:val="TextBody"/>
        <w:spacing w:before="0" w:after="0"/>
        <w:jc w:val="left"/>
        <w:rPr/>
      </w:pPr>
      <w:r>
        <w:rPr/>
        <w:t> </w:t>
      </w:r>
    </w:p>
    <w:tbl>
      <w:tblPr>
        <w:tblW w:w="7974" w:type="dxa"/>
        <w:jc w:val="left"/>
        <w:tblInd w:w="0" w:type="dxa"/>
        <w:tblCellMar>
          <w:top w:w="28" w:type="dxa"/>
          <w:left w:w="28" w:type="dxa"/>
          <w:bottom w:w="28" w:type="dxa"/>
          <w:right w:w="28" w:type="dxa"/>
        </w:tblCellMar>
      </w:tblPr>
      <w:tblGrid>
        <w:gridCol w:w="2806"/>
        <w:gridCol w:w="146"/>
        <w:gridCol w:w="310"/>
        <w:gridCol w:w="840"/>
        <w:gridCol w:w="214"/>
        <w:gridCol w:w="214"/>
        <w:gridCol w:w="310"/>
        <w:gridCol w:w="509"/>
        <w:gridCol w:w="146"/>
        <w:gridCol w:w="146"/>
        <w:gridCol w:w="211"/>
        <w:gridCol w:w="631"/>
        <w:gridCol w:w="166"/>
        <w:gridCol w:w="146"/>
        <w:gridCol w:w="146"/>
        <w:gridCol w:w="571"/>
        <w:gridCol w:w="146"/>
        <w:gridCol w:w="316"/>
      </w:tblGrid>
      <w:tr>
        <w:trPr/>
        <w:tc>
          <w:tcPr>
            <w:tcW w:w="28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4" w:type="dxa"/>
            <w:tcBorders/>
            <w:shd w:fill="auto" w:val="clear"/>
            <w:vAlign w:val="center"/>
          </w:tcPr>
          <w:p>
            <w:pPr>
              <w:pStyle w:val="TableContents"/>
              <w:spacing w:before="0" w:after="0"/>
              <w:ind w:left="0" w:right="0" w:hanging="0"/>
              <w:jc w:val="right"/>
              <w:rPr/>
            </w:pPr>
            <w:r>
              <w:rPr/>
              <w:t> </w:t>
            </w:r>
          </w:p>
        </w:tc>
        <w:tc>
          <w:tcPr>
            <w:tcW w:w="8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43" w:type="dxa"/>
            <w:gridSpan w:val="12"/>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71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initial issuance of equity</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214"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loss on initial issuance of equity is attributable to the issuance of common shares and initial valuation of the prefunded warrants and common stock warrants from our March 2022 equity raise of capital of $5.8 million in March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Change in fair market value of warrant liability</w:t>
      </w:r>
    </w:p>
    <w:p>
      <w:pPr>
        <w:pStyle w:val="TextBody"/>
        <w:spacing w:before="0" w:after="0"/>
        <w:jc w:val="left"/>
        <w:rPr/>
      </w:pPr>
      <w:r>
        <w:rPr/>
        <w:t> </w:t>
      </w:r>
    </w:p>
    <w:tbl>
      <w:tblPr>
        <w:tblW w:w="9074" w:type="dxa"/>
        <w:jc w:val="left"/>
        <w:tblInd w:w="0" w:type="dxa"/>
        <w:tblCellMar>
          <w:top w:w="28" w:type="dxa"/>
          <w:left w:w="28" w:type="dxa"/>
          <w:bottom w:w="28" w:type="dxa"/>
          <w:right w:w="28" w:type="dxa"/>
        </w:tblCellMar>
      </w:tblPr>
      <w:tblGrid>
        <w:gridCol w:w="3931"/>
        <w:gridCol w:w="146"/>
        <w:gridCol w:w="296"/>
        <w:gridCol w:w="803"/>
        <w:gridCol w:w="205"/>
        <w:gridCol w:w="205"/>
        <w:gridCol w:w="296"/>
        <w:gridCol w:w="592"/>
        <w:gridCol w:w="146"/>
        <w:gridCol w:w="146"/>
        <w:gridCol w:w="211"/>
        <w:gridCol w:w="631"/>
        <w:gridCol w:w="166"/>
        <w:gridCol w:w="146"/>
        <w:gridCol w:w="146"/>
        <w:gridCol w:w="526"/>
        <w:gridCol w:w="166"/>
        <w:gridCol w:w="316"/>
      </w:tblGrid>
      <w:tr>
        <w:trPr/>
        <w:tc>
          <w:tcPr>
            <w:tcW w:w="3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5" w:type="dxa"/>
            <w:tcBorders/>
            <w:shd w:fill="auto" w:val="clear"/>
            <w:vAlign w:val="center"/>
          </w:tcPr>
          <w:p>
            <w:pPr>
              <w:pStyle w:val="TableContents"/>
              <w:spacing w:before="0" w:after="0"/>
              <w:ind w:left="0" w:right="0" w:hanging="0"/>
              <w:jc w:val="right"/>
              <w:rPr/>
            </w:pPr>
            <w:r>
              <w:rPr/>
              <w:t> </w:t>
            </w:r>
          </w:p>
        </w:tc>
        <w:tc>
          <w:tcPr>
            <w:tcW w:w="8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43" w:type="dxa"/>
            <w:gridSpan w:val="12"/>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67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market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1,879</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2022 and 2023 activity is related to the change in fair market value of the warrant liabilities from the prefunded warrants and common stock warrants from our March 2022 equity raise of capital.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Cash Flows for the Three Months Ended March 31, 2022 and 2023</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following table provides information regarding our cash flows for the three months ended March 31, 2022 and 2023:</w:t>
      </w:r>
      <w:r>
        <w:rPr>
          <w:rFonts w:ascii="Times New Roman" w:hAnsi="Times New Roman"/>
          <w:sz w:val="20"/>
        </w:rPr>
        <w:t xml:space="preserve"> </w:t>
      </w:r>
    </w:p>
    <w:p>
      <w:pPr>
        <w:pStyle w:val="TextBody"/>
        <w:spacing w:before="0" w:after="0"/>
        <w:jc w:val="left"/>
        <w:rPr/>
      </w:pPr>
      <w:r>
        <w:rPr/>
        <w:t> </w:t>
      </w:r>
    </w:p>
    <w:tbl>
      <w:tblPr>
        <w:tblW w:w="7091" w:type="dxa"/>
        <w:jc w:val="left"/>
        <w:tblInd w:w="0" w:type="dxa"/>
        <w:tblCellMar>
          <w:top w:w="28" w:type="dxa"/>
          <w:left w:w="28" w:type="dxa"/>
          <w:bottom w:w="28" w:type="dxa"/>
          <w:right w:w="28" w:type="dxa"/>
        </w:tblCellMar>
      </w:tblPr>
      <w:tblGrid>
        <w:gridCol w:w="4336"/>
        <w:gridCol w:w="146"/>
        <w:gridCol w:w="229"/>
        <w:gridCol w:w="801"/>
        <w:gridCol w:w="180"/>
        <w:gridCol w:w="158"/>
        <w:gridCol w:w="229"/>
        <w:gridCol w:w="801"/>
        <w:gridCol w:w="211"/>
      </w:tblGrid>
      <w:tr>
        <w:trPr/>
        <w:tc>
          <w:tcPr>
            <w:tcW w:w="43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3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righ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used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(13,170</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(7,417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provided (used)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21,716</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 on cash</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 and restricted cash for the period</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8,359</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(10,431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60" w:after="0"/>
        <w:jc w:val="left"/>
        <w:rPr>
          <w:rFonts w:ascii="Times New Roman" w:hAnsi="Times New Roman"/>
          <w:sz w:val="20"/>
        </w:rPr>
      </w:pPr>
      <w:r>
        <w:rPr>
          <w:rFonts w:ascii="Times New Roman;serif" w:hAnsi="Times New Roman;serif"/>
          <w:b w:val="false"/>
          <w:i/>
          <w:sz w:val="20"/>
        </w:rPr>
        <w:t>Net Cash Used in Operating Activities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Net cash used in operating activities was $13.2 million for the three months ended March 31, 2022, resulting from our net cash losses from operations of $5.9 million, offset by and impacts from working capital of $7.3 million from changes in accounts receivable, purchases of inventory and payments of accounts payable.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Net cash used in operating activities was $7.4 million for the three months ended March 31, 2023, resulting primarily from our net cash losses from operations of $5.8 million, impacts from working capital of $1.6 million from changes in accounts receivable, purchases of inventory and payments of accounts payable. The reduction in accounts payable of $7.1 million from December 31, 2022 to March 31, 2023 primarily relates to payments for inventory and reduced purchases for the period.</w:t>
      </w:r>
    </w:p>
    <w:p>
      <w:pPr>
        <w:pStyle w:val="TextBody"/>
        <w:spacing w:before="0" w:after="0"/>
        <w:jc w:val="both"/>
        <w:rPr/>
      </w:pPr>
      <w:r>
        <w:rPr/>
        <w:t> </w:t>
      </w:r>
    </w:p>
    <w:p>
      <w:pPr>
        <w:pStyle w:val="TextBody"/>
        <w:spacing w:before="160" w:after="0"/>
        <w:jc w:val="both"/>
        <w:rPr>
          <w:rFonts w:ascii="Times New Roman" w:hAnsi="Times New Roman"/>
          <w:sz w:val="20"/>
        </w:rPr>
      </w:pPr>
      <w:r>
        <w:rPr>
          <w:rFonts w:ascii="Times New Roman;serif" w:hAnsi="Times New Roman;serif"/>
          <w:b w:val="false"/>
          <w:i/>
          <w:sz w:val="20"/>
        </w:rPr>
        <w:t>Net Cash Used in Investing Activities</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months ended March 31, 2022, net cash used in investing activities was less than $0.1 million.</w:t>
      </w:r>
    </w:p>
    <w:p>
      <w:pPr>
        <w:pStyle w:val="TextBody"/>
        <w:spacing w:before="240" w:after="0"/>
        <w:jc w:val="both"/>
        <w:rPr>
          <w:rFonts w:ascii="Times New Roman" w:hAnsi="Times New Roman"/>
          <w:sz w:val="20"/>
        </w:rPr>
      </w:pPr>
      <w:r>
        <w:rPr>
          <w:rFonts w:ascii="Times New Roman;serif" w:hAnsi="Times New Roman;serif"/>
          <w:b w:val="false"/>
          <w:sz w:val="20"/>
        </w:rPr>
        <w:t>For the three months ended March 31, 2023, net cash used in investing activities was $0.2 million primarily related to the remaining payment for the purchase of Step and Go assets which was acquired during the three months ending December 31,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Net Cash Provided (Used) by Financing Activities</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months ended March 31, 2022, cash provided by financing activities of $21.7 million was primarily from proceeds from an equity offering of $27.0 million and borrowings from the Credit Facility of $30.4 million offset by $1.0 million of repayments of notes issued to certain sellers in connection with our M&amp;A activity and repayments of the Credit Facility of $33.8 million.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For the three months ended March 31, 2023, cash used by financing activities of $3.0 million primarily from the net repayments for our MidCap credit facility of $2.1 million, repayment of note payable to Smash of $0.4 million and payment of insurance obligations of $0.5 million.</w:t>
      </w:r>
    </w:p>
    <w:p>
      <w:pPr>
        <w:pStyle w:val="TextBody"/>
        <w:spacing w:before="0" w:after="0"/>
        <w:jc w:val="both"/>
        <w:rPr/>
      </w:pPr>
      <w:r>
        <w:rPr/>
        <w:t> </w:t>
      </w:r>
    </w:p>
    <w:p>
      <w:pPr>
        <w:pStyle w:val="TextBody"/>
        <w:spacing w:before="0" w:after="0"/>
        <w:jc w:val="left"/>
        <w:rPr>
          <w:rFonts w:ascii="Times New Roman" w:hAnsi="Times New Roman"/>
          <w:sz w:val="20"/>
        </w:rPr>
      </w:pPr>
      <w:r>
        <w:rPr>
          <w:rFonts w:ascii="Times New Roman;serif" w:hAnsi="Times New Roman;serif"/>
          <w:b/>
          <w:i/>
          <w:sz w:val="20"/>
        </w:rPr>
        <w:t>Liquidity and Going Concern</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and negative cash flows for the foreseeable future until such time that we reach a scale of profitability to sustain our operations. In addition, our recent financial performance has been adversely impacted by the COVID-19 global pandemic and related global shipping disruption, in particular with respect to substantial increases in supply chain costs for shipping containers (See COVID-19 Pandemic and the Supply Chain below for additional details).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scale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spacing w:before="0" w:after="0"/>
        <w:jc w:val="both"/>
        <w:rPr>
          <w:rFonts w:ascii="Times New Roman" w:hAnsi="Times New Roman"/>
          <w:sz w:val="20"/>
        </w:rPr>
      </w:pPr>
      <w:r>
        <w:rPr>
          <w:rFonts w:ascii="Times New Roman;serif" w:hAnsi="Times New Roman;serif"/>
          <w:b w:val="false"/>
          <w:sz w:val="20"/>
        </w:rPr>
        <w:t>As of the date the accompanying Condensed Consolidated Financial Statements were issued (the “issuance date”), we evaluated the significance of the following adverse financial conditions in accordance with Accounting Standard Codification 205-40, Going Concern:</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Since our inception, we have incurred significant losses and used cash flows from operations to fund our enterprise. In this regard, during the three months ended March 31, 2023, we incurred a net loss of $25.8 million and used net cash flows in our operations of $7.4 million. In addition, as of March 31, 2023, we had unrestricted cash and cash equivalents of $33.9 million available to fund our operations and an accumulated deficit of $651.1 million.</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We are required to remain in compliance with certain financial covenants required by the MidCap Credit facility. 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 We were in compliance with these financial covenants as of December 31, 2022, and expect to remain in compliance through at least March 31, 2024. However, with our short history of forecasting our business during the ongoing COVID-19 global pandemic, the current record global inflation and related global supply chain disruptions, we can provide no assurances that we will remain in compliance with our financial covenants. Further, absent our ability to generate cash inflows from our operations or secure additional outside capital, we may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As of the issuance date, we have no firm commitments to secure additional outside capital from lenders or investors. While we are continually exploring additional outside capital, specifically to fund our M&amp;A strategy, there can be no assurance we will be able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We plan to continue to closely monitor our operating forecast, pursue our M&amp;A strategy, pursue additional sources of outside capital on terms that are acceptable to us, and secure a waiver or forbearance from MidCap if we are unable to remain in compliance with one or more of the covenants required by the MidCap Credit Facility. If some or all of our plans prove unsuccessful, we may need to implement short-term changes to our operating plan, such as delaying expenditures, reducing investments in new products, delaying the development of our software,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extBody"/>
        <w:spacing w:before="0" w:after="0"/>
        <w:jc w:val="both"/>
        <w:rPr>
          <w:rFonts w:ascii="Times New Roman" w:hAnsi="Times New Roman"/>
          <w:sz w:val="20"/>
        </w:rPr>
      </w:pPr>
      <w:r>
        <w:rPr>
          <w:rFonts w:ascii="Times New Roman;serif" w:hAnsi="Times New Roman;serif"/>
          <w:b w:val="false"/>
          <w:sz w:val="20"/>
        </w:rPr>
        <w:t>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April 24, 2023, we received a letter from the Listing Qualifications Staff of The Nasdaq Stock Market LLC (“Nasdaq”) indicating that, based 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 The Bid Price Notice has no immediate effect on the continued listing status of our common stock on The Nasdaq Capital Market, and, therefore, our listing remains fully effective.</w:t>
      </w:r>
      <w:r>
        <w:rPr>
          <w:rFonts w:ascii="Times New Roman" w:hAnsi="Times New Roman"/>
          <w:sz w:val="20"/>
        </w:rPr>
        <w:t xml:space="preserve"> </w:t>
      </w:r>
    </w:p>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the future, if our common stock remains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or failure to comply with the terms of our agreement with our current lender; limited liquidity for our stockholders due to thin trading; and the potential loss of confidence by investors, employees and other third parties who we do business with.</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On May 9, 2023, The Company announced a plan to reduce expenses by implementing a reduction in its current workforce leading to approximately $6.0 million of annualized savings. This headcount reduction will impact approximately 70 employees and 30 contractors, primarily in the Philippines. The Company expects to recognize restructuring charges in connection with the workforce reduction plan, primarily from severance in the range between $1.0 million to $1.3 million. The Company expects the charges will be recognized primarily in the second quarter of 2023, with the majority of such charges anticipated to be paid by the end of the third quarter of 2023.</w:t>
      </w:r>
      <w:r>
        <w:rPr>
          <w:rFonts w:ascii="Times New Roman" w:hAnsi="Times New Roman"/>
          <w:sz w:val="20"/>
        </w:rPr>
        <w:t xml:space="preserve"> </w:t>
      </w:r>
    </w:p>
    <w:p>
      <w:pPr>
        <w:pStyle w:val="TextBody"/>
        <w:spacing w:before="240" w:after="160"/>
        <w:jc w:val="both"/>
        <w:rPr>
          <w:rFonts w:ascii="Times New Roman" w:hAnsi="Times New Roman"/>
          <w:sz w:val="20"/>
        </w:rPr>
      </w:pPr>
      <w:r>
        <w:rPr>
          <w:rFonts w:ascii="Times New Roman;serif" w:hAnsi="Times New Roman;serif"/>
          <w:b/>
          <w:sz w:val="20"/>
        </w:rPr>
        <w:t>COVID-19 Pandemic and the Supply Chain—</w:t>
      </w:r>
      <w:r>
        <w:rPr>
          <w:rFonts w:ascii="Times New Roman;serif" w:hAnsi="Times New Roman;serif"/>
          <w:b w:val="false"/>
          <w:sz w:val="20"/>
        </w:rPr>
        <w:t>During 2022, we were impacted by the COVID-19 pandemic and related global shipping disruptions. Together these led to substantial increases in supply chain costs, in particular shipping containers, which we rely on to import our goods, reduced the reliability and timely delivery of such shipping containers and substantially increased our last mile shipping costs on our oversized goods which are a material part of our business. The reduced reliability and delivery of such shipping containers forced us to spend more on premium shipping to ensure goods were delivered, and the lack of reliability and timely delivery has further down chain impacts such as taking longer for containers to be offloaded and returned. Further, the global shipping disruption led us to increase our inventory on-hand, including advance ordering and taking possession of inventory earlier than expected, impacting our working capital.</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Third party last mile shipping partners, such as UPS and FedEx, continue to increase the cost of delivering goods to the end consumers as their delivery networks continue to be adjusted following the onset of the COVID-19 pandemic. There remains significant uncertainty to consumer demand and buying habits as price increases related to raw materials, the importing of goods, including tariffs, and the cost of delivering goods to consumers has led to inflation across the U.S. and potentially reduced demand for our products.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continue to consider the impact of COVID-19 and the related supply chain disruptions on the assumptions and estimates used when preparing our Condensed Consolidated Financial Statements including inventory valuation, and the impairment of long-lived assets. These assumptions and estimates may change. If economic conditions worsen beyond what is currently estimated by management, such future changes may have an adverse impact on our results of business, operations, financial results, and liquidity.</w:t>
      </w:r>
    </w:p>
    <w:p>
      <w:pPr>
        <w:pStyle w:val="TextBody"/>
        <w:spacing w:before="240" w:after="0"/>
        <w:jc w:val="both"/>
        <w:rPr>
          <w:rFonts w:ascii="Times New Roman" w:hAnsi="Times New Roman"/>
          <w:sz w:val="20"/>
        </w:rPr>
      </w:pPr>
      <w:r>
        <w:rPr>
          <w:rFonts w:ascii="Times New Roman;serif" w:hAnsi="Times New Roman;serif"/>
          <w:b/>
          <w:sz w:val="20"/>
        </w:rPr>
        <w:t>MidCap Credit Facility —</w:t>
      </w:r>
      <w:r>
        <w:rPr>
          <w:rFonts w:ascii="Times New Roman;serif" w:hAnsi="Times New Roman;serif"/>
          <w:b w:val="false"/>
          <w:sz w:val="20"/>
        </w:rPr>
        <w:t>On December 22, 2021, we entered into a Credit Facility with MidCap, pursuant to which, among other things, (i) 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200,000 shares of our common stock, in exchange for the Lenders extending loans and other extensions of credit to us under the Credit Facility.</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credit facility contains a financial covenant that requires us to maintain a minimum unrestricted cash balance of (a) $12.5 million during the period from February 1st through and including May 31st of each calendar year, and (b) $15.0 million at all other times. At its election, we may elect to comply with an alternative financial covenant that would require us to maintain a minimum borrowing availability under the credit facility of $10.0 million at all times. We currently do not anticipate electing the alternative financial covenant over the next twelve months and are in compliance with the minimum liquidity covenant as of the date these Condensed Consolidated Financial Statements were issued.</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outstanding balance on the MidCap credit facility as of December 31, 2022 and March 31, 2023 was $21.1 million and $19.1 million, respectively. The Company had $0.3 million of availability on the Midcap credit facility as of March 31, 2023. We are in compliance with the financial covenants contained within the Credit Agreement as of March 31, 2023.</w:t>
      </w:r>
      <w:r>
        <w:rPr>
          <w:rFonts w:ascii="Times New Roman" w:hAnsi="Times New Roman"/>
          <w:sz w:val="20"/>
        </w:rPr>
        <w:t xml:space="preserve"> </w:t>
      </w:r>
    </w:p>
    <w:p>
      <w:pPr>
        <w:pStyle w:val="TextBody"/>
        <w:spacing w:before="12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Non-GAAP Financial Measures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br/>
        <w:t>We believe that our financial statements and the other financial data included in this Quarterly Report have been prepared in a manner that complies, in all material respects, with generally accepted accounting principles in the U.S. (“GAAP”). However, for the reasons discussed below, we have presented certain non-GAAP measures herein.</w:t>
      </w:r>
    </w:p>
    <w:p>
      <w:pPr>
        <w:pStyle w:val="TextBody"/>
        <w:spacing w:before="0" w:after="0"/>
        <w:jc w:val="both"/>
        <w:rPr>
          <w:rFonts w:ascii="Times New Roman" w:hAnsi="Times New Roman"/>
          <w:sz w:val="20"/>
        </w:rPr>
      </w:pPr>
      <w:r>
        <w:rPr>
          <w:rFonts w:ascii="Times New Roman;serif" w:hAnsi="Times New Roman;serif"/>
          <w:b w:val="false"/>
          <w:sz w:val="20"/>
        </w:rPr>
        <w:t>We have presented the following non-GAAP measures to assist investors in understanding our core net operating results on an on-going basis: (i) Contribution margin; (ii) Contribution margin as a percentage of net revenue; (iii) EBITDA (iv) Adjusted EBITDA; and (v)</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Adjusted EBITDA as a percentage of net revenue. These non-GAAP financial measures may also assist investors in making comparisons of our core operating results with those of other companies.</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used herein, Contribution margin represents gross profit less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provision for income taxes. As used herein, Adjusted EBITDA represents EBITDA plus stock-based compensation expense, changes in fair-market value of earn-outs, profit and loss impacts from the issuance of common stock and/or warrants, changes in fair-market value of warrant liability, litigation settlements, impairment on goodwill and intangibles, gain from extinguishment of debt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pStyle w:val="TextBody"/>
        <w:spacing w:before="0" w:after="0"/>
        <w:jc w:val="both"/>
        <w:rPr>
          <w:rFonts w:ascii="Times New Roman" w:hAnsi="Times New Roman"/>
          <w:sz w:val="20"/>
        </w:rPr>
      </w:pPr>
      <w:r>
        <w:rPr>
          <w:rFonts w:ascii="Times New Roman;serif" w:hAnsi="Times New Roman;serif"/>
          <w:b w:val="false"/>
          <w:sz w:val="20"/>
        </w:rPr>
        <w:t>In the reconciliation to calculate contribution margin, we add e-commerce platform commissions, online advertising, selling and logistics expenses (“sales and distribution variable expense”) to gross profit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recognize that EBITDA, Adjusted EBITDA and Adjusted EBITDA as a percentage of net revenue, have limitations as analytical financial measures. For example, neither EBITDA nor Adjusted EBITDA reflects: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our capital expenditures or future requirements for capital expenditures or mergers and acquisitions;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the interest expense or the cash requirements necessary to service interest expense or principal payments, associated with indebtedness;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depreciation and amortization, which are non-cash charges, although the assets being depreciated and amortized will likely have to be replaced in the future, or any cash requirements for the replacement of assets;</w:t>
      </w:r>
    </w:p>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changes in cash requirements for our working capital needs; or</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changes in fair value of contingent earn-out liabilities, warrant liabilities, and amortization of inventory step-up from acquisitions (included in cost of goods sold).</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Additionally, Adjusted EBITDA excludes non-cash expense for stock-based compensation, which is and is expected to remain a key element of our overall long-term incentive compensation package.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also recognize that Contribution margin and Contribution margin as a percentage of net revenue have limitations as analytical financial measures. For example, Contribution margin does not reflect:</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general and administrative expense necessary to operate our business; research and development expenses necessary for the development, operation and support of our software platform;</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the fixed costs portion of our sales and distribution expenses including stock-based compensation expense; or</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 changes in fair value of contingent earn-out liabilities, warrant liabilities, and amortization of inventory step-up from acquisitions (included in cost of goods sold).</w:t>
      </w:r>
    </w:p>
    <w:p>
      <w:pPr>
        <w:pStyle w:val="TextBody"/>
        <w:spacing w:before="240" w:after="0"/>
        <w:jc w:val="both"/>
        <w:rPr>
          <w:rFonts w:ascii="Times New Roman;serif" w:hAnsi="Times New Roman;serif"/>
          <w:b w:val="false"/>
          <w:i/>
          <w:sz w:val="20"/>
        </w:rPr>
      </w:pPr>
      <w:r>
        <w:rPr>
          <w:rFonts w:ascii="Times New Roman;serif" w:hAnsi="Times New Roman;serif"/>
          <w:b w:val="false"/>
          <w:i/>
          <w:sz w:val="20"/>
        </w:rPr>
        <w:t>Contribution Margin</w:t>
      </w:r>
    </w:p>
    <w:p>
      <w:pPr>
        <w:pStyle w:val="TextBody"/>
        <w:spacing w:before="120" w:after="0"/>
        <w:jc w:val="both"/>
        <w:rPr>
          <w:rFonts w:ascii="Times New Roman" w:hAnsi="Times New Roman"/>
          <w:sz w:val="20"/>
        </w:rPr>
      </w:pPr>
      <w:r>
        <w:rPr>
          <w:rFonts w:ascii="Times New Roman;serif" w:hAnsi="Times New Roman;serif"/>
          <w:b w:val="false"/>
          <w:sz w:val="20"/>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r>
        <w:rPr>
          <w:rFonts w:ascii="Times New Roman" w:hAnsi="Times New Roman"/>
          <w:sz w:val="20"/>
        </w:rPr>
        <w:t xml:space="preserve"> </w:t>
      </w:r>
    </w:p>
    <w:p>
      <w:pPr>
        <w:pStyle w:val="TextBody"/>
        <w:spacing w:before="0" w:after="0"/>
        <w:jc w:val="both"/>
        <w:rPr/>
      </w:pPr>
      <w:r>
        <w:rPr/>
        <w:t> </w:t>
      </w:r>
    </w:p>
    <w:tbl>
      <w:tblPr>
        <w:tblW w:w="10007" w:type="dxa"/>
        <w:jc w:val="left"/>
        <w:tblInd w:w="0" w:type="dxa"/>
        <w:tblCellMar>
          <w:top w:w="28" w:type="dxa"/>
          <w:left w:w="28" w:type="dxa"/>
          <w:bottom w:w="28" w:type="dxa"/>
          <w:right w:w="28" w:type="dxa"/>
        </w:tblCellMar>
      </w:tblPr>
      <w:tblGrid>
        <w:gridCol w:w="7036"/>
        <w:gridCol w:w="225"/>
        <w:gridCol w:w="787"/>
        <w:gridCol w:w="176"/>
        <w:gridCol w:w="289"/>
        <w:gridCol w:w="225"/>
        <w:gridCol w:w="787"/>
        <w:gridCol w:w="166"/>
        <w:gridCol w:w="316"/>
      </w:tblGrid>
      <w:tr>
        <w:trPr/>
        <w:tc>
          <w:tcPr>
            <w:tcW w:w="703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7036" w:type="dxa"/>
            <w:tcBorders/>
            <w:shd w:fill="auto" w:val="clear"/>
            <w:vAlign w:val="center"/>
          </w:tcPr>
          <w:p>
            <w:pPr>
              <w:pStyle w:val="TableContents"/>
              <w:spacing w:before="0" w:after="0"/>
              <w:ind w:left="0" w:right="0" w:hanging="0"/>
              <w:jc w:val="center"/>
              <w:rPr/>
            </w:pPr>
            <w:r>
              <w:rPr/>
              <w:t> </w:t>
            </w:r>
          </w:p>
        </w:tc>
        <w:tc>
          <w:tcPr>
            <w:tcW w:w="248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7036" w:type="dxa"/>
            <w:tcBorders/>
            <w:shd w:fill="auto" w:val="clear"/>
            <w:vAlign w:val="center"/>
          </w:tcPr>
          <w:p>
            <w:pPr>
              <w:pStyle w:val="TableContents"/>
              <w:spacing w:before="0" w:after="0"/>
              <w:ind w:left="0" w:right="0" w:hanging="0"/>
              <w:jc w:val="center"/>
              <w:rPr/>
            </w:pPr>
            <w:r>
              <w:rPr/>
              <w:t> </w:t>
            </w:r>
          </w:p>
        </w:tc>
        <w:tc>
          <w:tcPr>
            <w:tcW w:w="10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9" w:type="dxa"/>
            <w:tcBorders/>
            <w:shd w:fill="auto" w:val="clear"/>
            <w:vAlign w:val="center"/>
          </w:tcPr>
          <w:p>
            <w:pPr>
              <w:pStyle w:val="TableContents"/>
              <w:spacing w:before="0" w:after="0"/>
              <w:ind w:left="0" w:right="0" w:hanging="0"/>
              <w:jc w:val="center"/>
              <w:rPr/>
            </w:pPr>
            <w:r>
              <w:rPr/>
              <w:t> </w:t>
            </w:r>
          </w:p>
        </w:tc>
        <w:tc>
          <w:tcPr>
            <w:tcW w:w="10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7036" w:type="dxa"/>
            <w:tcBorders/>
            <w:shd w:fill="auto" w:val="clear"/>
            <w:vAlign w:val="center"/>
          </w:tcPr>
          <w:p>
            <w:pPr>
              <w:pStyle w:val="TableContents"/>
              <w:spacing w:before="0" w:after="0"/>
              <w:ind w:left="0" w:right="0" w:hanging="0"/>
              <w:jc w:val="left"/>
              <w:rPr/>
            </w:pPr>
            <w:r>
              <w:rPr/>
              <w:t> </w:t>
            </w:r>
          </w:p>
        </w:tc>
        <w:tc>
          <w:tcPr>
            <w:tcW w:w="2489"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7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23,607</w:t>
            </w:r>
          </w:p>
        </w:tc>
        <w:tc>
          <w:tcPr>
            <w:tcW w:w="17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19,097</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7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w:t>
            </w:r>
          </w:p>
        </w:tc>
        <w:tc>
          <w:tcPr>
            <w:tcW w:w="1012" w:type="dxa"/>
            <w:gridSpan w:val="2"/>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righ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7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E-commerce platform commissions, online advertising, selling and logistics expenses</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(19,777</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7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Contribution margin</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3,830</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7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 as a percentage of net revenue</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w:t>
            </w:r>
          </w:p>
        </w:tc>
        <w:tc>
          <w:tcPr>
            <w:tcW w:w="17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w:t>
            </w:r>
          </w:p>
        </w:tc>
        <w:tc>
          <w:tcPr>
            <w:tcW w:w="166"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Contribution margin as a percentage of net revenue</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7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Adjusted EBITDA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provides a reconciliation of EBITDA and Adjusted EBITDA to net loss, which is the most directly comparable financial measure presented in accordance with GAAP:</w:t>
      </w:r>
    </w:p>
    <w:p>
      <w:pPr>
        <w:pStyle w:val="TextBody"/>
        <w:spacing w:before="0" w:after="0"/>
        <w:jc w:val="left"/>
        <w:rPr/>
      </w:pPr>
      <w:r>
        <w:rPr/>
        <w:t> </w:t>
      </w:r>
    </w:p>
    <w:tbl>
      <w:tblPr>
        <w:tblW w:w="7427" w:type="dxa"/>
        <w:jc w:val="left"/>
        <w:tblInd w:w="0" w:type="dxa"/>
        <w:tblCellMar>
          <w:top w:w="28" w:type="dxa"/>
          <w:left w:w="28" w:type="dxa"/>
          <w:bottom w:w="28" w:type="dxa"/>
          <w:right w:w="28" w:type="dxa"/>
        </w:tblCellMar>
      </w:tblPr>
      <w:tblGrid>
        <w:gridCol w:w="4456"/>
        <w:gridCol w:w="225"/>
        <w:gridCol w:w="787"/>
        <w:gridCol w:w="176"/>
        <w:gridCol w:w="289"/>
        <w:gridCol w:w="225"/>
        <w:gridCol w:w="787"/>
        <w:gridCol w:w="166"/>
        <w:gridCol w:w="316"/>
      </w:tblGrid>
      <w:tr>
        <w:trPr/>
        <w:tc>
          <w:tcPr>
            <w:tcW w:w="44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jc w:val="left"/>
              <w:rPr/>
            </w:pPr>
            <w:r>
              <w:rPr/>
              <w:t> </w:t>
            </w:r>
          </w:p>
        </w:tc>
        <w:tc>
          <w:tcPr>
            <w:tcW w:w="248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0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9" w:type="dxa"/>
            <w:tcBorders/>
            <w:shd w:fill="auto" w:val="clear"/>
            <w:vAlign w:val="center"/>
          </w:tcPr>
          <w:p>
            <w:pPr>
              <w:pStyle w:val="TableContents"/>
              <w:spacing w:before="0" w:after="0"/>
              <w:ind w:left="0" w:right="0" w:hanging="0"/>
              <w:jc w:val="center"/>
              <w:rPr/>
            </w:pPr>
            <w:r>
              <w:rPr/>
              <w:t> </w:t>
            </w:r>
          </w:p>
        </w:tc>
        <w:tc>
          <w:tcPr>
            <w:tcW w:w="10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2489" w:type="dxa"/>
            <w:gridSpan w:val="6"/>
            <w:tcBorders/>
            <w:shd w:fill="auto" w:val="cle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(in thousands, except percentages)</w:t>
            </w:r>
          </w:p>
        </w:tc>
        <w:tc>
          <w:tcPr>
            <w:tcW w:w="16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(42,776</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w:t>
            </w:r>
          </w:p>
        </w:tc>
        <w:tc>
          <w:tcPr>
            <w:tcW w:w="1012" w:type="dxa"/>
            <w:gridSpan w:val="2"/>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righ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101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17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w:t>
            </w:r>
          </w:p>
        </w:tc>
        <w:tc>
          <w:tcPr>
            <w:tcW w:w="17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1,846</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EBITDA</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(40,128</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contingent earn-out liabilities</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(2,775</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loss on goodwill</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29,020</w:t>
            </w:r>
          </w:p>
        </w:tc>
        <w:tc>
          <w:tcPr>
            <w:tcW w:w="17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Impairment loss on intangibles</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17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16,660</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extinguishment of seller note</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(2,012</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market value of warrant liability</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1,879</w:t>
            </w:r>
          </w:p>
        </w:tc>
        <w:tc>
          <w:tcPr>
            <w:tcW w:w="17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original issuance of equity</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5,835</w:t>
            </w:r>
          </w:p>
        </w:tc>
        <w:tc>
          <w:tcPr>
            <w:tcW w:w="17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Litigation reserve</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w:t>
            </w:r>
          </w:p>
        </w:tc>
        <w:tc>
          <w:tcPr>
            <w:tcW w:w="176" w:type="dxa"/>
            <w:tcBorders/>
            <w:shd w:fill="auto" w:val="cle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2,865</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(4,541</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9"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as a percentage of net revenue</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(102.6</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as a percentage of net revenue</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5" w:type="dxa"/>
            <w:tcBorders/>
            <w:shd w:fill="auto" w:val="clear"/>
            <w:vAlign w:val="center"/>
          </w:tcPr>
          <w:p>
            <w:pPr>
              <w:pStyle w:val="TableContents"/>
              <w:spacing w:before="0" w:after="0"/>
              <w:ind w:left="0" w:right="0" w:hanging="0"/>
              <w:jc w:val="left"/>
              <w:rPr/>
            </w:pPr>
            <w:r>
              <w:rPr/>
              <w:t> </w:t>
            </w:r>
          </w:p>
        </w:tc>
        <w:tc>
          <w:tcPr>
            <w:tcW w:w="7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360" w:after="0"/>
        <w:jc w:val="both"/>
        <w:rPr>
          <w:rFonts w:ascii="Times New Roman" w:hAnsi="Times New Roman"/>
          <w:sz w:val="20"/>
        </w:rPr>
      </w:pPr>
      <w:r>
        <w:rPr>
          <w:rFonts w:ascii="Times New Roman;serif" w:hAnsi="Times New Roman;serif"/>
          <w:b/>
          <w:sz w:val="20"/>
        </w:rPr>
        <w:t>Critical Accounting Policies and Use of Estimates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Our management’s discussion and analysis of our financial condition and results of operations is based on our financial statements, which have been prepared in accordance with U.S. generally accepted accounting principles. The preparation of these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While our significant accounting policies are described in more detail in the notes to our financial statements appearing elsewhere in this Quarterly Report, we believe the following accounting policies used in the preparation of our financial statements require the most significant judgments and estimates.</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There have been no material changes to our critical accounting policies as compared to the critical accounting policies and significant judgments and estimates as disclosed in our Annual Report on Form 10-K for fiscal year ended December 31, 2022, as filed with the SEC on March 16, 2023 (our “Annual Report”). For additional information, please refer to Note 2 of our Condensed Consolidated Financial Statements in this Quarterly Report on Form 10-Q.</w:t>
      </w:r>
    </w:p>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0"/>
        </w:rPr>
        <w:t>Intangible asset valuation</w:t>
      </w:r>
      <w:r>
        <w:rPr>
          <w:rFonts w:ascii="Times New Roman" w:hAnsi="Times New Roman"/>
          <w:sz w:val="20"/>
        </w:rPr>
        <w:t>—</w:t>
      </w:r>
      <w:r>
        <w:rPr>
          <w:rFonts w:ascii="Times New Roman;serif" w:hAnsi="Times New Roman;serif"/>
          <w:b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 ending March 31, 2023 within impairment loss on intangibles on the condensed consolidated statement of operations.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will continue to closely monitor actual results versus expectations as well as whether and to what extent any significant changes in current events or conditions, including changes to the impacts of COVID-19 on our business, result in corresponding changes to our expectations about future estimated cash flows. If our adjusted expectations of the operating results do not materialize, we may be required to record intangible impairment charges, which may be material.</w:t>
      </w:r>
    </w:p>
    <w:p>
      <w:pPr>
        <w:pStyle w:val="TextBody"/>
        <w:spacing w:before="0" w:after="0"/>
        <w:jc w:val="both"/>
        <w:rPr>
          <w:rFonts w:ascii="Times New Roman" w:hAnsi="Times New Roman"/>
          <w:sz w:val="20"/>
        </w:rPr>
      </w:pPr>
      <w:r>
        <w:rPr>
          <w:rFonts w:ascii="Times New Roman;serif" w:hAnsi="Times New Roman;serif"/>
          <w:b w:val="false"/>
          <w:sz w:val="20"/>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and future operating efficiencies.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60" w:after="0"/>
        <w:jc w:val="left"/>
        <w:rPr>
          <w:rFonts w:ascii="Times New Roman;serif" w:hAnsi="Times New Roman;serif"/>
          <w:b/>
          <w:sz w:val="20"/>
        </w:rPr>
      </w:pPr>
      <w:bookmarkStart w:id="11" w:name="item_3_quantitative_qualitative_disclosu"/>
      <w:bookmarkEnd w:id="11"/>
      <w:r>
        <w:rPr>
          <w:rFonts w:ascii="Times New Roman;serif" w:hAnsi="Times New Roman;serif"/>
          <w:b/>
          <w:sz w:val="20"/>
        </w:rPr>
        <w:t>Item 3. Quantitative and Qualitative Disclosures About Market Risk.</w:t>
      </w:r>
    </w:p>
    <w:p>
      <w:pPr>
        <w:pStyle w:val="TextBody"/>
        <w:spacing w:before="16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 addition, we have outstanding debt under the Credit Facility with MidCap that bears interest. As of March 31, 2023, our outstanding indebtedness under the Credit Facility was $19.1 million, which bears interest at a rate of Term Secured Overnight Financing Rate ("Term SOFR"), which is defined as SOFR plus 0.10%, plus 5.50%. We do not believe that an immediate 10% increase in interest rates would have a material effect on interest expense for the Credit Facility, and therefore we do not expect our operating results or cash flows to be materially affected to any degree by a sudden change in market interest.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U.S. represented approximately 3.4% and 4.0% of our net revenue for the three months ended March 31, 2022 and 2023, respectively.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U.S. To date, our foreign currency risk has been minimal, and we have not historically hedged our foreign currency risk; however, we may consider doing so in the future.</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Inflation would generally affect us by increasing our cost of labor and overhead costs. We do not believe that inflation had a direct material effect on our labor or overhead costs, and as such, on our business, financial condition or results of operations for the three months ended March 31, 2022 or March 31, 2023.</w:t>
      </w:r>
    </w:p>
    <w:p>
      <w:pPr>
        <w:pStyle w:val="TextBody"/>
        <w:spacing w:before="360" w:after="0"/>
        <w:jc w:val="both"/>
        <w:rPr>
          <w:rFonts w:ascii="Times New Roman" w:hAnsi="Times New Roman"/>
          <w:sz w:val="20"/>
        </w:rPr>
      </w:pPr>
      <w:bookmarkStart w:id="12" w:name="item_4_controls_procedures"/>
      <w:bookmarkEnd w:id="12"/>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pStyle w:val="TextBody"/>
        <w:spacing w:before="240" w:after="0"/>
        <w:jc w:val="both"/>
        <w:rPr>
          <w:rFonts w:ascii="Times New Roman" w:hAnsi="Times New Roman"/>
          <w:sz w:val="20"/>
        </w:rPr>
      </w:pPr>
      <w:r>
        <w:rPr>
          <w:rFonts w:ascii="Times New Roman;serif" w:hAnsi="Times New Roman;serif"/>
          <w:b w:val="false"/>
          <w:sz w:val="20"/>
        </w:rPr>
        <w:t>Based on the evaluation of our disclosure controls and procedures as of March 31, 2023, our Chief Executive Officer and Chief Financial Officer concluded that our disclosure controls and procedures were effective as of March 31, 2023.</w:t>
      </w:r>
      <w:r>
        <w:rPr>
          <w:rFonts w:ascii="Times New Roman" w:hAnsi="Times New Roman"/>
          <w:sz w:val="20"/>
        </w:rPr>
        <w:t xml:space="preserve"> </w:t>
      </w:r>
    </w:p>
    <w:p>
      <w:pPr>
        <w:pStyle w:val="TextBody"/>
        <w:spacing w:before="360" w:after="0"/>
        <w:jc w:val="both"/>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spacing w:before="120" w:after="0"/>
        <w:jc w:val="both"/>
        <w:rPr>
          <w:rFonts w:ascii="Times New Roman" w:hAnsi="Times New Roman"/>
          <w:sz w:val="20"/>
        </w:rPr>
      </w:pPr>
      <w:r>
        <w:rPr>
          <w:rFonts w:ascii="Times New Roman;serif" w:hAnsi="Times New Roman;serif"/>
          <w:b w:val="false"/>
          <w:sz w:val="20"/>
        </w:rPr>
        <w:t>There were no changes in our internal control over financial reporting that occurred during the three months ended March 31, 2023 that have materially affected, or are reasonably likely to materially affect, our internal control over financial reporting.</w:t>
      </w:r>
      <w:r>
        <w:rPr>
          <w:rFonts w:ascii="Times New Roman" w:hAnsi="Times New Roman"/>
          <w:sz w:val="20"/>
        </w:rPr>
        <w:t xml:space="preserve"> </w:t>
      </w:r>
    </w:p>
    <w:p>
      <w:pPr>
        <w:pStyle w:val="TextBody"/>
        <w:spacing w:before="360" w:after="0"/>
        <w:jc w:val="both"/>
        <w:rPr>
          <w:rFonts w:ascii="Times New Roman;serif" w:hAnsi="Times New Roman;serif"/>
          <w:b/>
          <w:i/>
          <w:sz w:val="20"/>
        </w:rPr>
      </w:pPr>
      <w:r>
        <w:rPr>
          <w:rFonts w:ascii="Times New Roman;serif" w:hAnsi="Times New Roman;serif"/>
          <w:b/>
          <w:i/>
          <w:sz w:val="20"/>
        </w:rPr>
        <w:t>Limitations on Effectiveness of Controls and Procedures</w:t>
      </w:r>
    </w:p>
    <w:p>
      <w:pPr>
        <w:pStyle w:val="TextBody"/>
        <w:spacing w:before="120" w:after="0"/>
        <w:jc w:val="both"/>
        <w:rPr>
          <w:rFonts w:ascii="Times New Roman" w:hAnsi="Times New Roman"/>
          <w:sz w:val="20"/>
        </w:rPr>
      </w:pPr>
      <w:r>
        <w:rPr>
          <w:rFonts w:ascii="Times New Roman;serif" w:hAnsi="Times New Roman;serif"/>
          <w:b w:val="false"/>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r>
        <w:rPr>
          <w:rFonts w:ascii="Times New Roman" w:hAnsi="Times New Roman"/>
          <w:sz w:val="20"/>
        </w:rPr>
        <w:t xml:space="preserve"> </w:t>
      </w:r>
    </w:p>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3" w:name="other_information"/>
      <w:bookmarkEnd w:id="13"/>
      <w:r>
        <w:rPr>
          <w:rFonts w:ascii="Times New Roman;serif" w:hAnsi="Times New Roman;serif"/>
          <w:b/>
          <w:sz w:val="20"/>
        </w:rPr>
        <w:t>PART II—OTHER INFORMATION</w:t>
      </w:r>
    </w:p>
    <w:p>
      <w:pPr>
        <w:pStyle w:val="TextBody"/>
        <w:spacing w:before="120" w:after="0"/>
        <w:jc w:val="left"/>
        <w:rPr>
          <w:rFonts w:ascii="Times New Roman;serif" w:hAnsi="Times New Roman;serif"/>
          <w:b/>
          <w:sz w:val="20"/>
        </w:rPr>
      </w:pPr>
      <w:bookmarkStart w:id="14" w:name="item_1_legal_proceedings"/>
      <w:bookmarkEnd w:id="14"/>
      <w:r>
        <w:rPr>
          <w:rFonts w:ascii="Times New Roman;serif" w:hAnsi="Times New Roman;serif"/>
          <w:b/>
          <w:sz w:val="20"/>
        </w:rPr>
        <w:t>Item 1. Legal Proceedings.</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information set forth under the headings “Shareholder Derivative Actions Related to the Securities Class Action”, "Earn-out Payment Dispute" and “Mueller Action” in Note 9 of our Condensed Consolidated Financial Statements in this Quarterly Report on Form 10-Q is incorporated herein by reference.</w:t>
      </w:r>
    </w:p>
    <w:p>
      <w:pPr>
        <w:pStyle w:val="TextBody"/>
        <w:spacing w:before="240" w:after="0"/>
        <w:jc w:val="both"/>
        <w:rPr>
          <w:rFonts w:ascii="Times New Roman" w:hAnsi="Times New Roman"/>
          <w:sz w:val="20"/>
        </w:rPr>
      </w:pPr>
      <w:r>
        <w:rPr>
          <w:rFonts w:ascii="Times New Roman;serif" w:hAnsi="Times New Roman;serif"/>
          <w:b w:val="false"/>
          <w:sz w:val="20"/>
        </w:rPr>
        <w:t>We are party to various actions and claims arising in the normal course of business. We do not believe that the final outcome of these matters will have a material adverse effect on our financial position or results of operations. In addition, we maintain what we believe is adequate insurance coverage to further mitigate risk. However, no assurance can be given that the final outcome of such proceedings will not materially impact our financial condition or results of operations. Further, no assurance can be given that the amount or scope of existing insurance coverage will be sufficient to cover losses arising from such matters.</w:t>
      </w:r>
      <w:r>
        <w:rPr>
          <w:rFonts w:ascii="Times New Roman" w:hAnsi="Times New Roman"/>
          <w:sz w:val="20"/>
        </w:rPr>
        <w:t xml:space="preserve"> </w:t>
      </w:r>
    </w:p>
    <w:p>
      <w:pPr>
        <w:pStyle w:val="TextBody"/>
        <w:spacing w:before="360" w:after="0"/>
        <w:jc w:val="both"/>
        <w:rPr>
          <w:rFonts w:ascii="Times New Roman;serif" w:hAnsi="Times New Roman;serif"/>
          <w:b/>
          <w:sz w:val="20"/>
        </w:rPr>
      </w:pPr>
      <w:bookmarkStart w:id="15" w:name="risk_factors"/>
      <w:bookmarkEnd w:id="15"/>
      <w:r>
        <w:rPr>
          <w:rFonts w:ascii="Times New Roman;serif" w:hAnsi="Times New Roman;serif"/>
          <w:b/>
          <w:sz w:val="20"/>
        </w:rPr>
        <w:t>Item 1A. Risk Factors.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Except as presented below, there have been no material changes from the risk factors associated with our business previously disclosed in our Annual Report.</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0"/>
        </w:rPr>
        <w:t>Item 1A. Risk Factors.</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Risks Relating to Our Business</w:t>
      </w:r>
    </w:p>
    <w:p>
      <w:pPr>
        <w:pStyle w:val="TextBody"/>
        <w:spacing w:before="0" w:after="0"/>
        <w:jc w:val="left"/>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We have historically operated at a loss and we may never achieve or sustain profitability or positive cash flows. Further we and our independent registered public accounting firm have expressed substantial doubt about our ability to continue as a going concern.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have historically operated at a loss and experienced losses after tax of $42.8 million and $25.8 million for the three months ended March 31, 2022 and 2023, respectively. In addition, our costs may increase in future periods, which could negatively affect our future operating results and ability to achieve and sustain profitability. For example, we may need to continue to expend substantial financial and other resources on the ideation, sourcing and development of products, our technology infrastructure, research and development, including the development of new features for our AIMEE software platform,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profitability. Even if we do, there can be no assurance that we will be able to maintain or increase profitability on a quarterly or annual basis. Failure to achieve or sustain profitability could have a material adverse effect on our business.</w:t>
      </w:r>
    </w:p>
    <w:p>
      <w:pPr>
        <w:pStyle w:val="TextBody"/>
        <w:spacing w:before="0" w:after="0"/>
        <w:jc w:val="both"/>
        <w:rPr>
          <w:rFonts w:ascii="Times New Roman;serif" w:hAnsi="Times New Roman;serif"/>
          <w:b w:val="false"/>
          <w:sz w:val="20"/>
        </w:rPr>
      </w:pPr>
      <w:r>
        <w:rPr>
          <w:rFonts w:ascii="Times New Roman;serif" w:hAnsi="Times New Roman;serif"/>
          <w:b w:val="false"/>
          <w:sz w:val="20"/>
        </w:rPr>
        <w:br/>
        <w:t>Our growth strategy has resulted in operating losses and negative cash flows from operations that raised substantial doubt about our ability to continue as a going concern. Our independent registered public accounting firm included an explanatory paragraph in its report on our financial statements as of and for the year-ended December 31, 2022,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delay the development of our software,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 xml:space="preserve">A significant majority of our revenue results from sales of products on Amazon’s U.S. Marketplace and any change, limitation, or restriction on our ability to operate on Amazon’s platform could have a material adverse impact on our business, operating results and financial condition. </w:t>
      </w:r>
      <w:r>
        <w:rPr>
          <w:rFonts w:ascii="Times New Roman;serif" w:hAnsi="Times New Roman;serif"/>
          <w:b w:val="false"/>
          <w:sz w:val="20"/>
        </w:rPr>
        <w:br/>
        <w:br/>
        <w:br/>
        <w:br/>
        <w:t xml:space="preserve">A substantial percentage of our revenue is from sales of products on Amazon’s U.S. marketplace and we are subject to Amazon’s terms of service (“ToS”) and various other Amazon seller policies that apply to third parties who sell products on Amazon’s marketplace. Amazon has the right to terminate or suspend our ability to sell on its platform at any time and for any reason. Amazon may also take other actions against us such as suspending or terminating our seller accounts or product listings and withholding payments owed to us indefinitely. From time to time in the past, we have experienced such adverse actions for products we have launched and products we have acquired and we can provide no assurance that we will be able to comply with Amazon's ToS. Further, in the event any of our seller accounts or product listings are suspended, or our product listings are required to be changed, for noncompliance or any other reason, our reinstatement efforts may take significant time and attention or could fail, which could have a material adverse effect on our business, operating results and financial condition. In addition, Amazon has made, and we expect will continue to make, changes to its platform that could require us to change the manner in which we operate, limit our ability to successfully market existing products and to launch new products or increase our costs to operate. Such changes and the efforts required to maintain compliance therewith could have an adverse effect on our business, operating results and financial condition. Examples of past changes from Amazon have included platform fee increases (i.e., storage, advertising, fulfillment and selling commissions), inventory warehouse limitations, restrictions on certain marketing activities and changes to listing requirements that limit the variations of products that can be included in a single listing. Any change, limitation or restriction on our ability to sell on Amazon’s platform, even if temporary, could have a material impact on our business, operating results and financial condition. We also rely on services provided by Amazon’s fulfillment platform, including its Prime badge program, in which Amazon guarantees expedited shipping of products we sell to the consumer, an important factor in the consumer’s buying decision. Further, Amazon allows us to fulfill from our own third-party warehouses directly to customers under the same Prime badge guarantee. Amazon may at any time decide to discontinue allowing us to fulfill sales of our products directly from our warehouse network or limit our ability to advertise on our product listings that such products will receive expedited shipping under its Prime badge program. Any such inability or limitation, could have a material impact on our business, results of operations, and financial condition. </w:t>
        <w:br/>
        <w:br/>
      </w:r>
      <w:r>
        <w:rPr>
          <w:rFonts w:ascii="Times New Roman" w:hAnsi="Times New Roman"/>
          <w:sz w:val="20"/>
        </w:rPr>
        <w:t> </w:t>
      </w:r>
    </w:p>
    <w:p>
      <w:pPr>
        <w:pStyle w:val="TextBody"/>
        <w:spacing w:before="0" w:after="0"/>
        <w:jc w:val="both"/>
        <w:rPr>
          <w:rFonts w:ascii="Times New Roman;serif" w:hAnsi="Times New Roman;serif"/>
          <w:b/>
          <w:i/>
          <w:sz w:val="20"/>
        </w:rPr>
      </w:pPr>
      <w:r>
        <w:rPr>
          <w:rFonts w:ascii="Times New Roman;serif" w:hAnsi="Times New Roman;serif"/>
          <w:b/>
          <w:i/>
          <w:sz w:val="20"/>
        </w:rPr>
        <w:t>We may be unable to attract, retain or motivate key personnel which could harm our business.</w:t>
      </w:r>
    </w:p>
    <w:p>
      <w:pPr>
        <w:pStyle w:val="TextBody"/>
        <w:spacing w:before="0" w:after="0"/>
        <w:jc w:val="both"/>
        <w:rPr>
          <w:rFonts w:ascii="Times New Roman" w:hAnsi="Times New Roman"/>
          <w:sz w:val="20"/>
        </w:rPr>
      </w:pPr>
      <w:r>
        <w:rPr>
          <w:rFonts w:ascii="Times New Roman;serif" w:hAnsi="Times New Roman;serif"/>
          <w:b w:val="false"/>
          <w:sz w:val="20"/>
        </w:rPr>
        <w:br/>
        <w:br/>
      </w:r>
      <w:r>
        <w:rPr>
          <w:rFonts w:ascii="Times New Roman" w:hAnsi="Times New Roman"/>
          <w:sz w:val="20"/>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Our future success depends on our continuing ability to attract, motivate and retain well qualified employees. Competition for well-qualified employees in all aspects of our business is intense globally. The loss of one or more of our key personnel or our inability to promptly identify a suitable successor to a key role, including through a succession plan, could have an adverse effect on our business. We have experienced higher than normal levels of turnover on our software development team and further departures could impact our ability to use AIMEE in our operations which could have a material impact on our business. Each of our executive officers, key technical personnel and other employees could terminate their employment relationship with us at any time. Moreover, we rely on stock-based compensation as a method to attract, retain and motivate our employees. If our common stock continues to be volatile or depressed, we may be unable to attract, retain and motivate employees, and if this occurs, it could have a material adverse effect on our business, operating results and financial condition. We do not currently maintain key person life insurance policies on any member of our senior management team and other key employees.</w:t>
        <w:br/>
        <w:br/>
      </w:r>
      <w:r>
        <w:rPr>
          <w:rFonts w:ascii="Times New Roman" w:hAnsi="Times New Roman"/>
          <w:sz w:val="20"/>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br/>
      </w:r>
      <w:r>
        <w:rPr>
          <w:rFonts w:ascii="Times New Roman;serif" w:hAnsi="Times New Roman;serif"/>
          <w:b/>
          <w:sz w:val="20"/>
        </w:rPr>
        <w:t>Risks Relating to the Ownership of our Common Stock</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There is no guarantee of a continuing public market for you to resell our common stock.</w:t>
      </w:r>
    </w:p>
    <w:p>
      <w:pPr>
        <w:pStyle w:val="TextBody"/>
        <w:spacing w:before="0" w:after="0"/>
        <w:jc w:val="both"/>
        <w:rPr>
          <w:rFonts w:ascii="Times New Roman;serif" w:hAnsi="Times New Roman;serif"/>
          <w:b w:val="false"/>
          <w:sz w:val="20"/>
        </w:rPr>
      </w:pPr>
      <w:r>
        <w:rPr>
          <w:rFonts w:ascii="Times New Roman;serif" w:hAnsi="Times New Roman;serif"/>
          <w:b w:val="false"/>
          <w:sz w:val="20"/>
        </w:rPr>
        <w:t>As of the date of this Quarterly Report, our stock has a minimum closing bid price below $1.00 per share. On April 24, 2023, we received a letter from the Listing Qualifications Staff of The Nasdaq Stock Market LLC (“Nasdaq”) indicating that, based 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w:t>
      </w:r>
    </w:p>
    <w:p>
      <w:pPr>
        <w:pStyle w:val="TextBody"/>
        <w:spacing w:before="0" w:after="0"/>
        <w:jc w:val="both"/>
        <w:rPr>
          <w:rFonts w:ascii="Times New Roman" w:hAnsi="Times New Roman"/>
          <w:sz w:val="20"/>
        </w:rPr>
      </w:pPr>
      <w:r>
        <w:rPr>
          <w:rFonts w:ascii="Times New Roman;serif" w:hAnsi="Times New Roman;serif"/>
          <w:b w:val="false"/>
          <w:sz w:val="20"/>
        </w:rPr>
        <w:t>The Bid Price Notice has no immediate effect on the continued listing status of our common stock on The Nasdaq Capital Market, and, therefore, our listing remains fully effective.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is provided a compliance period of 180 calendar days from the date of the Bid Price Notice, or until October 23, 2023, to regain compliance with the minimum closing bid requirement, pursuant to Nasdaq Listing Rule 5810(c)(3)(A). If at any time before October 23, 2023, the closing bid price of our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 If the Company does not regain compliance during the compliance period ending October 23, 2023, then Nasdaq may grant the Company a second 180 calendar day period to regain compliance, provided the Company meets the continued listing requirement for market value of publicly-held shares and all other initial listing standards for The Nasdaq Capital Market, other than the minimum closing bid price requirement, and notifies Nasdaq of its intent to cure the deficiency during the second compliance period.</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 will continue to monitor the closing bid price of its Common Stock and seek to regain compliance with all applicable Nasdaq requirements within the allotted compliance periods. If the Company does not regain compliance within the allotted compliance periods, including any extensions that may be granted by Nasdaq,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180-day compliance period, secure a second period of 180 days to regain compliance or maintain compliance with the other Nasdaq listing requirements.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the future, if our common stock remains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or failure to comply with the covenants with our current lenders; limited liquidity for our stockholders due to thin trading; and the potential loss of confidence by investors, employees and other third parties who we do business with.</w:t>
      </w:r>
    </w:p>
    <w:p>
      <w:pPr>
        <w:pStyle w:val="TextBody"/>
        <w:spacing w:before="0" w:after="0"/>
        <w:jc w:val="both"/>
        <w:rPr>
          <w:rFonts w:ascii="Times New Roman;serif" w:hAnsi="Times New Roman;serif"/>
          <w:b w:val="false"/>
          <w:sz w:val="20"/>
        </w:rPr>
      </w:pPr>
      <w:r>
        <w:rPr>
          <w:rFonts w:ascii="Times New Roman;serif" w:hAnsi="Times New Roman;serif"/>
          <w:b w:val="false"/>
          <w:sz w:val="20"/>
        </w:rPr>
        <w:br/>
        <w:t>Further, we may decide to effect a reverse split of our common stock which could impact the market price for our stock, limit our ability to raise capital or otherwise limit our ability to execute acquisition transactions and there is no assurance that the market price or trading volume for our common stock will not further decline after announcing or effecting such split.</w:t>
      </w:r>
    </w:p>
    <w:p>
      <w:pPr>
        <w:pStyle w:val="TextBody"/>
        <w:spacing w:before="0" w:after="0"/>
        <w:jc w:val="both"/>
        <w:rPr/>
      </w:pPr>
      <w:r>
        <w:rPr/>
        <w:t> </w:t>
      </w:r>
    </w:p>
    <w:p>
      <w:pPr>
        <w:pStyle w:val="TextBody"/>
        <w:spacing w:before="160" w:after="0"/>
        <w:jc w:val="left"/>
        <w:rPr>
          <w:rFonts w:ascii="Times New Roman;serif" w:hAnsi="Times New Roman;serif"/>
          <w:b/>
          <w:sz w:val="20"/>
        </w:rPr>
      </w:pPr>
      <w:bookmarkStart w:id="16" w:name="item_2_unregistered_sales_equity_securit"/>
      <w:bookmarkEnd w:id="16"/>
      <w:r>
        <w:rPr>
          <w:rFonts w:ascii="Times New Roman;serif" w:hAnsi="Times New Roman;serif"/>
          <w:b/>
          <w:sz w:val="20"/>
        </w:rPr>
        <w:t>Item 2. Unregistered Sales of Equity Securities and Use of Proceeds.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(a) Unregistered Sales of Equity Securities</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January 13, 2023, we entered into a consulting agreement with an advisory firm, pursuant to which the advisory firm agreed to provide us with certain management consulting, business and advisory services. As partial consideration for the services, we agreed to issue to the advisory firm 300,000 shares of restricted common stock, which shares were issued on January 13, 2023.</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October 10, 2022, we entered into a consulting agreement with an advisory firm, pursuant to which the advisory firm agreed to provide us with certain advisory services related to our M&amp;A strategy. As partial consideration for the services, we agreed to issue to the advisory firm 54,495.41 shares of restricted common stock, which shares were issued on October 25, 2022.</w:t>
      </w:r>
    </w:p>
    <w:p>
      <w:pPr>
        <w:pStyle w:val="TextBody"/>
        <w:spacing w:before="360" w:after="0"/>
        <w:jc w:val="both"/>
        <w:rPr>
          <w:rFonts w:ascii="Times New Roman;serif" w:hAnsi="Times New Roman;serif"/>
          <w:b/>
          <w:sz w:val="20"/>
        </w:rPr>
      </w:pPr>
      <w:r>
        <w:rPr>
          <w:rFonts w:ascii="Times New Roman;serif" w:hAnsi="Times New Roman;serif"/>
          <w:b/>
          <w:sz w:val="20"/>
        </w:rPr>
        <w:t>(b) Use of Proceeds from Registered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18" w:name="item_4_mine_safety_disclosures"/>
      <w:bookmarkEnd w:id="18"/>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360" w:after="0"/>
        <w:jc w:val="left"/>
        <w:rPr>
          <w:rFonts w:ascii="Times New Roman;serif" w:hAnsi="Times New Roman;serif"/>
          <w:b/>
          <w:sz w:val="20"/>
        </w:rPr>
      </w:pPr>
      <w:bookmarkStart w:id="19" w:name="item_5_or_information"/>
      <w:bookmarkEnd w:id="19"/>
      <w:r>
        <w:rPr>
          <w:rFonts w:ascii="Times New Roman;serif" w:hAnsi="Times New Roman;serif"/>
          <w:b/>
          <w:sz w:val="20"/>
        </w:rPr>
        <w:t>Item 5. Other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20" w:name="item_6_exhibits"/>
      <w:bookmarkEnd w:id="20"/>
      <w:r>
        <w:rPr>
          <w:rFonts w:ascii="Times New Roman;serif" w:hAnsi="Times New Roman;serif"/>
          <w:b/>
          <w:sz w:val="20"/>
        </w:rPr>
        <w:t>6. Exhibits.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06"/>
        <w:gridCol w:w="146"/>
        <w:gridCol w:w="146"/>
        <w:gridCol w:w="6044"/>
        <w:gridCol w:w="146"/>
        <w:gridCol w:w="519"/>
        <w:gridCol w:w="146"/>
        <w:gridCol w:w="791"/>
        <w:gridCol w:w="146"/>
        <w:gridCol w:w="590"/>
        <w:gridCol w:w="146"/>
        <w:gridCol w:w="679"/>
      </w:tblGrid>
      <w:tr>
        <w:trPr/>
        <w:tc>
          <w:tcPr>
            <w:tcW w:w="70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6044"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519"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79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590"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679" w:type="dxa"/>
            <w:tcBorders/>
            <w:shd w:fill="FFFFFF" w:val="clear"/>
            <w:vAlign w:val="center"/>
          </w:tcPr>
          <w:p>
            <w:pPr>
              <w:pStyle w:val="TableContents"/>
              <w:spacing w:before="0" w:after="283"/>
              <w:rPr>
                <w:sz w:val="4"/>
                <w:szCs w:val="4"/>
              </w:rPr>
            </w:pPr>
            <w:r>
              <w:rPr>
                <w:sz w:val="4"/>
                <w:szCs w:val="4"/>
              </w:rPr>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3017"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r>
      <w:tr>
        <w:trPr/>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File 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Asset Purchase Agreement, dated December 1, 2020, by and among (i) Aterian, Inc. and Truweo, LLC, as Purchaser, (ii) 9830 Macarthur LLC, Reliance Equities Group, LLC and ZN Direct LLC, as Sellers and (iii) Jelena Puzovic, as Founder.</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001-38937</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12/1/2020</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2.1</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Asset Purchase Agreement, dated February 2, 2021, by and among (i) Aterian, Inc. and Truweo, LLC, as Purchaser, (ii) Healing Solutions, LLC, (iii) Jason R. Hope, and (iv) for the purposes of Section 5.11 and Article VII, Super Transcontinental Holdings LLC.</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001-38937</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2/3/2020</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2.1</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Asset Purchase Agreement, dated May 5, 2021, by and among (i) the Company and Truweo, LLC, as Purchaser, (ii) Squatty Potty, LLC, and (iii) for the purposes of Section 5.7, Section 5.8, Section 5.11, Section 5.13 and Article VII, Edwards SP Holdings, LLC, Team Lindsey, LLC, SLEKT Investments, LLC, Sachs Capital Fund II, LLC, Sachs Capital-Squatty, LLC and Bevel Acquisition II, LLC.</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001-38937</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5/11/2021</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2.1</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Stock Purchase Agreement, dated May 5, 2021, by and among (i) the Company and Truweo, LLC, as Purchaser, (ii) Photo Paper Direct Ltd, (iii) Josef Eitan, and (iv) Ran Nir.</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left"/>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001-38937</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5/11/2021</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2.2</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6">
              <w:r>
                <w:rPr>
                  <w:rStyle w:val="InternetLink"/>
                  <w:rFonts w:ascii="Times New Roman;serif" w:hAnsi="Times New Roman;serif"/>
                  <w:b w:val="false"/>
                  <w:sz w:val="20"/>
                  <w:u w:val="single"/>
                </w:rPr>
                <w:t>Amended and Restated Certificate of Incorporation of Mohawk Group Holdings, Inc.</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001-38937</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6/14/2019</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7">
              <w:r>
                <w:rPr>
                  <w:rStyle w:val="InternetLink"/>
                  <w:rFonts w:ascii="Times New Roman;serif" w:hAnsi="Times New Roman;serif"/>
                  <w:b w:val="false"/>
                  <w:sz w:val="19"/>
                  <w:u w:val="single"/>
                </w:rPr>
                <w:t>Certificate of Amendment to Amended and Restated Certificate of Incorporation of Aterian, Inc.</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001-38937</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4/30/2021</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8">
              <w:r>
                <w:rPr>
                  <w:rStyle w:val="InternetLink"/>
                  <w:rFonts w:ascii="Times New Roman;serif" w:hAnsi="Times New Roman;serif"/>
                  <w:b w:val="false"/>
                  <w:sz w:val="19"/>
                  <w:u w:val="single"/>
                </w:rPr>
                <w:t>Certificate of Correction of Certificate of Amendment to the Amended and Restated Certificate of Incorporation of Aterian, Inc.</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001-38937</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4/30/2021</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9">
              <w:r>
                <w:rPr>
                  <w:rStyle w:val="InternetLink"/>
                  <w:rFonts w:ascii="Times New Roman;serif" w:hAnsi="Times New Roman;serif"/>
                  <w:b w:val="false"/>
                  <w:sz w:val="20"/>
                  <w:u w:val="single"/>
                </w:rPr>
                <w:t>Third Amended and Restated Bylaws of Aterian, Inc.</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001-38937</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6/1/2022</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10">
              <w:r>
                <w:rPr>
                  <w:rStyle w:val="InternetLink"/>
                  <w:rFonts w:ascii="Times New Roman;serif" w:hAnsi="Times New Roman;serif"/>
                  <w:b w:val="false"/>
                  <w:sz w:val="20"/>
                  <w:u w:val="single"/>
                </w:rPr>
                <w:t>Form of Common Stock Certificate.</w:t>
              </w:r>
            </w:hyperlink>
            <w:hyperlink r:id="rId11">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333-231381</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5/24/2019</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12">
              <w:r>
                <w:rPr>
                  <w:rStyle w:val="InternetLink"/>
                  <w:rFonts w:ascii="Times New Roman;serif" w:hAnsi="Times New Roman;serif"/>
                  <w:b w:val="false"/>
                  <w:sz w:val="20"/>
                  <w:u w:val="single"/>
                </w:rPr>
                <w:t>Form of Registration Rights Agreement, dated as of April 6, 2018, among Aterian, Inc. and the purchasers party thereto.</w:t>
              </w:r>
            </w:hyperlink>
            <w:hyperlink r:id="rId13">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333-231381</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5/10/2019</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14">
              <w:r>
                <w:rPr>
                  <w:rStyle w:val="InternetLink"/>
                  <w:rFonts w:ascii="Times New Roman;serif" w:hAnsi="Times New Roman;serif"/>
                  <w:b w:val="false"/>
                  <w:sz w:val="20"/>
                  <w:u w:val="single"/>
                </w:rPr>
                <w:t>Warrant to Purchase Stock, issued to MidCap Financial Trust on September 4, 2018.</w:t>
              </w:r>
            </w:hyperlink>
            <w:hyperlink r:id="rId15">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333-231381</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5/10/2019</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16">
              <w:r>
                <w:rPr>
                  <w:rStyle w:val="InternetLink"/>
                  <w:rFonts w:ascii="Times New Roman;serif" w:hAnsi="Times New Roman;serif"/>
                  <w:b w:val="false"/>
                  <w:sz w:val="20"/>
                  <w:u w:val="single"/>
                </w:rPr>
                <w:t>Form of Warrant, issued to Katalyst Securities LLC and its assigns on September 4, 2018.</w:t>
              </w:r>
            </w:hyperlink>
            <w:hyperlink r:id="rId17">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333-231381</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5/10/2019</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18">
              <w:r>
                <w:rPr>
                  <w:rStyle w:val="InternetLink"/>
                  <w:rFonts w:ascii="Times New Roman;serif" w:hAnsi="Times New Roman;serif"/>
                  <w:b w:val="false"/>
                  <w:sz w:val="20"/>
                  <w:u w:val="single"/>
                </w:rPr>
                <w:t>Form of Warrant, issued to Horizon Technology Finance Corporation on December 31, 2019.</w:t>
              </w:r>
            </w:hyperlink>
            <w:hyperlink r:id="rId19">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333-231381</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5/10/2019</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r>
        <w:trPr/>
        <w:tc>
          <w:tcPr>
            <w:tcW w:w="7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hyperlink r:id="rId20">
              <w:r>
                <w:rPr>
                  <w:rStyle w:val="InternetLink"/>
                  <w:rFonts w:ascii="Times New Roman;serif" w:hAnsi="Times New Roman;serif"/>
                  <w:b w:val="false"/>
                  <w:sz w:val="20"/>
                  <w:u w:val="single"/>
                </w:rPr>
                <w:t>Amendment No. 1 to Registration Rights Agreement, dated as of March 2, 2019, among Aterian, Inc. and the investors party thereto.</w:t>
              </w:r>
            </w:hyperlink>
            <w:hyperlink r:id="rId21">
              <w:r>
                <w:rPr>
                  <w:rStyle w:val="InternetLink"/>
                  <w:rFonts w:ascii="Times New Roman" w:hAnsi="Times New Roman"/>
                  <w:sz w:val="20"/>
                </w:rPr>
                <w:t xml:space="preserve"> </w:t>
              </w:r>
            </w:hyperlink>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333-231381</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5/10/2019</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4.6</w:t>
            </w:r>
          </w:p>
        </w:tc>
      </w:tr>
      <w:tr>
        <w:trPr/>
        <w:tc>
          <w:tcPr>
            <w:tcW w:w="7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9" w:type="dxa"/>
            <w:tcBorders/>
            <w:shd w:fill="auto" w:val="clear"/>
            <w:vAlign w:val="center"/>
          </w:tcPr>
          <w:p>
            <w:pPr>
              <w:pStyle w:val="TableContents"/>
              <w:spacing w:before="0" w:after="0"/>
              <w:ind w:left="0" w:right="0" w:hanging="0"/>
              <w:jc w:val="center"/>
              <w:rPr/>
            </w:pPr>
            <w:r>
              <w:rPr/>
              <w:t> </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60"/>
        <w:gridCol w:w="146"/>
        <w:gridCol w:w="146"/>
        <w:gridCol w:w="5932"/>
        <w:gridCol w:w="146"/>
        <w:gridCol w:w="511"/>
        <w:gridCol w:w="146"/>
        <w:gridCol w:w="794"/>
        <w:gridCol w:w="146"/>
        <w:gridCol w:w="654"/>
        <w:gridCol w:w="146"/>
        <w:gridCol w:w="678"/>
      </w:tblGrid>
      <w:tr>
        <w:trPr/>
        <w:tc>
          <w:tcPr>
            <w:tcW w:w="760"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5932"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51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794"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654"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678" w:type="dxa"/>
            <w:tcBorders/>
            <w:shd w:fill="FFFFFF" w:val="clear"/>
            <w:vAlign w:val="center"/>
          </w:tcPr>
          <w:p>
            <w:pPr>
              <w:pStyle w:val="TableContents"/>
              <w:spacing w:before="0" w:after="283"/>
              <w:rPr>
                <w:sz w:val="4"/>
                <w:szCs w:val="4"/>
              </w:rPr>
            </w:pPr>
            <w:r>
              <w:rPr>
                <w:sz w:val="4"/>
                <w:szCs w:val="4"/>
              </w:rPr>
            </w:r>
          </w:p>
        </w:tc>
      </w:tr>
      <w:tr>
        <w:trPr/>
        <w:tc>
          <w:tcPr>
            <w:tcW w:w="7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3075"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r>
      <w:tr>
        <w:trPr/>
        <w:tc>
          <w:tcPr>
            <w:tcW w:w="7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File 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tc>
      </w:tr>
      <w:tr>
        <w:trPr/>
        <w:tc>
          <w:tcPr>
            <w:tcW w:w="7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hyperlink w:anchor="ater-ex31_1.htm">
              <w:r>
                <w:rPr>
                  <w:rStyle w:val="InternetLink"/>
                  <w:rFonts w:ascii="Times New Roman;serif" w:hAnsi="Times New Roman;serif"/>
                  <w:b w:val="false"/>
                  <w:sz w:val="20"/>
                  <w:u w:val="single"/>
                </w:rPr>
                <w:t>Certifications of the Principal Executive Officer pursuant to Rule 13a-14(a) or 15d-14(a) of the Securities Exchange Act of 1934.</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hyperlink w:anchor="ater-ex31_2.htm">
              <w:r>
                <w:rPr>
                  <w:rStyle w:val="InternetLink"/>
                  <w:rFonts w:ascii="Times New Roman;serif" w:hAnsi="Times New Roman;serif"/>
                  <w:b w:val="false"/>
                  <w:sz w:val="20"/>
                  <w:u w:val="single"/>
                </w:rPr>
                <w:t>Certifications of the Principal Financial Officer pursuant to Rule 13a-14(a) or 15d-14(a) of the Securities Exchange Act of 1934.</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hyperlink w:anchor="ater-ex32_1.htm">
              <w:r>
                <w:rPr>
                  <w:rStyle w:val="InternetLink"/>
                  <w:rFonts w:ascii="Times New Roman;serif" w:hAnsi="Times New Roman;serif"/>
                  <w:b w:val="false"/>
                  <w:sz w:val="20"/>
                  <w:u w:val="single"/>
                </w:rPr>
                <w:t>Certifications of the Principal Executive Officer and Principal Financial Officer pursuant to 18 U.S.C. Section 1350, as adopted pursuant to Section 906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53" w:type="dxa"/>
            <w:gridSpan w:val="9"/>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3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8" w:type="dxa"/>
            <w:tcBorders/>
            <w:shd w:fill="auto" w:val="clear"/>
            <w:vAlign w:val="center"/>
          </w:tcPr>
          <w:p>
            <w:pPr>
              <w:pStyle w:val="TableContents"/>
              <w:spacing w:before="0" w:after="0"/>
              <w:ind w:left="0" w:right="0" w:hanging="0"/>
              <w:jc w:val="center"/>
              <w:rPr/>
            </w:pPr>
            <w:r>
              <w:rPr/>
              <w:t> </w:t>
            </w:r>
          </w:p>
        </w:tc>
      </w:tr>
      <w:tr>
        <w:trPr/>
        <w:tc>
          <w:tcPr>
            <w:tcW w:w="760" w:type="dxa"/>
            <w:tcBorders/>
            <w:shd w:fill="auto" w:val="clear"/>
            <w:vAlign w:val="center"/>
          </w:tcPr>
          <w:p>
            <w:pPr>
              <w:pStyle w:val="TableContents"/>
              <w:spacing w:before="0" w:after="0"/>
              <w:ind w:left="0" w:right="0" w:hanging="0"/>
              <w:jc w:val="center"/>
              <w:rPr/>
            </w:pPr>
            <w:r>
              <w:rPr/>
              <w:t> </w:t>
            </w: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53" w:type="dxa"/>
            <w:gridSpan w:val="9"/>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Furnished herewith.</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1" w:name="signatures"/>
      <w:bookmarkEnd w:id="21"/>
      <w:r>
        <w:rPr>
          <w:rFonts w:ascii="Times New Roman;serif" w:hAnsi="Times New Roman;serif"/>
          <w:b/>
          <w:sz w:val="20"/>
        </w:rPr>
        <w:t>SIGNATURES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Quarterly Report on Form 10-Q to be signed on its behalf by the undersigned thereunto duly authorized.</w:t>
      </w:r>
    </w:p>
    <w:p>
      <w:pPr>
        <w:pStyle w:val="TextBody"/>
        <w:spacing w:before="0" w:after="0"/>
        <w:jc w:val="left"/>
        <w:rPr/>
      </w:pPr>
      <w:r>
        <w:rPr/>
        <w:t> </w:t>
      </w:r>
    </w:p>
    <w:tbl>
      <w:tblPr>
        <w:tblW w:w="6018" w:type="dxa"/>
        <w:jc w:val="left"/>
        <w:tblInd w:w="0" w:type="dxa"/>
        <w:tblCellMar>
          <w:top w:w="28" w:type="dxa"/>
          <w:left w:w="28" w:type="dxa"/>
          <w:bottom w:w="28" w:type="dxa"/>
          <w:right w:w="28" w:type="dxa"/>
        </w:tblCellMar>
      </w:tblPr>
      <w:tblGrid>
        <w:gridCol w:w="1741"/>
        <w:gridCol w:w="406"/>
        <w:gridCol w:w="3871"/>
      </w:tblGrid>
      <w:tr>
        <w:trPr/>
        <w:tc>
          <w:tcPr>
            <w:tcW w:w="174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87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before="0" w:after="0"/>
              <w:ind w:left="0" w:right="0" w:hanging="0"/>
              <w:jc w:val="left"/>
              <w:rPr/>
            </w:pPr>
            <w:r>
              <w:rPr/>
              <w:t> </w:t>
            </w:r>
          </w:p>
        </w:tc>
        <w:tc>
          <w:tcPr>
            <w:tcW w:w="4277"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ATERIAN, INC.</w:t>
            </w:r>
          </w:p>
        </w:tc>
      </w:tr>
      <w:tr>
        <w:trPr/>
        <w:tc>
          <w:tcPr>
            <w:tcW w:w="174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Yaniv Sarig</w:t>
            </w:r>
          </w:p>
        </w:tc>
      </w:tr>
      <w:tr>
        <w:trPr/>
        <w:tc>
          <w:tcPr>
            <w:tcW w:w="174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Yaniv Sarig</w:t>
            </w:r>
          </w:p>
        </w:tc>
      </w:tr>
      <w:tr>
        <w:trPr/>
        <w:tc>
          <w:tcPr>
            <w:tcW w:w="174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Executive Officer and Director</w:t>
            </w:r>
          </w:p>
        </w:tc>
      </w:tr>
      <w:tr>
        <w:trPr/>
        <w:tc>
          <w:tcPr>
            <w:tcW w:w="174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74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left"/>
              <w:rPr/>
            </w:pPr>
            <w:r>
              <w:rPr/>
              <w:t> </w:t>
            </w:r>
          </w:p>
        </w:tc>
      </w:tr>
      <w:tr>
        <w:trPr/>
        <w:tc>
          <w:tcPr>
            <w:tcW w:w="1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10,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Arturo Rodriguez</w:t>
            </w:r>
          </w:p>
        </w:tc>
      </w:tr>
      <w:tr>
        <w:trPr/>
        <w:tc>
          <w:tcPr>
            <w:tcW w:w="174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Arturo Rodriguez</w:t>
            </w:r>
          </w:p>
        </w:tc>
      </w:tr>
      <w:tr>
        <w:trPr/>
        <w:tc>
          <w:tcPr>
            <w:tcW w:w="174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Accounting and Financial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r>
        <w:br w:type="page"/>
      </w:r>
    </w:p>
    <w:p>
      <w:pPr>
        <w:pStyle w:val="TextBody"/>
        <w:spacing w:before="0" w:after="0"/>
        <w:jc w:val="right"/>
        <w:rPr>
          <w:rFonts w:ascii="Times New Roman;serif" w:hAnsi="Times New Roman;serif"/>
          <w:b/>
          <w:sz w:val="20"/>
        </w:rPr>
      </w:pPr>
      <w:bookmarkStart w:id="22" w:name="dex312_htm"/>
      <w:bookmarkStart w:id="23" w:name="eolpage52"/>
      <w:bookmarkStart w:id="24" w:name="fis_exhibit_31_2"/>
      <w:bookmarkStart w:id="25" w:name="ater-ex31_1.htm"/>
      <w:bookmarkStart w:id="26" w:name="ksaterex31_1"/>
      <w:bookmarkEnd w:id="22"/>
      <w:bookmarkEnd w:id="23"/>
      <w:bookmarkEnd w:id="24"/>
      <w:bookmarkEnd w:id="25"/>
      <w:bookmarkEnd w:id="26"/>
      <w:r>
        <w:rPr>
          <w:rFonts w:ascii="Times New Roman;serif" w:hAnsi="Times New Roman;serif"/>
          <w:b/>
          <w:sz w:val="20"/>
        </w:rPr>
        <w:t>EXHIBIT 31.1</w:t>
      </w:r>
      <w:bookmarkStart w:id="27" w:name="fis_certification"/>
      <w:bookmarkEnd w:id="27"/>
    </w:p>
    <w:p>
      <w:pPr>
        <w:pStyle w:val="TextBody"/>
        <w:spacing w:before="180" w:after="0"/>
        <w:jc w:val="center"/>
        <w:rPr>
          <w:rFonts w:ascii="Times New Roman;serif" w:hAnsi="Times New Roman;serif"/>
          <w:b/>
          <w:sz w:val="20"/>
        </w:rPr>
      </w:pPr>
      <w:r>
        <w:rPr>
          <w:rFonts w:ascii="Times New Roman;serif" w:hAnsi="Times New Roman;serif"/>
          <w:b/>
          <w:sz w:val="20"/>
        </w:rPr>
        <w:t>CERTIFICATION OF PRINCIPAL EXECUTIVE OFFICER PURSUANT TO</w:t>
      </w:r>
    </w:p>
    <w:p>
      <w:pPr>
        <w:pStyle w:val="TextBody"/>
        <w:spacing w:before="0" w:after="0"/>
        <w:jc w:val="center"/>
        <w:rPr>
          <w:rFonts w:ascii="Times New Roman;serif" w:hAnsi="Times New Roman;serif"/>
          <w:b/>
          <w:sz w:val="20"/>
        </w:rPr>
      </w:pPr>
      <w:r>
        <w:rPr>
          <w:rFonts w:ascii="Times New Roman;serif" w:hAnsi="Times New Roman;serif"/>
          <w:b/>
          <w:sz w:val="20"/>
        </w:rPr>
        <w:t>RULE 13a-14(a)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 Yaniv Sarig, certify that:</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Aterian, Inc.;</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Date: May 10, 2023</w:t>
      </w:r>
    </w:p>
    <w:p>
      <w:pPr>
        <w:pStyle w:val="TextBody"/>
        <w:spacing w:before="0" w:after="0"/>
        <w:jc w:val="left"/>
        <w:rPr/>
      </w:pPr>
      <w:r>
        <w:rPr/>
        <w:t> </w:t>
      </w:r>
    </w:p>
    <w:tbl>
      <w:tblPr>
        <w:tblW w:w="2537" w:type="dxa"/>
        <w:jc w:val="left"/>
        <w:tblInd w:w="0" w:type="dxa"/>
        <w:tblCellMar>
          <w:top w:w="28" w:type="dxa"/>
          <w:left w:w="28" w:type="dxa"/>
          <w:bottom w:w="28" w:type="dxa"/>
          <w:right w:w="28" w:type="dxa"/>
        </w:tblCellMar>
      </w:tblPr>
      <w:tblGrid>
        <w:gridCol w:w="2537"/>
      </w:tblGrid>
      <w:tr>
        <w:trPr/>
        <w:tc>
          <w:tcPr>
            <w:tcW w:w="2537" w:type="dxa"/>
            <w:tcBorders/>
            <w:shd w:fill="auto" w:val="clear"/>
            <w:vAlign w:val="center"/>
          </w:tcPr>
          <w:p>
            <w:pPr>
              <w:pStyle w:val="TableContents"/>
              <w:spacing w:before="0" w:after="283"/>
              <w:rPr>
                <w:sz w:val="4"/>
                <w:szCs w:val="4"/>
              </w:rPr>
            </w:pPr>
            <w:r>
              <w:rPr>
                <w:sz w:val="4"/>
                <w:szCs w:val="4"/>
              </w:rPr>
            </w:r>
          </w:p>
        </w:tc>
      </w:tr>
      <w:tr>
        <w:trPr/>
        <w:tc>
          <w:tcPr>
            <w:tcW w:w="2537" w:type="dxa"/>
            <w:tcBorders/>
            <w:shd w:fill="auto" w:val="clear"/>
            <w:vAlign w:val="center"/>
          </w:tcPr>
          <w:p>
            <w:pPr>
              <w:pStyle w:val="TableContents"/>
              <w:spacing w:before="0" w:after="0"/>
              <w:ind w:left="0" w:right="0" w:hanging="0"/>
              <w:jc w:val="left"/>
              <w:rPr/>
            </w:pPr>
            <w:r>
              <w:rPr/>
              <w:t> </w:t>
            </w:r>
          </w:p>
        </w:tc>
      </w:tr>
      <w:tr>
        <w:trPr/>
        <w:tc>
          <w:tcPr>
            <w:tcW w:w="2537" w:type="dxa"/>
            <w:tcBorders>
              <w:bottom w:val="single" w:sz="6" w:space="0" w:color="000000"/>
            </w:tcBorders>
            <w:shd w:fill="auto" w:val="clear"/>
            <w:tcMar>
              <w:top w:w="0" w:type="dxa"/>
              <w:left w:w="0" w:type="dxa"/>
              <w:right w:w="0" w:type="dxa"/>
            </w:tcM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 Yaniv Sarig</w:t>
            </w:r>
          </w:p>
        </w:tc>
      </w:tr>
      <w:tr>
        <w:trPr/>
        <w:tc>
          <w:tcPr>
            <w:tcW w:w="253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Yaniv Sarig</w:t>
            </w:r>
          </w:p>
        </w:tc>
      </w:tr>
      <w:tr>
        <w:trPr/>
        <w:tc>
          <w:tcPr>
            <w:tcW w:w="2537"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Chief Executive Officer</w:t>
            </w:r>
          </w:p>
          <w:p>
            <w:pPr>
              <w:pStyle w:val="TableContents"/>
              <w:spacing w:before="0" w:after="0"/>
              <w:ind w:left="0" w:right="16"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28" w:name="fis_exhibit_32"/>
      <w:bookmarkStart w:id="29" w:name="eolpage53"/>
      <w:bookmarkStart w:id="30" w:name="dex321_htm"/>
      <w:bookmarkStart w:id="31" w:name="ater-ex31_2.htm"/>
      <w:bookmarkStart w:id="32" w:name="ksaterex31_2"/>
      <w:bookmarkEnd w:id="28"/>
      <w:bookmarkEnd w:id="29"/>
      <w:bookmarkEnd w:id="30"/>
      <w:bookmarkEnd w:id="31"/>
      <w:bookmarkEnd w:id="32"/>
      <w:r>
        <w:rPr>
          <w:rFonts w:ascii="Times New Roman;serif" w:hAnsi="Times New Roman;serif"/>
          <w:b/>
          <w:sz w:val="20"/>
        </w:rPr>
        <w:t>EXHIBIT 31.2</w:t>
      </w:r>
      <w:bookmarkStart w:id="33" w:name="fis_certification_2"/>
      <w:bookmarkEnd w:id="33"/>
    </w:p>
    <w:p>
      <w:pPr>
        <w:pStyle w:val="TextBody"/>
        <w:spacing w:before="180" w:after="0"/>
        <w:jc w:val="center"/>
        <w:rPr>
          <w:rFonts w:ascii="Times New Roman;serif" w:hAnsi="Times New Roman;serif"/>
          <w:b/>
          <w:sz w:val="20"/>
        </w:rPr>
      </w:pPr>
      <w:r>
        <w:rPr>
          <w:rFonts w:ascii="Times New Roman;serif" w:hAnsi="Times New Roman;serif"/>
          <w:b/>
          <w:sz w:val="20"/>
        </w:rPr>
        <w:t>CERTIFICATION OF PRINCIPAL FINANCIAL OFFICER PURSUANT</w:t>
      </w:r>
    </w:p>
    <w:p>
      <w:pPr>
        <w:pStyle w:val="TextBody"/>
        <w:spacing w:before="0" w:after="0"/>
        <w:jc w:val="center"/>
        <w:rPr>
          <w:rFonts w:ascii="Times New Roman;serif" w:hAnsi="Times New Roman;serif"/>
          <w:b/>
          <w:sz w:val="20"/>
        </w:rPr>
      </w:pPr>
      <w:r>
        <w:rPr>
          <w:rFonts w:ascii="Times New Roman;serif" w:hAnsi="Times New Roman;serif"/>
          <w:b/>
          <w:sz w:val="20"/>
        </w:rPr>
        <w:t>TO RULE 13a-14(a)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 Arturo Rodriguez, certify that:</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Aterian, Inc.;</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Date: May 10, 2023</w:t>
      </w:r>
    </w:p>
    <w:tbl>
      <w:tblPr>
        <w:tblW w:w="2552" w:type="dxa"/>
        <w:jc w:val="left"/>
        <w:tblInd w:w="0" w:type="dxa"/>
        <w:tblCellMar>
          <w:top w:w="28" w:type="dxa"/>
          <w:left w:w="28" w:type="dxa"/>
          <w:bottom w:w="28" w:type="dxa"/>
          <w:right w:w="28" w:type="dxa"/>
        </w:tblCellMar>
      </w:tblPr>
      <w:tblGrid>
        <w:gridCol w:w="2552"/>
      </w:tblGrid>
      <w:tr>
        <w:trPr/>
        <w:tc>
          <w:tcPr>
            <w:tcW w:w="2552" w:type="dxa"/>
            <w:tcBorders/>
            <w:shd w:fill="auto" w:val="clear"/>
            <w:vAlign w:val="center"/>
          </w:tcPr>
          <w:p>
            <w:pPr>
              <w:pStyle w:val="TableContents"/>
              <w:spacing w:before="0" w:after="283"/>
              <w:rPr>
                <w:sz w:val="4"/>
                <w:szCs w:val="4"/>
              </w:rPr>
            </w:pPr>
            <w:r>
              <w:rPr>
                <w:sz w:val="4"/>
                <w:szCs w:val="4"/>
              </w:rPr>
            </w:r>
          </w:p>
        </w:tc>
      </w:tr>
      <w:tr>
        <w:trPr/>
        <w:tc>
          <w:tcPr>
            <w:tcW w:w="2552" w:type="dxa"/>
            <w:tcBorders/>
            <w:shd w:fill="auto" w:val="clear"/>
            <w:vAlign w:val="center"/>
          </w:tcPr>
          <w:p>
            <w:pPr>
              <w:pStyle w:val="TableContents"/>
              <w:spacing w:before="0" w:after="0"/>
              <w:ind w:left="0" w:right="0" w:hanging="0"/>
              <w:jc w:val="left"/>
              <w:rPr/>
            </w:pPr>
            <w:r>
              <w:rPr/>
              <w:t> </w:t>
            </w:r>
          </w:p>
        </w:tc>
      </w:tr>
      <w:tr>
        <w:trPr/>
        <w:tc>
          <w:tcPr>
            <w:tcW w:w="2552" w:type="dxa"/>
            <w:tcBorders>
              <w:bottom w:val="single" w:sz="6" w:space="0" w:color="000000"/>
            </w:tcBorders>
            <w:shd w:fill="auto" w:val="clear"/>
            <w:tcMar>
              <w:top w:w="0" w:type="dxa"/>
              <w:left w:w="0" w:type="dxa"/>
              <w:right w:w="0" w:type="dxa"/>
            </w:tcM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 Arturo Rodriguez</w:t>
            </w:r>
          </w:p>
        </w:tc>
      </w:tr>
      <w:tr>
        <w:trPr/>
        <w:tc>
          <w:tcPr>
            <w:tcW w:w="25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Arturo Rodriguez</w:t>
            </w:r>
          </w:p>
        </w:tc>
      </w:tr>
      <w:tr>
        <w:trPr/>
        <w:tc>
          <w:tcPr>
            <w:tcW w:w="255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16" w:hanging="0"/>
              <w:jc w:val="left"/>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34" w:name="fis_certification_3"/>
      <w:bookmarkStart w:id="35" w:name="ater-ex32_1.htm"/>
      <w:bookmarkStart w:id="36" w:name="ksaterex32_1"/>
      <w:bookmarkEnd w:id="34"/>
      <w:bookmarkEnd w:id="35"/>
      <w:bookmarkEnd w:id="36"/>
      <w:r>
        <w:rPr>
          <w:rFonts w:ascii="Times New Roman;serif" w:hAnsi="Times New Roman;serif"/>
          <w:b/>
          <w:sz w:val="20"/>
        </w:rPr>
        <w:t>EXHIBIT 32.1</w:t>
      </w:r>
    </w:p>
    <w:p>
      <w:pPr>
        <w:pStyle w:val="TextBody"/>
        <w:spacing w:before="180" w:after="0"/>
        <w:jc w:val="center"/>
        <w:rPr>
          <w:rFonts w:ascii="Times New Roman;serif" w:hAnsi="Times New Roman;serif"/>
          <w:b/>
          <w:sz w:val="20"/>
        </w:rPr>
      </w:pPr>
      <w:r>
        <w:rPr>
          <w:rFonts w:ascii="Times New Roman;serif" w:hAnsi="Times New Roman;serif"/>
          <w:b/>
          <w:sz w:val="20"/>
        </w:rPr>
        <w:t>CERTIFICATION OF PRINCIPAL EXECUTIVE OFFICER AND PRINCIPAL FINANCIAL OFFICER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Aterian, Inc. (the “Company”) for the period ended March 31, 2023 as filed with the Securities and Exchange Commission on the date hereof (the “Report”), the undersigned hereby certify, pursuant to 18 U.S.C. Section 1350, as adopted pursuant to Section 906 of the Sarbanes-Oxley Act of 2002, to their knowledge that:</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as amended; and</w:t>
      </w:r>
    </w:p>
    <w:p>
      <w:pPr>
        <w:pStyle w:val="TextBody"/>
        <w:spacing w:before="9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tbl>
      <w:tblPr>
        <w:tblW w:w="5175" w:type="dxa"/>
        <w:jc w:val="left"/>
        <w:tblInd w:w="0" w:type="dxa"/>
        <w:tblCellMar>
          <w:top w:w="28" w:type="dxa"/>
          <w:left w:w="28" w:type="dxa"/>
          <w:bottom w:w="28" w:type="dxa"/>
          <w:right w:w="28" w:type="dxa"/>
        </w:tblCellMar>
      </w:tblPr>
      <w:tblGrid>
        <w:gridCol w:w="2492"/>
        <w:gridCol w:w="162"/>
        <w:gridCol w:w="2521"/>
      </w:tblGrid>
      <w:tr>
        <w:trPr/>
        <w:tc>
          <w:tcPr>
            <w:tcW w:w="249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2492" w:type="dxa"/>
            <w:tcBorders/>
            <w:shd w:fill="auto" w:val="clear"/>
            <w:vAlign w:val="center"/>
          </w:tcPr>
          <w:p>
            <w:pPr>
              <w:pStyle w:val="TableContents"/>
              <w:spacing w:before="0" w:after="0"/>
              <w:ind w:left="0" w:right="0" w:hanging="0"/>
              <w:jc w:val="left"/>
              <w:rPr/>
            </w:pPr>
            <w:r>
              <w:rPr/>
              <w:t> </w:t>
            </w:r>
          </w:p>
        </w:tc>
        <w:tc>
          <w:tcPr>
            <w:tcW w:w="2683" w:type="dxa"/>
            <w:gridSpan w:val="2"/>
            <w:tcBorders/>
            <w:shd w:fill="auto" w:val="clear"/>
            <w:vAlign w:val="center"/>
          </w:tcPr>
          <w:p>
            <w:pPr>
              <w:pStyle w:val="TableContents"/>
              <w:spacing w:before="0" w:after="0"/>
              <w:ind w:left="0" w:right="0" w:hanging="0"/>
              <w:jc w:val="left"/>
              <w:rPr/>
            </w:pPr>
            <w:r>
              <w:rPr/>
              <w:t> </w:t>
            </w:r>
          </w:p>
        </w:tc>
      </w:tr>
      <w:tr>
        <w:trPr/>
        <w:tc>
          <w:tcPr>
            <w:tcW w:w="2492" w:type="dxa"/>
            <w:tcBorders>
              <w:bottom w:val="single" w:sz="6" w:space="0" w:color="000000"/>
            </w:tcBorders>
            <w:shd w:fill="auto" w:val="clear"/>
            <w:tcMar>
              <w:top w:w="0" w:type="dxa"/>
              <w:left w:w="0" w:type="dxa"/>
              <w:right w:w="0" w:type="dxa"/>
            </w:tcM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 Yaniv Sarig</w:t>
            </w:r>
          </w:p>
        </w:tc>
        <w:tc>
          <w:tcPr>
            <w:tcW w:w="162"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21" w:type="dxa"/>
            <w:tcBorders>
              <w:bottom w:val="single" w:sz="4" w:space="0" w:color="000000"/>
            </w:tcBorders>
            <w:shd w:fill="auto" w:val="clear"/>
            <w:tcMar>
              <w:top w:w="0" w:type="dxa"/>
              <w:left w:w="0" w:type="dxa"/>
              <w:right w:w="0" w:type="dxa"/>
            </w:tcM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/s / Arturo Rodriguez</w:t>
            </w:r>
          </w:p>
        </w:tc>
      </w:tr>
      <w:tr>
        <w:trPr/>
        <w:tc>
          <w:tcPr>
            <w:tcW w:w="249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Yaniv Sarig</w:t>
            </w:r>
          </w:p>
        </w:tc>
        <w:tc>
          <w:tcPr>
            <w:tcW w:w="162" w:type="dxa"/>
            <w:tcBorders/>
            <w:shd w:fill="auto" w:val="clear"/>
            <w:vAlign w:val="center"/>
          </w:tcPr>
          <w:p>
            <w:pPr>
              <w:pStyle w:val="TableContents"/>
              <w:spacing w:before="0" w:after="0"/>
              <w:ind w:left="0" w:right="16" w:hanging="0"/>
              <w:jc w:val="left"/>
              <w:rPr/>
            </w:pPr>
            <w:r>
              <w:rPr/>
              <w:t> </w:t>
            </w:r>
          </w:p>
        </w:tc>
        <w:tc>
          <w:tcPr>
            <w:tcW w:w="25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Arturo Rodriguez</w:t>
            </w:r>
          </w:p>
        </w:tc>
      </w:tr>
      <w:tr>
        <w:trPr/>
        <w:tc>
          <w:tcPr>
            <w:tcW w:w="249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Chief Executive Officer</w:t>
            </w:r>
          </w:p>
        </w:tc>
        <w:tc>
          <w:tcPr>
            <w:tcW w:w="162" w:type="dxa"/>
            <w:tcBorders/>
            <w:shd w:fill="auto" w:val="clear"/>
            <w:vAlign w:val="center"/>
          </w:tcPr>
          <w:p>
            <w:pPr>
              <w:pStyle w:val="TableContents"/>
              <w:spacing w:before="0" w:after="0"/>
              <w:ind w:left="0" w:right="0" w:hanging="0"/>
              <w:jc w:val="left"/>
              <w:rPr/>
            </w:pPr>
            <w:r>
              <w:rPr/>
              <w:t> </w:t>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2492" w:type="dxa"/>
            <w:tcBorders/>
            <w:shd w:fill="auto" w:val="clear"/>
            <w:vAlign w:val="center"/>
          </w:tcPr>
          <w:p>
            <w:pPr>
              <w:pStyle w:val="TableContents"/>
              <w:spacing w:before="0" w:after="0"/>
              <w:ind w:left="0" w:right="16" w:hanging="0"/>
              <w:jc w:val="left"/>
              <w:rPr>
                <w:rFonts w:ascii="Times New Roman;serif" w:hAnsi="Times New Roman;serif"/>
                <w:b w:val="false"/>
                <w:i/>
                <w:sz w:val="20"/>
              </w:rPr>
            </w:pPr>
            <w:r>
              <w:rPr>
                <w:rFonts w:ascii="Times New Roman;serif" w:hAnsi="Times New Roman;serif"/>
                <w:b w:val="false"/>
                <w:i/>
                <w:sz w:val="20"/>
              </w:rPr>
              <w:t>(Principal Executive Officer)</w:t>
            </w:r>
          </w:p>
        </w:tc>
        <w:tc>
          <w:tcPr>
            <w:tcW w:w="162" w:type="dxa"/>
            <w:tcBorders/>
            <w:shd w:fill="auto" w:val="clear"/>
            <w:vAlign w:val="center"/>
          </w:tcPr>
          <w:p>
            <w:pPr>
              <w:pStyle w:val="TableContents"/>
              <w:spacing w:before="0" w:after="0"/>
              <w:ind w:left="0" w:right="0" w:hanging="0"/>
              <w:jc w:val="left"/>
              <w:rPr/>
            </w:pPr>
            <w:r>
              <w:rPr/>
              <w:t> </w:t>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r>
        <w:trPr/>
        <w:tc>
          <w:tcPr>
            <w:tcW w:w="2492"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May 10, 2023</w:t>
            </w:r>
          </w:p>
        </w:tc>
        <w:tc>
          <w:tcPr>
            <w:tcW w:w="162" w:type="dxa"/>
            <w:tcBorders/>
            <w:shd w:fill="auto" w:val="clear"/>
            <w:vAlign w:val="center"/>
          </w:tcPr>
          <w:p>
            <w:pPr>
              <w:pStyle w:val="TableContents"/>
              <w:spacing w:before="0" w:after="0"/>
              <w:ind w:left="0" w:right="0" w:hanging="0"/>
              <w:jc w:val="left"/>
              <w:rPr/>
            </w:pPr>
            <w:r>
              <w:rPr/>
              <w:t> </w:t>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10, 2023</w:t>
            </w:r>
          </w:p>
        </w:tc>
      </w:tr>
    </w:tbl>
    <w:p>
      <w:pPr>
        <w:pStyle w:val="TextBody"/>
        <w:spacing w:before="180" w:after="0"/>
        <w:jc w:val="left"/>
        <w:rPr>
          <w:rFonts w:ascii="Times New Roman;serif" w:hAnsi="Times New Roman;serif"/>
          <w:b w:val="false"/>
          <w:sz w:val="20"/>
        </w:rPr>
      </w:pPr>
      <w:r>
        <w:rPr>
          <w:rFonts w:ascii="Times New Roman;serif" w:hAnsi="Times New Roman;serif"/>
          <w:b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180" w:after="0"/>
        <w:jc w:val="left"/>
        <w:rPr>
          <w:rFonts w:ascii="Times New Roman;serif" w:hAnsi="Times New Roman;serif"/>
          <w:b w:val="false"/>
          <w:sz w:val="20"/>
        </w:rPr>
      </w:pPr>
      <w:r>
        <w:rPr>
          <w:rFonts w:ascii="Times New Roman;serif" w:hAnsi="Times New Roman;serif"/>
          <w:b w:val="false"/>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spacing w:before="180" w:after="0"/>
        <w:jc w:val="left"/>
        <w:rPr/>
      </w:pPr>
      <w:bookmarkStart w:id="37" w:name="dex322_htm"/>
      <w:bookmarkStart w:id="38" w:name="fis_certification_4"/>
      <w:bookmarkStart w:id="39" w:name="eolpage54"/>
      <w:bookmarkStart w:id="40" w:name="fis_exhibit_32_2"/>
      <w:bookmarkEnd w:id="37"/>
      <w:bookmarkEnd w:id="38"/>
      <w:bookmarkEnd w:id="39"/>
      <w:bookmarkEnd w:id="40"/>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7715/000119312520307364/d61785dex21.htm" TargetMode="External"/><Relationship Id="rId3" Type="http://schemas.openxmlformats.org/officeDocument/2006/relationships/hyperlink" Target="https://www.sec.gov/Archives/edgar/data/1757715/000119312521026328/d101467dex21.htm" TargetMode="External"/><Relationship Id="rId4" Type="http://schemas.openxmlformats.org/officeDocument/2006/relationships/hyperlink" Target="https://www.sec.gov/Archives/edgar/data/1757715/000119312521156839/d404633dex21.htm" TargetMode="External"/><Relationship Id="rId5" Type="http://schemas.openxmlformats.org/officeDocument/2006/relationships/hyperlink" Target="https://www.sec.gov/Archives/edgar/data/1757715/000119312521156839/d404633dex22.htm" TargetMode="External"/><Relationship Id="rId6" Type="http://schemas.openxmlformats.org/officeDocument/2006/relationships/hyperlink" Target="https://www.sec.gov/Archives/edgar/data/1757715/000119312519173667/d826688dex31.htm" TargetMode="External"/><Relationship Id="rId7" Type="http://schemas.openxmlformats.org/officeDocument/2006/relationships/hyperlink" Target="https://www.sec.gov/Archives/edgar/data/1757715/000119312521142247/d180974dex31.htm" TargetMode="External"/><Relationship Id="rId8" Type="http://schemas.openxmlformats.org/officeDocument/2006/relationships/hyperlink" Target="https://www.sec.gov/Archives/edgar/data/1757715/000119312521142247/d180974dex32.htm" TargetMode="External"/><Relationship Id="rId9" Type="http://schemas.openxmlformats.org/officeDocument/2006/relationships/hyperlink" Target="https://www.sec.gov/Archives/edgar/data/0001757715/000119312522165200/d339752dex31.htm" TargetMode="External"/><Relationship Id="rId10" Type="http://schemas.openxmlformats.org/officeDocument/2006/relationships/hyperlink" Target="https://www.sec.gov/Archives/edgar/data/1757715/000119312519157090/d639806dex41.htm" TargetMode="External"/><Relationship Id="rId11" Type="http://schemas.openxmlformats.org/officeDocument/2006/relationships/hyperlink" Target="https://www.sec.gov/Archives/edgar/data/1757715/000119312519157090/d639806dex41.htm" TargetMode="External"/><Relationship Id="rId12" Type="http://schemas.openxmlformats.org/officeDocument/2006/relationships/hyperlink" Target="https://www.sec.gov/Archives/edgar/data/1757715/000119312519144273/d639806dex42.htm" TargetMode="External"/><Relationship Id="rId13" Type="http://schemas.openxmlformats.org/officeDocument/2006/relationships/hyperlink" Target="https://www.sec.gov/Archives/edgar/data/1757715/000119312519144273/d639806dex42.htm" TargetMode="External"/><Relationship Id="rId14" Type="http://schemas.openxmlformats.org/officeDocument/2006/relationships/hyperlink" Target="https://www.sec.gov/Archives/edgar/data/1757715/000119312519144273/d639806dex43.htm" TargetMode="External"/><Relationship Id="rId15" Type="http://schemas.openxmlformats.org/officeDocument/2006/relationships/hyperlink" Target="https://www.sec.gov/Archives/edgar/data/1757715/000119312519144273/d639806dex43.htm" TargetMode="External"/><Relationship Id="rId16" Type="http://schemas.openxmlformats.org/officeDocument/2006/relationships/hyperlink" Target="https://www.sec.gov/Archives/edgar/data/1757715/000119312519144273/d639806dex44.htm" TargetMode="External"/><Relationship Id="rId17" Type="http://schemas.openxmlformats.org/officeDocument/2006/relationships/hyperlink" Target="https://www.sec.gov/Archives/edgar/data/1757715/000119312519144273/d639806dex44.htm" TargetMode="External"/><Relationship Id="rId18" Type="http://schemas.openxmlformats.org/officeDocument/2006/relationships/hyperlink" Target="https://www.sec.gov/Archives/edgar/data/1757715/000119312519144273/d639806dex45.htm" TargetMode="External"/><Relationship Id="rId19" Type="http://schemas.openxmlformats.org/officeDocument/2006/relationships/hyperlink" Target="https://www.sec.gov/Archives/edgar/data/1757715/000119312519144273/d639806dex45.htm" TargetMode="External"/><Relationship Id="rId20" Type="http://schemas.openxmlformats.org/officeDocument/2006/relationships/hyperlink" Target="https://www.sec.gov/Archives/edgar/data/1757715/000119312519144273/d639806dex46.htm" TargetMode="External"/><Relationship Id="rId21" Type="http://schemas.openxmlformats.org/officeDocument/2006/relationships/hyperlink" Target="https://www.sec.gov/Archives/edgar/data/1757715/000119312519144273/d639806dex46.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25271</Words>
  <CharactersWithSpaces>163740</CharactersWithSpaces>
  <Paragraphs>6151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