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4" w:lineRule="exact"/>
        <w:rPr>
          <w:sz w:val="24"/>
          <w:szCs w:val="24"/>
          <w:color w:val="auto"/>
        </w:rPr>
      </w:pPr>
    </w:p>
    <w:p>
      <w:pPr>
        <w:ind w:left="460" w:right="260" w:hanging="452"/>
        <w:spacing w:after="0" w:line="23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Mohawk Group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1"/>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Arial" w:cs="Arial" w:eastAsia="Arial" w:hAnsi="Arial"/>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left="1501"/>
              <w:spacing w:after="0"/>
              <w:rPr>
                <w:sz w:val="20"/>
                <w:szCs w:val="20"/>
                <w:color w:val="auto"/>
              </w:rPr>
            </w:pPr>
            <w:r>
              <w:rPr>
                <w:rFonts w:ascii="Arial" w:cs="Arial" w:eastAsia="Arial" w:hAnsi="Arial"/>
                <w:sz w:val="14"/>
                <w:szCs w:val="14"/>
                <w:b w:val="1"/>
                <w:bCs w:val="1"/>
                <w:color w:val="auto"/>
                <w:w w:val="94"/>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Arial" w:cs="Arial" w:eastAsia="Arial" w:hAnsi="Arial"/>
                <w:sz w:val="14"/>
                <w:szCs w:val="14"/>
                <w:b w:val="1"/>
                <w:bCs w:val="1"/>
                <w:color w:val="auto"/>
                <w:w w:val="95"/>
              </w:rPr>
              <w:t>Identification Number)</w:t>
            </w:r>
          </w:p>
        </w:tc>
      </w:tr>
      <w:tr>
        <w:trPr>
          <w:trHeight w:val="250"/>
        </w:trPr>
        <w:tc>
          <w:tcPr>
            <w:tcW w:w="39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5"/>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Arial" w:cs="Arial" w:eastAsia="Arial" w:hAnsi="Arial"/>
                <w:sz w:val="18"/>
                <w:szCs w:val="18"/>
                <w:b w:val="1"/>
                <w:bCs w:val="1"/>
                <w:color w:val="auto"/>
              </w:rPr>
              <w:t>10003</w:t>
            </w:r>
          </w:p>
        </w:tc>
      </w:tr>
      <w:tr>
        <w:trPr>
          <w:trHeight w:val="164"/>
        </w:trPr>
        <w:tc>
          <w:tcPr>
            <w:tcW w:w="3940" w:type="dxa"/>
            <w:vAlign w:val="bottom"/>
          </w:tcPr>
          <w:p>
            <w:pPr>
              <w:jc w:val="center"/>
              <w:ind w:left="150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Arial" w:cs="Arial" w:eastAsia="Arial" w:hAnsi="Arial"/>
                <w:sz w:val="13"/>
                <w:szCs w:val="13"/>
                <w:b w:val="1"/>
                <w:bCs w:val="1"/>
                <w:color w:val="auto"/>
                <w:w w:val="90"/>
              </w:rPr>
              <w:t>(Zip Code)</w:t>
            </w:r>
          </w:p>
        </w:tc>
      </w:tr>
      <w:tr>
        <w:trPr>
          <w:trHeight w:val="182"/>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86"/>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79"/>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Pr>
          <w:p>
            <w:pPr>
              <w:jc w:val="center"/>
              <w:ind w:right="543"/>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0"/>
        </w:trPr>
        <w:tc>
          <w:tcPr>
            <w:tcW w:w="3940" w:type="dxa"/>
            <w:vAlign w:val="bottom"/>
            <w:tcBorders>
              <w:top w:val="single" w:sz="8" w:color="auto"/>
            </w:tcBorders>
          </w:tcPr>
          <w:p>
            <w:pPr>
              <w:jc w:val="center"/>
              <w:ind w:left="381"/>
              <w:spacing w:after="0"/>
              <w:rPr>
                <w:sz w:val="20"/>
                <w:szCs w:val="20"/>
                <w:color w:val="auto"/>
              </w:rPr>
            </w:pPr>
            <w:r>
              <w:rPr>
                <w:rFonts w:ascii="Arial" w:cs="Arial" w:eastAsia="Arial" w:hAnsi="Arial"/>
                <w:sz w:val="16"/>
                <w:szCs w:val="16"/>
                <w:color w:val="auto"/>
                <w:w w:val="90"/>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MWK</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28, 2020, the registrant had 17,763,164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638810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38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vMerge w:val="restart"/>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3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38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38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38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3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Stockholder’s Equity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380" w:type="dxa"/>
            <w:vAlign w:val="bottom"/>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Cash Flows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380" w:type="dxa"/>
            <w:vAlign w:val="bottom"/>
          </w:tcPr>
          <w:p>
            <w:pPr>
              <w:ind w:left="1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80" w:type="dxa"/>
            <w:vAlign w:val="bottom"/>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tc>
        <w:tc>
          <w:tcPr>
            <w:tcW w:w="9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08" w:lineRule="exact"/>
        <w:rPr>
          <w:sz w:val="20"/>
          <w:szCs w:val="20"/>
          <w:color w:val="auto"/>
        </w:rPr>
      </w:pPr>
    </w:p>
    <w:p>
      <w:pPr>
        <w:ind w:left="880" w:right="2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to our business, revenue and financial condition, including our supply chain and our operations, due to the COVID-19 global pandemic;</w:t>
      </w:r>
    </w:p>
    <w:p>
      <w:pPr>
        <w:spacing w:after="0" w:line="62"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consumer spending will continue to shift online, and that such shift will continue even after the COVID-19 global pandemic ends;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personal protective equipment (“PPE”) net revenue in the second half of 2020;</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costs of goods sold and operating expenses;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grow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to meet our liquidity and operational needs and to execute our growth strategies;</w:t>
      </w:r>
    </w:p>
    <w:p>
      <w:pPr>
        <w:spacing w:after="0" w:line="113" w:lineRule="exact"/>
        <w:rPr>
          <w:rFonts w:ascii="Arial" w:cs="Arial" w:eastAsia="Arial" w:hAnsi="Arial"/>
          <w:sz w:val="18"/>
          <w:szCs w:val="18"/>
          <w:color w:val="auto"/>
        </w:rPr>
      </w:pPr>
    </w:p>
    <w:p>
      <w:pPr>
        <w:ind w:left="880" w:right="400" w:hanging="373"/>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technology platform, including our AIMEE (</w:t>
      </w:r>
      <w:r>
        <w:rPr>
          <w:rFonts w:ascii="Arial" w:cs="Arial" w:eastAsia="Arial" w:hAnsi="Arial"/>
          <w:sz w:val="18"/>
          <w:szCs w:val="18"/>
          <w:b w:val="1"/>
          <w:bCs w:val="1"/>
          <w:color w:val="auto"/>
        </w:rPr>
        <w:t>A</w:t>
      </w:r>
      <w:r>
        <w:rPr>
          <w:rFonts w:ascii="Arial" w:cs="Arial" w:eastAsia="Arial" w:hAnsi="Arial"/>
          <w:sz w:val="18"/>
          <w:szCs w:val="18"/>
          <w:color w:val="auto"/>
        </w:rPr>
        <w:t xml:space="preserve">rtificial </w:t>
      </w:r>
      <w:r>
        <w:rPr>
          <w:rFonts w:ascii="Arial" w:cs="Arial" w:eastAsia="Arial" w:hAnsi="Arial"/>
          <w:sz w:val="18"/>
          <w:szCs w:val="18"/>
          <w:b w:val="1"/>
          <w:bCs w:val="1"/>
          <w:color w:val="auto"/>
        </w:rPr>
        <w:t>I</w:t>
      </w:r>
      <w:r>
        <w:rPr>
          <w:rFonts w:ascii="Arial" w:cs="Arial" w:eastAsia="Arial" w:hAnsi="Arial"/>
          <w:sz w:val="18"/>
          <w:szCs w:val="18"/>
          <w:color w:val="auto"/>
        </w:rPr>
        <w:t xml:space="preserve">ntelligence </w:t>
      </w:r>
      <w:r>
        <w:rPr>
          <w:rFonts w:ascii="Arial" w:cs="Arial" w:eastAsia="Arial" w:hAnsi="Arial"/>
          <w:sz w:val="18"/>
          <w:szCs w:val="18"/>
          <w:b w:val="1"/>
          <w:bCs w:val="1"/>
          <w:color w:val="auto"/>
        </w:rPr>
        <w:t>M</w:t>
      </w:r>
      <w:r>
        <w:rPr>
          <w:rFonts w:ascii="Arial" w:cs="Arial" w:eastAsia="Arial" w:hAnsi="Arial"/>
          <w:sz w:val="18"/>
          <w:szCs w:val="18"/>
          <w:color w:val="auto"/>
        </w:rPr>
        <w:t xml:space="preserve">ohawk </w:t>
      </w:r>
      <w:r>
        <w:rPr>
          <w:rFonts w:ascii="Arial" w:cs="Arial" w:eastAsia="Arial" w:hAnsi="Arial"/>
          <w:sz w:val="18"/>
          <w:szCs w:val="18"/>
          <w:b w:val="1"/>
          <w:bCs w:val="1"/>
          <w:color w:val="auto"/>
        </w:rPr>
        <w:t>e</w:t>
      </w:r>
      <w:r>
        <w:rPr>
          <w:rFonts w:ascii="Arial" w:cs="Arial" w:eastAsia="Arial" w:hAnsi="Arial"/>
          <w:sz w:val="18"/>
          <w:szCs w:val="18"/>
          <w:color w:val="auto"/>
        </w:rPr>
        <w:t xml:space="preserve">-Commerce </w:t>
      </w:r>
      <w:r>
        <w:rPr>
          <w:rFonts w:ascii="Arial" w:cs="Arial" w:eastAsia="Arial" w:hAnsi="Arial"/>
          <w:sz w:val="18"/>
          <w:szCs w:val="18"/>
          <w:b w:val="1"/>
          <w:bCs w:val="1"/>
          <w:color w:val="auto"/>
        </w:rPr>
        <w:t>E</w:t>
      </w:r>
      <w:r>
        <w:rPr>
          <w:rFonts w:ascii="Arial" w:cs="Arial" w:eastAsia="Arial" w:hAnsi="Arial"/>
          <w:sz w:val="18"/>
          <w:szCs w:val="18"/>
          <w:color w:val="auto"/>
        </w:rPr>
        <w:t>ngine) software platform;</w:t>
      </w:r>
    </w:p>
    <w:p>
      <w:pPr>
        <w:spacing w:after="0" w:line="5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launch new products, including our ability to successfully manage supply chain risks;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merger and acquisition transactions;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total addressable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including our AIMEE software platform;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of qualified employees and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or to pursue litigation;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and obligations associated with being a public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10-Q.</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320" w:top="557" w:right="7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December 31, 2019</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INTANGIBLES—net</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Credit facility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21,657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53,226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0" w:type="dxa"/>
            <w:vAlign w:val="bottom"/>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40"/>
              <w:spacing w:after="0"/>
              <w:rPr>
                <w:sz w:val="20"/>
                <w:szCs w:val="20"/>
                <w:color w:val="auto"/>
              </w:rPr>
            </w:pPr>
            <w:r>
              <w:rPr>
                <w:rFonts w:ascii="Arial" w:cs="Arial" w:eastAsia="Arial" w:hAnsi="Arial"/>
                <w:sz w:val="18"/>
                <w:szCs w:val="18"/>
                <w:color w:val="auto"/>
              </w:rPr>
              <w:t>17,736,649 shares outstanding at December 31, 2019; 500,000,000 shares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authorized and 17,763,164 shares outstanding at June 30, 2020</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(129,809)</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(147,776)</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42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INTEREST EXPENSE—net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(INCOME)—net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w w:val="97"/>
              </w:rPr>
              <w:t>Weighted-average number of shares outstanding, basic and diluted</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12,206,747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15,425,312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11,872,326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15,308,966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Three Months Ended June 30,</w:t>
            </w:r>
          </w:p>
        </w:tc>
        <w:tc>
          <w:tcPr>
            <w:tcW w:w="260" w:type="dxa"/>
            <w:vAlign w:val="bottom"/>
          </w:tcPr>
          <w:p>
            <w:pPr>
              <w:spacing w:after="0"/>
              <w:rPr>
                <w:sz w:val="14"/>
                <w:szCs w:val="1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5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w w:val="93"/>
              </w:rPr>
              <w:t>Three Months Ended June 30, 2019</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3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Stockholders’</w:t>
            </w:r>
          </w:p>
        </w:tc>
        <w:tc>
          <w:tcPr>
            <w:tcW w:w="20" w:type="dxa"/>
            <w:vAlign w:val="bottom"/>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Income/(Loss)</w:t>
            </w: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9"/>
                <w:szCs w:val="19"/>
                <w:color w:val="auto"/>
              </w:rPr>
            </w:pPr>
          </w:p>
        </w:tc>
      </w:tr>
      <w:tr>
        <w:trPr>
          <w:trHeight w:val="22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BALANCE—April 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13,940,808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(79,409)</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Issuance of 88,548 shares of restricted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ind w:left="380"/>
              <w:spacing w:after="0"/>
              <w:rPr>
                <w:sz w:val="20"/>
                <w:szCs w:val="20"/>
                <w:color w:val="auto"/>
              </w:rPr>
            </w:pPr>
            <w:r>
              <w:rPr>
                <w:rFonts w:ascii="Arial" w:cs="Arial" w:eastAsia="Arial" w:hAnsi="Arial"/>
                <w:sz w:val="18"/>
                <w:szCs w:val="18"/>
                <w:color w:val="auto"/>
              </w:rPr>
              <w:t>common stock on May 17, 2019 and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ind w:left="380"/>
              <w:spacing w:after="0"/>
              <w:rPr>
                <w:sz w:val="20"/>
                <w:szCs w:val="20"/>
                <w:color w:val="auto"/>
              </w:rPr>
            </w:pPr>
            <w:r>
              <w:rPr>
                <w:rFonts w:ascii="Arial" w:cs="Arial" w:eastAsia="Arial" w:hAnsi="Arial"/>
                <w:sz w:val="18"/>
                <w:szCs w:val="18"/>
                <w:color w:val="auto"/>
              </w:rPr>
              <w:t>forfeiture of 69,141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restricted common stock (see Note 7)</w:t>
            </w:r>
          </w:p>
        </w:tc>
        <w:tc>
          <w:tcPr>
            <w:tcW w:w="1000" w:type="dxa"/>
            <w:vAlign w:val="bottom"/>
          </w:tcPr>
          <w:p>
            <w:pPr>
              <w:jc w:val="right"/>
              <w:spacing w:after="0"/>
              <w:rPr>
                <w:sz w:val="20"/>
                <w:szCs w:val="20"/>
                <w:color w:val="auto"/>
              </w:rPr>
            </w:pPr>
            <w:r>
              <w:rPr>
                <w:rFonts w:ascii="Arial" w:cs="Arial" w:eastAsia="Arial" w:hAnsi="Arial"/>
                <w:sz w:val="18"/>
                <w:szCs w:val="18"/>
                <w:color w:val="auto"/>
              </w:rPr>
              <w:t>19,407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64,982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on June 12, 2019 (see</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 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Issuance of 3,600,000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ind w:left="380"/>
              <w:spacing w:after="0"/>
              <w:rPr>
                <w:sz w:val="20"/>
                <w:szCs w:val="20"/>
                <w:color w:val="auto"/>
              </w:rPr>
            </w:pPr>
            <w:r>
              <w:rPr>
                <w:rFonts w:ascii="Arial" w:cs="Arial" w:eastAsia="Arial" w:hAnsi="Arial"/>
                <w:sz w:val="18"/>
                <w:szCs w:val="18"/>
                <w:color w:val="auto"/>
              </w:rPr>
              <w:t>common stock on June 14, 2019 (see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Note 1)</w:t>
            </w:r>
          </w:p>
        </w:tc>
        <w:tc>
          <w:tcPr>
            <w:tcW w:w="1000" w:type="dxa"/>
            <w:vAlign w:val="bottom"/>
          </w:tcPr>
          <w:p>
            <w:pPr>
              <w:jc w:val="right"/>
              <w:spacing w:after="0"/>
              <w:rPr>
                <w:sz w:val="20"/>
                <w:szCs w:val="20"/>
                <w:color w:val="auto"/>
              </w:rPr>
            </w:pPr>
            <w:r>
              <w:rPr>
                <w:rFonts w:ascii="Arial" w:cs="Arial" w:eastAsia="Arial" w:hAnsi="Arial"/>
                <w:sz w:val="18"/>
                <w:szCs w:val="18"/>
                <w:color w:val="auto"/>
              </w:rPr>
              <w:t>3,600,000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BALANCE—June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17,625,241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(96,288)</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w w:val="93"/>
              </w:rPr>
              <w:t>Three Months Ended June 30, 2020</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Stockholders’</w:t>
            </w:r>
          </w:p>
        </w:tc>
        <w:tc>
          <w:tcPr>
            <w:tcW w:w="20" w:type="dxa"/>
            <w:vAlign w:val="bottom"/>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Income/(Loss)</w:t>
            </w: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9"/>
                <w:szCs w:val="19"/>
                <w:color w:val="auto"/>
              </w:rPr>
            </w:pPr>
          </w:p>
        </w:tc>
      </w:tr>
      <w:tr>
        <w:trPr>
          <w:trHeight w:val="22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BALANCE—April 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17,763,994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147,777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(144,839</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Forfeiture of 134,366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restricted common stock</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(134,366)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134,364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Shares of restricted common stock</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tcPr>
          <w:p>
            <w:pPr>
              <w:ind w:left="340"/>
              <w:spacing w:after="0"/>
              <w:rPr>
                <w:sz w:val="20"/>
                <w:szCs w:val="20"/>
                <w:color w:val="auto"/>
              </w:rPr>
            </w:pPr>
            <w:r>
              <w:rPr>
                <w:rFonts w:ascii="Arial" w:cs="Arial" w:eastAsia="Arial" w:hAnsi="Arial"/>
                <w:sz w:val="18"/>
                <w:szCs w:val="18"/>
                <w:color w:val="auto"/>
              </w:rPr>
              <w:t>retired in connection with vesting</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17,763,164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(147,776</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w w:val="96"/>
              </w:rPr>
              <w:t>Six Months Ended June 30, 2019</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center"/>
              <w:ind w:right="20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74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37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BALANCE—January 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11,534,190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76,348</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(71,020)</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(25,268)</w:t>
            </w:r>
          </w:p>
        </w:tc>
        <w:tc>
          <w:tcPr>
            <w:tcW w:w="100" w:type="dxa"/>
            <w:vAlign w:val="bottom"/>
            <w:shd w:val="clear" w:color="auto" w:fill="CFF0FC"/>
          </w:tcPr>
          <w:p>
            <w:pPr>
              <w:spacing w:after="0"/>
              <w:rPr>
                <w:sz w:val="19"/>
                <w:szCs w:val="19"/>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Issuance of 2,406,618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ind w:left="380"/>
              <w:spacing w:after="0"/>
              <w:rPr>
                <w:sz w:val="20"/>
                <w:szCs w:val="20"/>
                <w:color w:val="auto"/>
              </w:rPr>
            </w:pPr>
            <w:r>
              <w:rPr>
                <w:rFonts w:ascii="Arial" w:cs="Arial" w:eastAsia="Arial" w:hAnsi="Arial"/>
                <w:sz w:val="18"/>
                <w:szCs w:val="18"/>
                <w:color w:val="auto"/>
              </w:rPr>
              <w:t>restricted common stock on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March 20, 2019 (see Note 7)</w:t>
            </w:r>
          </w:p>
        </w:tc>
        <w:tc>
          <w:tcPr>
            <w:tcW w:w="1000" w:type="dxa"/>
            <w:vAlign w:val="bottom"/>
          </w:tcPr>
          <w:p>
            <w:pPr>
              <w:jc w:val="right"/>
              <w:spacing w:after="0"/>
              <w:rPr>
                <w:sz w:val="20"/>
                <w:szCs w:val="20"/>
                <w:color w:val="auto"/>
              </w:rPr>
            </w:pPr>
            <w:r>
              <w:rPr>
                <w:rFonts w:ascii="Arial" w:cs="Arial" w:eastAsia="Arial" w:hAnsi="Arial"/>
                <w:sz w:val="18"/>
                <w:szCs w:val="18"/>
                <w:color w:val="auto"/>
              </w:rPr>
              <w:t>2,406,618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88,548 shares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restricted common stock on</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May 17, 2019 and forfeiture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69,141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(see Note 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Issuance of 64,982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ind w:left="380"/>
              <w:spacing w:after="0"/>
              <w:rPr>
                <w:sz w:val="20"/>
                <w:szCs w:val="20"/>
                <w:color w:val="auto"/>
              </w:rPr>
            </w:pPr>
            <w:r>
              <w:rPr>
                <w:rFonts w:ascii="Arial" w:cs="Arial" w:eastAsia="Arial" w:hAnsi="Arial"/>
                <w:sz w:val="18"/>
                <w:szCs w:val="18"/>
                <w:color w:val="auto"/>
              </w:rPr>
              <w:t>restricted common stock on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June 12, 2019 (see Note 7)</w:t>
            </w:r>
          </w:p>
        </w:tc>
        <w:tc>
          <w:tcPr>
            <w:tcW w:w="1000" w:type="dxa"/>
            <w:vAlign w:val="bottom"/>
          </w:tcPr>
          <w:p>
            <w:pPr>
              <w:jc w:val="right"/>
              <w:spacing w:after="0"/>
              <w:rPr>
                <w:sz w:val="20"/>
                <w:szCs w:val="20"/>
                <w:color w:val="auto"/>
              </w:rPr>
            </w:pPr>
            <w:r>
              <w:rPr>
                <w:rFonts w:ascii="Arial" w:cs="Arial" w:eastAsia="Arial" w:hAnsi="Arial"/>
                <w:sz w:val="18"/>
                <w:szCs w:val="18"/>
                <w:color w:val="auto"/>
              </w:rPr>
              <w:t>64,982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3,600,000 shares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stock on</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June 14, 2019 (see Note 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29,628</w:t>
            </w:r>
          </w:p>
        </w:tc>
        <w:tc>
          <w:tcPr>
            <w:tcW w:w="100" w:type="dxa"/>
            <w:vAlign w:val="bottom"/>
            <w:shd w:val="clear" w:color="auto" w:fill="CFF0FC"/>
          </w:tcPr>
          <w:p>
            <w:pPr>
              <w:spacing w:after="0"/>
              <w:rPr>
                <w:sz w:val="20"/>
                <w:szCs w:val="20"/>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tcPr>
          <w:p>
            <w:pPr>
              <w:spacing w:after="0"/>
              <w:rPr>
                <w:sz w:val="19"/>
                <w:szCs w:val="19"/>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17,625,241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w w:val="96"/>
              </w:rPr>
              <w:t>Six Months Ended June 30, 2020</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center"/>
              <w:ind w:right="20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74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37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17,736,649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140,477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(129,809</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7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(17,967)</w:t>
            </w:r>
          </w:p>
        </w:tc>
        <w:tc>
          <w:tcPr>
            <w:tcW w:w="100" w:type="dxa"/>
            <w:vAlign w:val="bottom"/>
          </w:tcPr>
          <w:p>
            <w:pPr>
              <w:spacing w:after="0"/>
              <w:rPr>
                <w:sz w:val="19"/>
                <w:szCs w:val="19"/>
                <w:color w:val="auto"/>
              </w:rPr>
            </w:pP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439,145 shares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common stock on</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March 12, 2020 (see Note 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Forfeiture of 371,329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tcPr>
          <w:p>
            <w:pPr>
              <w:ind w:left="340"/>
              <w:spacing w:after="0"/>
              <w:rPr>
                <w:sz w:val="20"/>
                <w:szCs w:val="20"/>
                <w:color w:val="auto"/>
              </w:rPr>
            </w:pPr>
            <w:r>
              <w:rPr>
                <w:rFonts w:ascii="Arial" w:cs="Arial" w:eastAsia="Arial" w:hAnsi="Arial"/>
                <w:sz w:val="18"/>
                <w:szCs w:val="18"/>
                <w:color w:val="auto"/>
              </w:rPr>
              <w:t>restricted common stock</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(371,329)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Forfeiture of 134,366 shares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restricted common stock</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(134,366)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Issuance of 134,364 shares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tcPr>
          <w:p>
            <w:pPr>
              <w:ind w:left="340"/>
              <w:spacing w:after="0"/>
              <w:rPr>
                <w:sz w:val="20"/>
                <w:szCs w:val="20"/>
                <w:color w:val="auto"/>
              </w:rPr>
            </w:pPr>
            <w:r>
              <w:rPr>
                <w:rFonts w:ascii="Arial" w:cs="Arial" w:eastAsia="Arial" w:hAnsi="Arial"/>
                <w:sz w:val="18"/>
                <w:szCs w:val="18"/>
                <w:color w:val="auto"/>
              </w:rPr>
              <w:t>restricted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134,364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shd w:val="clear" w:color="auto" w:fill="CFF0FC"/>
          </w:tcPr>
          <w:p>
            <w:pPr>
              <w:spacing w:after="0"/>
              <w:rPr>
                <w:sz w:val="19"/>
                <w:szCs w:val="19"/>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Shares of restricted common stock</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tcPr>
          <w:p>
            <w:pPr>
              <w:ind w:left="340"/>
              <w:spacing w:after="0"/>
              <w:rPr>
                <w:sz w:val="20"/>
                <w:szCs w:val="20"/>
                <w:color w:val="auto"/>
              </w:rPr>
            </w:pPr>
            <w:r>
              <w:rPr>
                <w:rFonts w:ascii="Arial" w:cs="Arial" w:eastAsia="Arial" w:hAnsi="Arial"/>
                <w:sz w:val="18"/>
                <w:szCs w:val="18"/>
                <w:color w:val="auto"/>
              </w:rPr>
              <w:t>retired in connection with vesting</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(41,299)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BALANCE—June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17,763,164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152,948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(147,776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OPERATING ACTIVITIES:</w:t>
            </w:r>
          </w:p>
        </w:tc>
        <w:tc>
          <w:tcPr>
            <w:tcW w:w="142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Arial" w:cs="Arial" w:eastAsia="Arial" w:hAnsi="Arial"/>
                <w:sz w:val="15"/>
                <w:szCs w:val="15"/>
                <w:color w:val="auto"/>
              </w:rPr>
              <w:t>Net loss</w:t>
            </w:r>
          </w:p>
        </w:tc>
        <w:tc>
          <w:tcPr>
            <w:tcW w:w="240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(25,268)</w:t>
            </w: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(17,967)</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Provision for sales returns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 and debt discounts</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rPr>
                <w:sz w:val="20"/>
                <w:szCs w:val="20"/>
                <w:color w:val="auto"/>
              </w:rPr>
            </w:pPr>
            <w:r>
              <w:rPr>
                <w:rFonts w:ascii="Arial" w:cs="Arial" w:eastAsia="Arial" w:hAnsi="Arial"/>
                <w:sz w:val="15"/>
                <w:szCs w:val="15"/>
                <w:color w:val="auto"/>
              </w:rPr>
              <w:t>Other</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assets and liabilities: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(2,972)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(7,622)</w:t>
            </w: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Inventory</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(817)</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500"/>
              <w:spacing w:after="0"/>
              <w:rPr>
                <w:sz w:val="20"/>
                <w:szCs w:val="20"/>
                <w:color w:val="auto"/>
              </w:rPr>
            </w:pPr>
            <w:r>
              <w:rPr>
                <w:rFonts w:ascii="Arial" w:cs="Arial" w:eastAsia="Arial" w:hAnsi="Arial"/>
                <w:sz w:val="15"/>
                <w:szCs w:val="15"/>
                <w:color w:val="auto"/>
              </w:rPr>
              <w:t>Prepaid and other current assets</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(1,320)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 accrued and other liabilities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(264)</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(4,282)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740"/>
              <w:spacing w:after="0"/>
              <w:rPr>
                <w:sz w:val="20"/>
                <w:szCs w:val="20"/>
                <w:color w:val="auto"/>
              </w:rPr>
            </w:pPr>
            <w:r>
              <w:rPr>
                <w:rFonts w:ascii="Arial" w:cs="Arial" w:eastAsia="Arial" w:hAnsi="Arial"/>
                <w:sz w:val="15"/>
                <w:szCs w:val="15"/>
                <w:color w:val="auto"/>
              </w:rPr>
              <w:t>Cash used in operating activities</w:t>
            </w:r>
          </w:p>
        </w:tc>
        <w:tc>
          <w:tcPr>
            <w:tcW w:w="1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(16,289)</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(8,923)</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INVESTING ACTIVITIES: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rPr>
                <w:sz w:val="20"/>
                <w:szCs w:val="20"/>
                <w:color w:val="auto"/>
              </w:rPr>
            </w:pPr>
            <w:r>
              <w:rPr>
                <w:rFonts w:ascii="Arial" w:cs="Arial" w:eastAsia="Arial" w:hAnsi="Arial"/>
                <w:sz w:val="15"/>
                <w:szCs w:val="15"/>
                <w:color w:val="auto"/>
              </w:rPr>
              <w:t>Purchase of fixed assets</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on sale of fixed assets</w:t>
            </w:r>
          </w:p>
        </w:tc>
        <w:tc>
          <w:tcPr>
            <w:tcW w:w="142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740"/>
              <w:spacing w:after="0" w:line="169" w:lineRule="exact"/>
              <w:rPr>
                <w:sz w:val="20"/>
                <w:szCs w:val="20"/>
                <w:color w:val="auto"/>
              </w:rPr>
            </w:pPr>
            <w:r>
              <w:rPr>
                <w:rFonts w:ascii="Arial" w:cs="Arial" w:eastAsia="Arial" w:hAnsi="Arial"/>
                <w:sz w:val="15"/>
                <w:szCs w:val="15"/>
                <w:color w:val="auto"/>
              </w:rPr>
              <w:t>Cash used in investing activities</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FINANCING ACTIVITIES: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rPr>
                <w:sz w:val="20"/>
                <w:szCs w:val="20"/>
                <w:color w:val="auto"/>
              </w:rPr>
            </w:pPr>
            <w:r>
              <w:rPr>
                <w:rFonts w:ascii="Arial" w:cs="Arial" w:eastAsia="Arial" w:hAnsi="Arial"/>
                <w:sz w:val="15"/>
                <w:szCs w:val="15"/>
                <w:color w:val="auto"/>
              </w:rPr>
              <w:t>Proceeds from initial public offering</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 of note payable related to Aussie Health acquisition</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rPr>
                <w:sz w:val="20"/>
                <w:szCs w:val="20"/>
                <w:color w:val="auto"/>
              </w:rPr>
            </w:pPr>
            <w:r>
              <w:rPr>
                <w:rFonts w:ascii="Arial" w:cs="Arial" w:eastAsia="Arial" w:hAnsi="Arial"/>
                <w:sz w:val="15"/>
                <w:szCs w:val="15"/>
                <w:color w:val="auto"/>
              </w:rPr>
              <w:t>Taxes paid related to net settlement upon vesting of restricted common stock</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costs from initial public offering</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(5,098)</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rPr>
                <w:sz w:val="20"/>
                <w:szCs w:val="20"/>
                <w:color w:val="auto"/>
              </w:rPr>
            </w:pPr>
            <w:r>
              <w:rPr>
                <w:rFonts w:ascii="Arial" w:cs="Arial" w:eastAsia="Arial" w:hAnsi="Arial"/>
                <w:sz w:val="15"/>
                <w:szCs w:val="15"/>
                <w:color w:val="auto"/>
              </w:rPr>
              <w:t>Borrowings from Mid Cap credit facility</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39,131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56,181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Repayments from Mid Cap credit facility</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(35,229)</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(60,023)</w:t>
            </w: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rPr>
                <w:sz w:val="20"/>
                <w:szCs w:val="20"/>
                <w:color w:val="auto"/>
              </w:rPr>
            </w:pPr>
            <w:r>
              <w:rPr>
                <w:rFonts w:ascii="Arial" w:cs="Arial" w:eastAsia="Arial" w:hAnsi="Arial"/>
                <w:sz w:val="15"/>
                <w:szCs w:val="15"/>
                <w:color w:val="auto"/>
              </w:rPr>
              <w:t>Debt issuance costs from Mid Cap credit facility</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Debt issuance costs from Horizon term loan</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(901)</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rPr>
                <w:sz w:val="20"/>
                <w:szCs w:val="20"/>
                <w:color w:val="auto"/>
              </w:rPr>
            </w:pPr>
            <w:r>
              <w:rPr>
                <w:rFonts w:ascii="Arial" w:cs="Arial" w:eastAsia="Arial" w:hAnsi="Arial"/>
                <w:sz w:val="15"/>
                <w:szCs w:val="15"/>
                <w:color w:val="auto"/>
              </w:rPr>
              <w:t>Deferred offering costs</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 obligation payments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(756)</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(1,491)</w:t>
            </w: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rPr>
                <w:sz w:val="20"/>
                <w:szCs w:val="20"/>
                <w:color w:val="auto"/>
              </w:rPr>
            </w:pPr>
            <w:r>
              <w:rPr>
                <w:rFonts w:ascii="Arial" w:cs="Arial" w:eastAsia="Arial" w:hAnsi="Arial"/>
                <w:sz w:val="15"/>
                <w:szCs w:val="15"/>
                <w:color w:val="auto"/>
              </w:rPr>
              <w:t>Insurance financing proceeds</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lease obligation payments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740"/>
              <w:spacing w:after="0"/>
              <w:rPr>
                <w:sz w:val="20"/>
                <w:szCs w:val="20"/>
                <w:color w:val="auto"/>
              </w:rPr>
            </w:pPr>
            <w:r>
              <w:rPr>
                <w:rFonts w:ascii="Arial" w:cs="Arial" w:eastAsia="Arial" w:hAnsi="Arial"/>
                <w:sz w:val="15"/>
                <w:szCs w:val="15"/>
                <w:color w:val="auto"/>
              </w:rPr>
              <w:t>Cash provided (used) by financing activities</w:t>
            </w:r>
          </w:p>
        </w:tc>
        <w:tc>
          <w:tcPr>
            <w:tcW w:w="1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35,564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(4,218)</w:t>
            </w: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EFFECT OF EXCHANGE RATE ON CASH</w:t>
            </w:r>
          </w:p>
        </w:tc>
        <w:tc>
          <w:tcPr>
            <w:tcW w:w="142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line="169" w:lineRule="exact"/>
              <w:rPr>
                <w:sz w:val="20"/>
                <w:szCs w:val="20"/>
                <w:color w:val="auto"/>
              </w:rPr>
            </w:pPr>
            <w:r>
              <w:rPr>
                <w:rFonts w:ascii="Arial" w:cs="Arial" w:eastAsia="Arial" w:hAnsi="Arial"/>
                <w:sz w:val="15"/>
                <w:szCs w:val="15"/>
                <w:color w:val="auto"/>
              </w:rPr>
              <w:t>NET CHANGE IN CASH AND RESTRICTED CASH FOR PERIOD</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19,255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(13,159)</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CASH AND RESTRICTED CASH AT BEGINNING OF PERIOD</w:t>
            </w:r>
          </w:p>
        </w:tc>
        <w:tc>
          <w:tcPr>
            <w:tcW w:w="142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20,708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30,789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60" w:type="dxa"/>
            <w:vAlign w:val="bottom"/>
          </w:tcPr>
          <w:p>
            <w:pPr>
              <w:spacing w:after="0" w:line="169" w:lineRule="exact"/>
              <w:rPr>
                <w:sz w:val="20"/>
                <w:szCs w:val="20"/>
                <w:color w:val="auto"/>
              </w:rPr>
            </w:pPr>
            <w:r>
              <w:rPr>
                <w:rFonts w:ascii="Arial" w:cs="Arial" w:eastAsia="Arial" w:hAnsi="Arial"/>
                <w:sz w:val="15"/>
                <w:szCs w:val="15"/>
                <w:color w:val="auto"/>
              </w:rPr>
              <w:t>CASH AND RESTRICTED CASH AT END OF PERIOD</w:t>
            </w:r>
          </w:p>
        </w:tc>
        <w:tc>
          <w:tcPr>
            <w:tcW w:w="2400" w:type="dxa"/>
            <w:vAlign w:val="bottom"/>
            <w:gridSpan w:val="2"/>
          </w:tcPr>
          <w:p>
            <w:pPr>
              <w:jc w:val="right"/>
              <w:ind w:right="848"/>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39,963</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17,630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3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RECONCILIATION OF CASH AND RESTRICTED CASH</w:t>
            </w:r>
          </w:p>
        </w:tc>
        <w:tc>
          <w:tcPr>
            <w:tcW w:w="14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5"/>
                <w:szCs w:val="15"/>
                <w:color w:val="auto"/>
              </w:rPr>
              <w:t>CASH</w:t>
            </w:r>
          </w:p>
        </w:tc>
        <w:tc>
          <w:tcPr>
            <w:tcW w:w="240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39,527</w:t>
            </w:r>
          </w:p>
        </w:tc>
        <w:tc>
          <w:tcPr>
            <w:tcW w:w="160" w:type="dxa"/>
            <w:vAlign w:val="bottom"/>
          </w:tcPr>
          <w:p>
            <w:pPr>
              <w:spacing w:after="0"/>
              <w:rPr>
                <w:sz w:val="15"/>
                <w:szCs w:val="15"/>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17,189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CASH—Prepaid and other assets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RESTRICTED CASH—Other non-current assets</w:t>
            </w:r>
          </w:p>
        </w:tc>
        <w:tc>
          <w:tcPr>
            <w:tcW w:w="14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CASH AND RESTRICTED CASH</w:t>
            </w:r>
          </w:p>
        </w:tc>
        <w:tc>
          <w:tcPr>
            <w:tcW w:w="2400" w:type="dxa"/>
            <w:vAlign w:val="bottom"/>
            <w:gridSpan w:val="2"/>
            <w:shd w:val="clear" w:color="auto" w:fill="CFF0FC"/>
          </w:tcPr>
          <w:p>
            <w:pPr>
              <w:jc w:val="right"/>
              <w:ind w:right="848"/>
              <w:spacing w:after="0" w:line="169"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39,963</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90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SUPPLEMENTAL DISCLOSURES OF CASH FLOW INFORMATION</w:t>
            </w:r>
          </w:p>
        </w:tc>
        <w:tc>
          <w:tcPr>
            <w:tcW w:w="14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Cash paid for interest</w:t>
            </w:r>
          </w:p>
        </w:tc>
        <w:tc>
          <w:tcPr>
            <w:tcW w:w="2400" w:type="dxa"/>
            <w:vAlign w:val="bottom"/>
            <w:gridSpan w:val="2"/>
            <w:shd w:val="clear" w:color="auto" w:fill="CFF0FC"/>
          </w:tcPr>
          <w:p>
            <w:pPr>
              <w:jc w:val="right"/>
              <w:ind w:right="848"/>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1,743</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Arial" w:cs="Arial" w:eastAsia="Arial" w:hAnsi="Arial"/>
                <w:sz w:val="15"/>
                <w:szCs w:val="15"/>
                <w:color w:val="auto"/>
              </w:rPr>
              <w:t>Cash paid for taxes</w:t>
            </w:r>
          </w:p>
        </w:tc>
        <w:tc>
          <w:tcPr>
            <w:tcW w:w="240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160" w:type="dxa"/>
            <w:vAlign w:val="bottom"/>
          </w:tcPr>
          <w:p>
            <w:pPr>
              <w:spacing w:after="0"/>
              <w:rPr>
                <w:sz w:val="15"/>
                <w:szCs w:val="15"/>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FF0FC"/>
          </w:tcPr>
          <w:p>
            <w:pPr>
              <w:spacing w:after="0"/>
              <w:rPr>
                <w:sz w:val="20"/>
                <w:szCs w:val="20"/>
                <w:color w:val="auto"/>
              </w:rPr>
            </w:pPr>
            <w:r>
              <w:rPr>
                <w:rFonts w:ascii="Arial" w:cs="Arial" w:eastAsia="Arial" w:hAnsi="Arial"/>
                <w:sz w:val="15"/>
                <w:szCs w:val="15"/>
                <w:color w:val="auto"/>
              </w:rPr>
              <w:t>NON-CASH INVESTING AND FINANCING ACTIVITIES:</w:t>
            </w:r>
          </w:p>
        </w:tc>
        <w:tc>
          <w:tcPr>
            <w:tcW w:w="1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Arial" w:cs="Arial" w:eastAsia="Arial" w:hAnsi="Arial"/>
                <w:sz w:val="15"/>
                <w:szCs w:val="15"/>
                <w:color w:val="auto"/>
              </w:rPr>
              <w:t>Deferred equity fundraising cost not paid</w:t>
            </w:r>
          </w:p>
        </w:tc>
        <w:tc>
          <w:tcPr>
            <w:tcW w:w="240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328</w:t>
            </w:r>
          </w:p>
        </w:tc>
        <w:tc>
          <w:tcPr>
            <w:tcW w:w="160" w:type="dxa"/>
            <w:vAlign w:val="bottom"/>
          </w:tcPr>
          <w:p>
            <w:pPr>
              <w:spacing w:after="0"/>
              <w:rPr>
                <w:sz w:val="16"/>
                <w:szCs w:val="16"/>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2019 and 2020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Mohawk Group Holdings, Inc. and subsidiaries (“Mohawk” or the “Company”) is a rapidly growing technology-enabled consumer products company that uses machine learning and data analytics to design, develop, market and sell products. Mohawk predominately operates through online retail channels such as Amazon.com, Inc. (“Amazon”) and Walmart,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Mohawk’s offices can be found in China, Philippines, Israel and Poland.</w:t>
      </w:r>
    </w:p>
    <w:p>
      <w:pPr>
        <w:spacing w:after="0" w:line="22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Liquidity and Going Concern—</w:t>
      </w:r>
      <w:r>
        <w:rPr>
          <w:rFonts w:ascii="Arial" w:cs="Arial" w:eastAsia="Arial" w:hAnsi="Arial"/>
          <w:sz w:val="16"/>
          <w:szCs w:val="16"/>
          <w:color w:val="auto"/>
        </w:rPr>
        <w:t>The Company is an early-stage growth company. Accordingly, the Company endeavors to continuously invest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launch of new products, the development of its software, and the expansion of its sales and distribution infrastructure in order to accelerate revenue growth and scale operations to support such growth. To fund these investments, the Company has historically obtained financing and raised capital since its inception with the expectation that the Company will generate profits in the future. The Company intends to continue to its strategy of investing in growth by launching new products, developing its software and expanding its sales and distribution operations for the foreseeable future.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its historical investments, the Company has incurred operating losses since its inception, which includes operating losses of $54.3 million and $15.7 million for the year ended December 31, 2019 and the six months ended June 30, 2020, respectively, and had an accumulated deficit of</w:t>
      </w:r>
    </w:p>
    <w:p>
      <w:pPr>
        <w:ind w:right="20"/>
        <w:spacing w:after="0" w:line="253" w:lineRule="auto"/>
        <w:rPr>
          <w:sz w:val="20"/>
          <w:szCs w:val="20"/>
          <w:color w:val="auto"/>
        </w:rPr>
      </w:pPr>
      <w:r>
        <w:rPr>
          <w:rFonts w:ascii="Arial" w:cs="Arial" w:eastAsia="Arial" w:hAnsi="Arial"/>
          <w:sz w:val="18"/>
          <w:szCs w:val="18"/>
          <w:color w:val="auto"/>
        </w:rPr>
        <w:t>$129.8 million and $147.8 million at December 31, 2019 and June 30, 2020, respectively, cash on hand of $30.4 million and $17.2 million at December 31, 2019 and June 30, 2020, respectively, total outstanding borrowings from lenders of $35.1 million and $31.9 million at December 31, 2019 and June 30, 2020, respectively, and no available capacity on borrowings as of December 31, 2019 and June 30, 2020. The Company has raised $102.0 million in equity financing to fund its operations since inception, including the net proceeds from the Company’s initial public offering of common stock (“IPO”), through June 30, 2020.</w:t>
      </w:r>
    </w:p>
    <w:p>
      <w:pPr>
        <w:spacing w:after="0" w:line="19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Company’s review of the June 30, 2020 condensed consolidated financial statements, the Company’s financial forecast for the next 12 months following the filing date of this Quarterly Report on Form 10-Q, included revenue growth, margin expansion, a reduction of certain fixed costs, an improvement in inventory management and a reduction in operating cash deficit. In addition, management anticipated that the Company would not breach its financial covenants associated with its existing credit facility or term loan for the next twelve months. Currently, the Company has met or exceeded its forecasts over the past two quarters. However, there are no assurances that the Company will continue to meet or exceed forecasts due to its short operating history, or that it will be able to maintain sufficient liquidity to fund operations and/or compliance with its covenants without future equity investments or issuance of debt from outside sources. In the event of a breach of the Company’s financial covenants under the credit facility and/or its term loan, outstanding borrowings would become due on demand absent a waiver from the lenders.</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while the Company anticipates it will remain in compliance with the covenants prescribed by its existing financing arrangements (See Note 6 – Credit Facility and Term Loans), there can be no assurance that the Company’s operating forecast and cash flows for the twelve months following the issuance of the accompanying condensed consolidated financial statements, will be attained such that the Company will be able to maintain compliance with these covenants or generate sufficient liquidity to fund its ongoing operations. The Company’s short operating history of meeting and exceeding its forecasts, the COVID-19 pandemic (see below) and these negative financial conditions raise substantial doubt about the Company’s ability to continue as a going concern as of June 30, 2020.</w:t>
      </w:r>
    </w:p>
    <w:p>
      <w:pPr>
        <w:spacing w:after="0" w:line="192" w:lineRule="exact"/>
        <w:rPr>
          <w:sz w:val="20"/>
          <w:szCs w:val="20"/>
          <w:color w:val="auto"/>
        </w:rPr>
      </w:pPr>
    </w:p>
    <w:p>
      <w:pPr>
        <w:ind w:right="240"/>
        <w:spacing w:after="0" w:line="341" w:lineRule="auto"/>
        <w:rPr>
          <w:sz w:val="20"/>
          <w:szCs w:val="20"/>
          <w:color w:val="auto"/>
        </w:rPr>
      </w:pPr>
      <w:r>
        <w:rPr>
          <w:rFonts w:ascii="Arial" w:cs="Arial" w:eastAsia="Arial" w:hAnsi="Arial"/>
          <w:sz w:val="17"/>
          <w:szCs w:val="17"/>
          <w:color w:val="auto"/>
        </w:rPr>
        <w:t>These condensed consolidated financial statements have been prepared on the basis that the Company will continue to operate as a going concern and as such, include no adjustments that might be necessary in the event that the Company was unable to operate on this basis.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Management plans to continue to closely monitor its operating forecast and cash flows, and may pursue additional sources of financing and/or capital to fund its operations. If the Company is unable to improve its operating results, increase its operating cash inflows, and/or obtain additional sources of financing and capital on acceptable terms (if at all), the Company may have to make significant changes to its operating plan, such as delay expenditures, reduce investments in new products, delay the development of its software, reduce its sale and distribution infrastructure, or otherwise significantly reduce the scope of its business. The accompanying condensed consolidated financial statements do not include any adjustments that might result from the outcome of this uncertainty.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the Company, other businesses and governments are taking, continues to evolve as of the date of this report. As such, the future impact on the Company’s personnel, business and global operations, and on the Company’s suppliers, logistics providers, marketplaces and other business partners is uncertain and cannot be reasonably estimated at this time. Given the nature of the COVID-19 pandemic, it is possible that any and every aspect of the Company’s value chain could be disrupted, and such impact could have a material adverse impact on the Company’s business, financial condition, operating results and prospects. For example, the Company may be unable to launch new products, replenish inventory for existing products, ship into or receive inventory in its third-party warehouses, or ship or sell products to customers, in each case on a timely basis or at all. The Company may also be unable to forecast demand for its products during the pendency of this pandemic and the Company may experience a substantial decrease in the demand for its products, most of which are considered not essential. In addition, the majority of the Company’s personnel are currently working remotely, which creates challenges in the way the Company operates its business, including, but not limited to, the manner in which the Company tests products and its ability to meet its reporting obligations. The Company’s ability to execute its operations could be further impacted if any of the Company’s key personnel contracts COVID-19. While the potential economic impact brought by, and the duration of, COVID-19 may be difficult to assess or predict, the continued widespread pandemic could result in significant disruption of global financial markets, reducing the Company’s ability to access capital, which could in the future negatively affect its liquidity. Due to the uncertainty as to the severity and duration of the pandemic, the impact on the Company’s future revenues, profitability, liquidity, financial condition, business and results of operations is uncertain at this time.</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While the Company has been preserving its liquidity and capital resources through various actions, which include delaying and negotiating the delay of payments to certain vendors, the effect of such actions could have an adverse impact on the Company’s business, including its relationships with these vendors. The Company’s operations rely on third-parties to manufacture its products, to provide logistics and warehousing services and to facilitate sales of its products, and, accordingly, the Company relies on the business continuity plans of these third parties to operate during the pandemic and have limited ability to influence their plans. In light of the uncertainty as to the severity and duration of the COVID-19 pandemic, the Company may be unable to remain in compliance with the terms of its existing loan agreements and may be unable to secure a waiver, which could have an adverse impact on the Company’s business, prospects and financial condition and the Company may seek additional financing options. The Company expects that any financing, if successful, will be expensive and/or dilutive.</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COVID-19 pandemic began to have an unfavorable impact on the Company, including its key manufacturing partners, in January 2020. Substantially all of the Company’s products are sourced and manufactured in China, including new products that it expects to launch during 2020. In addition, the Company relies upon its team in Shenzhen for a number of functions relating to product sourcing and development, among other things. The Company has a key manufacturing partner in China that re-opened its facilities as of February 10, 2020 and reached over 90% capacity early in March 2020. This key manufacturer is expected to manufacture over 30% of the Company’s inventory in 2020.</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date the Company has had few overall negative impacts to its business and operations from the COVID-19 pandemic. As reported, the Company has seen over 97% growth in its net revenue for the three months ended June 30, 2020 versus the same quarter in the prior year. The shift of consumer spending from traditional retail to online spending has increased dramatically due to the COVID-19 pandemic and the Company expects that spending will continue to shift online. This has benefited the Company as historically over 90% of its net revenue comes from the sale of products online in the U.S. and it believes this shift to increased online consumer spending will continue even after the COVID-19 pandemic ends. The Company’s investments in its infrastructure and software and its expansion of its third party warehousing network have also allowed the Company to continue to deliver its products, even when Amazon itself limited its delivery services. The Company has had no material impacts to its vendor or other business relationships to date as it negotiated improved credit terms. Further, to date, none of the Company’s key operations vendors has had any negative impacts related to COVID-19 or changes which have negatively affected the Company’s business, borrowing capabilities or financial covenants. Though the COVID-19 pandemic is fluid, the Company believes at this time that its business may continue to minimize the impact, if any, from this current pandemic given the Company’s ability to work remotely, continued consumer demand for products on e-commerce channels and the business continuity plans of its key manufacturing partners and other vendors. The Company believes this combination of factors may help to mitigate risk from the COVID-19 pandemic.</w:t>
      </w:r>
    </w:p>
    <w:p>
      <w:pPr>
        <w:spacing w:after="0" w:line="27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by the Company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generally accepted accounting principles in the United States (“GAAP”) for interim financial reporting and as required by Rule 10-01 of Regulation S-X. In the opinion of the Company’s management, the accompanying unaudited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 w:name="page13"/>
    <w:bookmarkEnd w:id="12"/>
    <w:p>
      <w:pPr>
        <w:ind w:right="120"/>
        <w:spacing w:after="0" w:line="301" w:lineRule="auto"/>
        <w:rPr>
          <w:sz w:val="20"/>
          <w:szCs w:val="20"/>
          <w:color w:val="auto"/>
        </w:rPr>
      </w:pPr>
      <w:r>
        <w:rPr>
          <w:rFonts w:ascii="Arial" w:cs="Arial" w:eastAsia="Arial" w:hAnsi="Arial"/>
          <w:sz w:val="16"/>
          <w:szCs w:val="16"/>
          <w:color w:val="auto"/>
        </w:rPr>
        <w:t>condensed consolidated financial statements contain all adjustments (consisting of items of a normal and recurring nature) necessary to present fairly the financial position as of June 30, 2020, the results of operations for the three and six months ended June 30, 2019 and 2020, the statements of stockholders’ equity for the three and six months ended June 30, 2019 and 2020, and cash flows for the six months ended June 30, 2019 and 2020. The results of operations for the three and six months ended June 30, 2020 are not necessarily indicative of the results to be expected for the full year.</w:t>
      </w:r>
    </w:p>
    <w:p>
      <w:pPr>
        <w:spacing w:after="0" w:line="19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condensed consolidated balance sheet as of December 31, 2019 included herein was derived from the Company’s audited consolidated financial statements as of that date, but does not include all of the information and notes required by GAAP for complete financial statements.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audited consolidated financial statements and the related notes thereto as of and for the year ended December 31, 2019, included in the Company’s Annual Report on Form 10-K filed with the Securities and Exchange Commission, on March 30, 2020 (the “Annual Report”).</w:t>
      </w:r>
    </w:p>
    <w:p>
      <w:pPr>
        <w:spacing w:after="0" w:line="1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financial statements in conformity with GAAP requires management to make estimates and assumptions that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condensed consolidated financial statements include the accounts of the Company and its wholly-owned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7"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—The Company accounts for revenue in accordance with Financial Accounting Standards Board (“FASB”) Accounting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derives its revenue from the sale of consumer products. The Company sells its products directly to consumers through online retail channels and through wholesale channels.</w:t>
      </w:r>
    </w:p>
    <w:p>
      <w:pPr>
        <w:spacing w:after="0" w:line="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775"/>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w w:val="98"/>
              </w:rPr>
              <w:t>Wholesale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5"/>
              <w:spacing w:after="0" w:line="155" w:lineRule="exact"/>
              <w:rPr>
                <w:sz w:val="20"/>
                <w:szCs w:val="20"/>
                <w:color w:val="auto"/>
              </w:rPr>
            </w:pPr>
            <w:r>
              <w:rPr>
                <w:rFonts w:ascii="Arial" w:cs="Arial" w:eastAsia="Arial" w:hAnsi="Arial"/>
                <w:sz w:val="14"/>
                <w:szCs w:val="14"/>
                <w:b w:val="1"/>
                <w:bCs w:val="1"/>
                <w:color w:val="auto"/>
                <w:w w:val="93"/>
              </w:rPr>
              <w:t>Managed SaaS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29,276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30,335</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30,368</w:t>
            </w:r>
          </w:p>
        </w:tc>
        <w:tc>
          <w:tcPr>
            <w:tcW w:w="1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 June 30, 2020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775"/>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Wholesale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Managed SaaS</w:t>
            </w:r>
          </w:p>
        </w:tc>
        <w:tc>
          <w:tcPr>
            <w:tcW w:w="44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53,693</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5,727</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4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82"/>
              </w:rPr>
              <w:t>$ 59,765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53,728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5,727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82"/>
              </w:rPr>
              <w:t>$ 59,800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2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 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5"/>
          </w:tcPr>
          <w:p>
            <w:pPr>
              <w:ind w:left="680"/>
              <w:spacing w:after="0" w:line="158"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Wholesale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 2020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5"/>
          </w:tcPr>
          <w:p>
            <w:pPr>
              <w:ind w:left="680"/>
              <w:spacing w:after="0" w:line="158"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Wholesale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78,901</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78,936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780" w:type="dxa"/>
            <w:vAlign w:val="bottom"/>
            <w:tcBorders>
              <w:bottom w:val="single" w:sz="8" w:color="auto"/>
            </w:tcBorders>
            <w:gridSpan w:val="5"/>
          </w:tcPr>
          <w:p>
            <w:pPr>
              <w:jc w:val="center"/>
              <w:ind w:left="488"/>
              <w:spacing w:after="0"/>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center"/>
              <w:ind w:right="349"/>
              <w:spacing w:after="0" w:line="155"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 (i.e., dehumidifiers</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air conditioners)</w:t>
            </w:r>
          </w:p>
        </w:tc>
        <w:tc>
          <w:tcPr>
            <w:tcW w:w="43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19,111</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34,592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Small home appliances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Personal protective equipment</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Cosmetics, skincare, and heath supplements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Hair appliances and accessories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29,971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Managed SaaS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336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59,800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4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8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center"/>
              <w:ind w:right="349"/>
              <w:spacing w:after="0" w:line="155"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 (i.e., dehumidifiers</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air conditioners)</w:t>
            </w:r>
          </w:p>
        </w:tc>
        <w:tc>
          <w:tcPr>
            <w:tcW w:w="43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25,674</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47,862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Small home appliances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Personal protective equipment</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Cosmetics, skincare, and heath supplements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Hair appliances and accessories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47,283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84,722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Managed SaaS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336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48,213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85,428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360" w:type="dxa"/>
            <w:vAlign w:val="bottom"/>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4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43" w:right="31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June 30, 2020, the carrying amounts of these instruments approximated their fair values because of their short-term nature. The Company’s credit facility is carried at amortized cost at December 31, 2019 and June 30, 2020 and the carrying amount approximates fair value as the stated interest rate approximates market rates currently available to the Company. The Company considers the inputs utilized to determine the fair value of the borrowings to be Level 2 inputs. The Company’s financial instruments of cash and restricted cash consist of Level 1 assets at December 31, 2019 and June 30, 2020. The Company’s cash and restricted cash was approximately $30.8 million and $17.6 million, respectively, and included savings deposits and overnight investments at December 31, 2019 and June 30, 2020.</w:t>
      </w:r>
    </w:p>
    <w:p>
      <w:pPr>
        <w:spacing w:after="0" w:line="17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In June 2018, the FASB issued Accounting Standards Update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w:t>
      </w:r>
      <w:r>
        <w:rPr>
          <w:rFonts w:ascii="Arial" w:cs="Arial" w:eastAsia="Arial" w:hAnsi="Arial"/>
          <w:sz w:val="17"/>
          <w:szCs w:val="17"/>
          <w:color w:val="auto"/>
        </w:rPr>
        <w:t>, which expands the scope of ASC Topic 718, Compensation—Stock Compensation, which currently only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share-based payments issued to employees, to also include share-based payments issued to nonemployees for goods and services. This ASU is effective for all annual reporting periods beginning after December 15, 2019, including interim periods therein. The new guidance was adopted on January 1, 2020 with no material impact on the condensed consolidated financial statements.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w:t>
      </w:r>
      <w:r>
        <w:rPr>
          <w:rFonts w:ascii="Arial" w:cs="Arial" w:eastAsia="Arial" w:hAnsi="Arial"/>
          <w:sz w:val="18"/>
          <w:szCs w:val="18"/>
          <w:color w:val="auto"/>
        </w:rPr>
        <w:t xml:space="preserve"> (“ASU 2018-02”). ASU 2018-02 addresses the effect of the change in the U.S. federal corporate tax rate due to the enactment of the Tax Cuts and Jobs Act of 2017 on items within accumulated other comprehensive income (loss). The new guidance was adopted on January 1, 2020 with no material impact on the Company’s condensed consolidated financial statements.</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which changes the fair value measurement disclosure requirements of ASC Topic 820. The amendments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The new guidance was adopted on January 1, 2020 with no material impact on the Company’s condensed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the its consolidated financial statements.</w:t>
      </w:r>
    </w:p>
    <w:p>
      <w:pPr>
        <w:spacing w:after="0" w:line="1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28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2019 and June 30, 2020:</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8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8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36,212</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All of the Company’s inventory on-hand is held either with Amazon or the Company’s other third-party warehouses. The Company does not have any contractual right of returns with its contract manufacturers. The Company’s inventory on-hand held by Amazon was approximately $4.7 million and $3.7 million as of December 31, 2019 and June 30, 2020,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6" w:name="page17"/>
    <w:bookmarkEnd w:id="16"/>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2019 and June 30, 2020:</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Restricted cash</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5,395</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2019 and June 30,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6"/>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Accrual for insurance financing</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 and consultants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Accrued logistics costs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Product related accruals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Sales tax payable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Sales return reserve</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Seller note from acquisition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All other accruals</w:t>
            </w:r>
          </w:p>
        </w:tc>
        <w:tc>
          <w:tcPr>
            <w:tcW w:w="1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328"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term loans consisted of the following as of December 31, 2019 and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right"/>
              <w:ind w:right="71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1"/>
              </w:rPr>
              <w:t>Less discount associated with issuance of warrants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ind w:left="1700"/>
              <w:spacing w:after="0"/>
              <w:rPr>
                <w:sz w:val="20"/>
                <w:szCs w:val="20"/>
                <w:color w:val="auto"/>
              </w:rPr>
            </w:pPr>
            <w:r>
              <w:rPr>
                <w:rFonts w:ascii="Arial" w:cs="Arial" w:eastAsia="Arial" w:hAnsi="Arial"/>
                <w:sz w:val="18"/>
                <w:szCs w:val="18"/>
                <w:color w:val="auto"/>
              </w:rPr>
              <w:t>Total MidCap credit facility</w:t>
            </w:r>
          </w:p>
        </w:tc>
        <w:tc>
          <w:tcPr>
            <w:tcW w:w="16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18,168</w:t>
            </w: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00" w:type="dxa"/>
            <w:vAlign w:val="bottom"/>
            <w:vMerge w:val="restart"/>
          </w:tcPr>
          <w:p>
            <w:pPr>
              <w:spacing w:after="0"/>
              <w:rPr>
                <w:sz w:val="18"/>
                <w:szCs w:val="18"/>
                <w:color w:val="auto"/>
              </w:rPr>
            </w:pPr>
          </w:p>
        </w:tc>
        <w:tc>
          <w:tcPr>
            <w:tcW w:w="37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Horizon term loan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Less: deferred debt issuance costs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1"/>
              </w:rPr>
              <w:t>Less discount associated with issuance of warrants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Horizon term loan</w:t>
            </w:r>
          </w:p>
        </w:tc>
        <w:tc>
          <w:tcPr>
            <w:tcW w:w="16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Less-current portion</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loan-non current portion</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vMerge w:val="restart"/>
          </w:tcPr>
          <w:p>
            <w:pPr>
              <w:jc w:val="right"/>
              <w:ind w:right="12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November 23, 2018, the Company entered into a three-year $25.0 million revolving credit facility (the “Credit Facility”) with MidCap Financial Trust (“MidCap”). The Credit Facility can be increased, subject to certain conditions, to $50.0 million. Loans under the Credit Facility are determined based on percentages of the Company’s eligible accounts receivable and eligible inventory. The Credit Facility bears interest at the London Interbank Offered Rate (“LIBOR”) plus 5.75% for outstanding borrowings. The Company is required to pay a facility availability fee of 0.5% on the average unused portion of the facility. The Credit Facility contains a minimum liquidity financial covenant that requires the Company to maintain a minimum of $5.0 million in cash on hand or availability in the Credit Facility. In 2018, the Company incurred approximately $1.3 million in debt issuance costs which has been offset against the debt and will be expensed over the three years. Unamortized debt issuance costs of $0.7 million, relating to a prior three-year revolving credit facility with MidCap, will be amortized in accordance with the terms of the Credit Facility. As of December 31, 2019, there was $23.0 million outstanding on the Credit Facility and an available balance of approximately $0.0 million. As of June 30, 2020, there was $19.1 million outstanding on the Credit Facility and no available balance. As of June 30, 2020, the Company was in compliance with the financial covenants contained within the Credit Facility.</w:t>
      </w:r>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recorded interest expense from the Credit Facility of approximately $0.8 million, $0.6 million, $1.5 million and $1.2 million for the three and six months ended June 30, 2019 and 2020, respectively, which included less than, $0.2 million for each three month period and less than $0.4 million for each six month period, respectively, relating to debt issuance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December 31, 2018, the Company entered into a term loan agreement (the “Horizon Loan Agreement”) with Horizon Technology Finance Corporation (“Horizon”). As part of the agreement, the Company obtained a five-year $15.0 million term loan (the “Term Loan”). The Term Loan bears interest at</w:t>
      </w:r>
    </w:p>
    <w:p>
      <w:pPr>
        <w:ind w:right="40"/>
        <w:spacing w:after="0" w:line="269" w:lineRule="auto"/>
        <w:rPr>
          <w:sz w:val="20"/>
          <w:szCs w:val="20"/>
          <w:color w:val="auto"/>
        </w:rPr>
      </w:pPr>
      <w:r>
        <w:rPr>
          <w:rFonts w:ascii="Arial" w:cs="Arial" w:eastAsia="Arial" w:hAnsi="Arial"/>
          <w:sz w:val="17"/>
          <w:szCs w:val="17"/>
          <w:color w:val="auto"/>
        </w:rPr>
        <w:t>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for outstanding borrowings and payments on principal are made on a monthly basis. The maturity date of the Term Loan is January 2023. The Term Loan contains minimum required EBITDA financial covenants that require the Company to achieve EBITDA of certain amounts based on the amount that the Company is permitted to borrow above $25.0 million under the Credit Facility (the “Revolving Line Indebtedness Cap”). The Horizon Loan Agreement also contains a cash collateral covenant that requires the Company to maintain a cash collateral account with an amount based on the Revolving Line Indebtedness Cap.</w:t>
      </w:r>
    </w:p>
    <w:p>
      <w:pPr>
        <w:spacing w:after="0" w:line="18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Horizon Loan Agreement, the Company issued to Horizon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Term Loan.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incurred approximately $1.0 million in debt issuance costs which has been offset against the debt and will be expensed over the five year term of the Term Loan.</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Credit Facility and the Term Loan contain a minimum liquidity covenant that requires the Company to maintain at minimum $5.0 million in unrestricted cash at all times, subject to increases based on amounts drawn. Further, there are additional covenants that, among other things, restrict the ability of the Company and certain of its subsidiaries to (i) incur, assume or guarantee additional indebtedness; (ii) pay dividends or redeem or repurchase capital stock; (iii) make other restricted payments; (iv) incur liens; (v) redeem debt that is junior in right of payment to the notes; (vi) sell or otherwise dispose of assets, including capital stock of subsidiaries; (vii) enter into mergers or consolidations; and (viii) enter into transactions with affiliates. These covenants are subject to a number of exceptions and qualifications.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2019, and June 30, 2020 there was $15.0 million outstanding on the Term Loan and the Company was in compliance with the financial covenants. The Company recorded interest expense from the Term Loan of $0.5 million and $1.0 million for the three and six months ended June 30, 2020 and 2019, respectively, which included less than $0.3 million, relating to debt issuance costs for each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and six months ended June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June 30, 2019</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center"/>
              <w:ind w:left="939"/>
              <w:spacing w:after="0" w:line="155" w:lineRule="exact"/>
              <w:rPr>
                <w:sz w:val="20"/>
                <w:szCs w:val="20"/>
                <w:color w:val="auto"/>
              </w:rPr>
            </w:pPr>
            <w:r>
              <w:rPr>
                <w:rFonts w:ascii="Arial" w:cs="Arial" w:eastAsia="Arial" w:hAnsi="Arial"/>
                <w:sz w:val="14"/>
                <w:szCs w:val="14"/>
                <w:color w:val="auto"/>
                <w:w w:val="92"/>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June 30, 2019</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center"/>
              <w:ind w:left="939"/>
              <w:spacing w:after="0" w:line="155" w:lineRule="exact"/>
              <w:rPr>
                <w:sz w:val="20"/>
                <w:szCs w:val="20"/>
                <w:color w:val="auto"/>
              </w:rPr>
            </w:pPr>
            <w:r>
              <w:rPr>
                <w:rFonts w:ascii="Arial" w:cs="Arial" w:eastAsia="Arial" w:hAnsi="Arial"/>
                <w:sz w:val="14"/>
                <w:szCs w:val="14"/>
                <w:color w:val="auto"/>
                <w:w w:val="92"/>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52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2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of Mohawk Group Holdings Inc., a subsidiary of the Company (“MGI”),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June 30, 2020, 56,327 shares were reserved for awards available for future issuance under the Mohawk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board of directors adopted the Mohawk Group Holdings, Inc. 2018 Equity Incentive Plan (the “Mohawk 2018 Plan”) on October 11, 2018. The Mohawk 2018 Plan was approved by its stockholders on May 24, 2019. As of June 30, 2020, 987,621 shares were reserved for awards available for future issuance under the Mohawk 2018 Plan.</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Options granted to date under the Mohawk 2014 Plan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board of directors adopted the Mohawk Group Holdings, Inc. 2019 Equity Plan (the “2019 Equity Plan”) on March 20, 2019. The 2019 Equity Plan was approved by its stockholders on May 24, 2019. As of June 30, 2020, no shares were reserved for future issuance. Shares of restricted common stock granted under the 2019 Equity Plan initially vested in substantially equal installments on the 6th, 12th, 18th and 24th monthly anniversary of the closing of the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October 1, 2020, (iii) the vesting date for the third installment of shares of restricted common stock to January 2, 2021, and (iv) the fourth installment of shares of restricted common stock to July 1,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that there is more than one requisite service period. Upon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right="60"/>
        <w:spacing w:after="0" w:line="275" w:lineRule="auto"/>
        <w:rPr>
          <w:sz w:val="20"/>
          <w:szCs w:val="20"/>
          <w:color w:val="auto"/>
        </w:rPr>
      </w:pPr>
      <w:r>
        <w:rPr>
          <w:rFonts w:ascii="Arial" w:cs="Arial" w:eastAsia="Arial" w:hAnsi="Arial"/>
          <w:sz w:val="17"/>
          <w:szCs w:val="17"/>
          <w:color w:val="auto"/>
        </w:rPr>
        <w:t>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during the six months ended June 30, 2020:</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1,862,569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(150,648)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1,711,921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Exercisable as of June 30, 2020</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1,039,505</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June 30, 2020</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1,711,921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the total unrecognized compensation expense related to unvested options was $7.5 million, which the Company expects to recognize over an estimated weighted average period of 1.50 years.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There were no stock options granted during the three and six months ended June 30, 2020. During the six months ended June 30, 2019, the Company granted options to purchase 131,905 shares of the Company’s common stock, cancelled options to purchase 104,746 shares of the Company’s common stock and options to purchase 44 shares of the Company’s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222222"/>
        </w:rPr>
        <w:t>A summary of restricted stock award activity within the Company’s equity plans and changes for the six months ended June 30, 2020 is as follows: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January 1, 2020</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2,601,972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573,509</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(346,859)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(505,695)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June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2,322,927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On March 12, 2020, 371,329 shares of restricted stock were forfeited and treated as a cancellation with remaining unrecognized expense for the unvested awards recognized on the date of cancellation. The Company did not reverse previously recognized compensation expense as a result of these forfeitures.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8, 2020, 134,366 shares of restricted stock were forfeited and the Company reversed previously recognized compensation expense for unvested grants.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Stock-based compensation expense for restricted shares granted was $3.6 million and $9.6 million for the three and six months ended June 30, 2020, respectively. </w:t>
      </w:r>
      <w:r>
        <w:rPr>
          <w:rFonts w:ascii="Arial" w:cs="Arial" w:eastAsia="Arial" w:hAnsi="Arial"/>
          <w:sz w:val="18"/>
          <w:szCs w:val="18"/>
          <w:color w:val="222222"/>
        </w:rPr>
        <w:t>For each of the three and six months ended June 30, 2019, $10.3 million shares of common stock vested.</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weighted-average grant date fair value of shares of restricted common stock granted during the three months ended June 30, 2020 was $3.30. As of June 30, 2020, the total unrecognized compensation expense related to unvested shares of restricted common stock was $9.1 million which the Company expects to recognize over an estimated weighted-average period of 0.90 years.</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20" w:name="page21"/>
    <w:bookmarkEnd w:id="20"/>
    <w:p>
      <w:pPr>
        <w:ind w:right="800"/>
        <w:spacing w:after="0" w:line="277" w:lineRule="auto"/>
        <w:rPr>
          <w:sz w:val="20"/>
          <w:szCs w:val="20"/>
          <w:color w:val="auto"/>
        </w:rPr>
      </w:pPr>
      <w:r>
        <w:rPr>
          <w:rFonts w:ascii="Arial" w:cs="Arial" w:eastAsia="Arial" w:hAnsi="Arial"/>
          <w:sz w:val="18"/>
          <w:szCs w:val="18"/>
          <w:color w:val="222222"/>
        </w:rPr>
        <w:t xml:space="preserve">The table above includes 300,432 shares of </w:t>
      </w:r>
      <w:r>
        <w:rPr>
          <w:rFonts w:ascii="Arial" w:cs="Arial" w:eastAsia="Arial" w:hAnsi="Arial"/>
          <w:sz w:val="18"/>
          <w:szCs w:val="18"/>
          <w:color w:val="000000"/>
        </w:rPr>
        <w:t>restricted common stock</w:t>
      </w:r>
      <w:r>
        <w:rPr>
          <w:rFonts w:ascii="Arial" w:cs="Arial" w:eastAsia="Arial" w:hAnsi="Arial"/>
          <w:sz w:val="18"/>
          <w:szCs w:val="18"/>
          <w:color w:val="222222"/>
        </w:rPr>
        <w:t xml:space="preserve"> that have been granted under the Mohawk 2018 Plan, included in the shares outstanding under that plan and </w:t>
      </w:r>
      <w:r>
        <w:rPr>
          <w:rFonts w:ascii="Arial" w:cs="Arial" w:eastAsia="Arial" w:hAnsi="Arial"/>
          <w:sz w:val="18"/>
          <w:szCs w:val="18"/>
          <w:color w:val="000000"/>
        </w:rPr>
        <w:t>carry dividend or voting rights applicable to the Company’s common stock.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222222"/>
        </w:rPr>
        <w:t>Stock-based compensation expense is allocated based on the cost center to which the award holder belongs. The following table summarizes the total stock-based compensation expense by function for the three and six months ended June 30, 2020 and 2019:</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8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center"/>
              <w:ind w:right="74"/>
              <w:spacing w:after="0" w:line="155"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4"/>
          </w:tcPr>
          <w:p>
            <w:pPr>
              <w:jc w:val="right"/>
              <w:ind w:right="394"/>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11,873</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13,373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reflects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6"/>
              </w:rPr>
              <w:t>Three Months Ended June 30,</w:t>
            </w:r>
          </w:p>
        </w:tc>
      </w:tr>
      <w:tr>
        <w:trPr>
          <w:trHeight w:val="155"/>
        </w:trPr>
        <w:tc>
          <w:tcPr>
            <w:tcW w:w="53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(16,879)</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(2,937)</w:t>
            </w: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12,206,747</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15,425,312</w:t>
            </w:r>
          </w:p>
        </w:tc>
        <w:tc>
          <w:tcPr>
            <w:tcW w:w="80" w:type="dxa"/>
            <w:vAlign w:val="bottom"/>
            <w:tcBorders>
              <w:bottom w:val="single" w:sz="8" w:color="CFF0FC"/>
            </w:tcBorders>
          </w:tcPr>
          <w:p>
            <w:pPr>
              <w:spacing w:after="0"/>
              <w:rPr>
                <w:sz w:val="20"/>
                <w:szCs w:val="20"/>
                <w:color w:val="auto"/>
              </w:rPr>
            </w:pPr>
          </w:p>
        </w:tc>
      </w:tr>
      <w:tr>
        <w:trPr>
          <w:trHeight w:val="223"/>
        </w:trPr>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7"/>
          </w:tcPr>
          <w:p>
            <w:pPr>
              <w:jc w:val="right"/>
              <w:ind w:right="71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(25,268)</w:t>
            </w:r>
          </w:p>
        </w:tc>
        <w:tc>
          <w:tcPr>
            <w:tcW w:w="34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(17,967)</w:t>
            </w: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11,872,326</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15,308,966</w:t>
            </w:r>
          </w:p>
        </w:tc>
        <w:tc>
          <w:tcPr>
            <w:tcW w:w="80" w:type="dxa"/>
            <w:vAlign w:val="bottom"/>
            <w:tcBorders>
              <w:bottom w:val="single" w:sz="8" w:color="CFF0FC"/>
            </w:tcBorders>
          </w:tcPr>
          <w:p>
            <w:pPr>
              <w:spacing w:after="0"/>
              <w:rPr>
                <w:sz w:val="20"/>
                <w:szCs w:val="20"/>
                <w:color w:val="auto"/>
              </w:rPr>
            </w:pPr>
          </w:p>
        </w:tc>
      </w:tr>
      <w:tr>
        <w:trPr>
          <w:trHeight w:val="223"/>
        </w:trPr>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is party to various actions and claims arising in the normal course of business. The Company does not believe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color w:val="auto"/>
        </w:rPr>
        <w:t>Company’s condensed consolidated financial condition or results of operations. Further, no assurance can be given that the amount or scope of existing insurance coverage will be sufficient to cover losses arising from such matters.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 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 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2019 and June 30, 2020, the Company estimates that the potential liability, including current sales tax payable is approximately $0.5 and $0.3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U.S. Department of Energy</w:t>
      </w:r>
      <w:r>
        <w:rPr>
          <w:rFonts w:ascii="Arial" w:cs="Arial" w:eastAsia="Arial" w:hAnsi="Arial"/>
          <w:sz w:val="16"/>
          <w:szCs w:val="16"/>
          <w:color w:val="auto"/>
        </w:rPr>
        <w:t>— In September 2019, the Company received a Test Notice from the U.S. Department of Energy (“DOE”) indicating that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 xml:space="preserve">Company believes that its products are compliant, and the Company, in conjunction with its manufacturing partner, has disputed the Test Notice received from the DOE. </w:t>
      </w:r>
      <w:r>
        <w:rPr>
          <w:rFonts w:ascii="Arial" w:cs="Arial" w:eastAsia="Arial" w:hAnsi="Arial"/>
          <w:sz w:val="16"/>
          <w:szCs w:val="16"/>
          <w:color w:val="000000"/>
        </w:rPr>
        <w:t>As of the date of the issuance of these financial statements, the Company cannot reasonably estimate what, if any, penalties may be levied.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Environmental Protection Agency</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22222"/>
        </w:rPr>
        <w:t>In September 2019, the Company received notice from the U.S. Environmental Protection Agency (“EPA”) that 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has placed a hold on the sale of certain of the Company's dehumidifier inventory while it reviews the matter with the Company. The Company cannot be certain of the outcome with the EPA, and the Company may incur costs and penalties that cannot presently be calculated in the event that the Company is unable to resolve this matter with the EPA.</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2019 included in our Annual Report on Form 10-K for the year ended December 31, 2019 as filed with the Securities and Exchange Commission (the “SEC”) on March 30, 2020.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Unless the context otherwise requires, the terms “Mohawk,” the “Company,” “we,” “us” and “our” in this Quarterly Report on Form 10-Q refer to Mohawk Group Holdings, Inc. and our consolidated subsidiaries, including Mohawk Group,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Mohawk is a rapidly growing technology-enabled consumer products company. Mohawk was founded on the premise that if a consumer products goods (“CPG”) company was founded today, it would apply artificial intelligence (“A.I.”) and machine learning, the synthesis of massive quantities of data and the use of social proof to identify and validate high caliber product offerings and market opportunities, as opposed to over-reliance on brand value and other traditional marketing tactics.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launched and sold hundreds of SKUs on Amazon and other e-commerce platforms. Through the success of a number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 The Company has recently launched a new brand, Holonix Health, which has been created to develop and market personal protective equipment and wellness related products in light of the COVID-19 pandemic, corresponding changes in consumer behavior and anticipated on-going needs past the pandemic.</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we are reinventing how to rapidly and successfully identify new product and market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APIs, to multiple e-commerce platforms. This allows us to automate the purchase of marketing, automate various parts of our fulfillment and logistics operations and to automate the pricing changes on product listings. We generate revenue primarily through the online sales of our various digital native consumer products and substantially all of our sales are made through the Amazon U.S. marketplace.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shifts in the timing of certain holidays and changes in our product mix.</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62" w:lineRule="exact"/>
        <w:rPr>
          <w:sz w:val="20"/>
          <w:szCs w:val="20"/>
          <w:color w:val="auto"/>
        </w:rPr>
      </w:pPr>
    </w:p>
    <w:p>
      <w:pPr>
        <w:ind w:left="880" w:right="60" w:hanging="373"/>
        <w:spacing w:after="0" w:line="25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880" w:hanging="373"/>
        <w:spacing w:after="0" w:line="259"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10%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880" w:right="20" w:hanging="373"/>
        <w:spacing w:after="0" w:line="25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 During the three months ended June 30, 2020, we changed how we procure and order products, including our products in the launch phase, by reducing the targeted inventory on hand. For products in the launch phase in particular, we have reduced our initial order quantities to reduce exposure related to product launches which do not meet expectations. This reduced order quantity may slightly impact the time needed for a product to reach sustain and may nominally increase the cost of online advertising and other promotional programs related to product launches, but we believe this reduces the working capital impact from product launches, including product launches which may not meet expectations.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shows the number of launches of new products included in our net revenue which have achieved, or are expected to achieve, more than $0.5 million in net revenue per year. The growth in our direct net revenue (i.e., direct to consumer sales) versus the comparable prior year period is the period over period growth of direct sales channel.</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5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080" w:type="dxa"/>
            <w:vAlign w:val="bottom"/>
          </w:tcPr>
          <w:p>
            <w:pPr>
              <w:spacing w:after="0"/>
              <w:rPr>
                <w:sz w:val="13"/>
                <w:szCs w:val="13"/>
                <w:color w:val="auto"/>
              </w:rPr>
            </w:pPr>
          </w:p>
        </w:tc>
        <w:tc>
          <w:tcPr>
            <w:tcW w:w="96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620" w:type="dxa"/>
            <w:vAlign w:val="bottom"/>
            <w:tcBorders>
              <w:top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9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6040" w:type="dxa"/>
            <w:vAlign w:val="bottom"/>
            <w:gridSpan w:val="2"/>
          </w:tcPr>
          <w:p>
            <w:pPr>
              <w:spacing w:after="0"/>
              <w:rPr>
                <w:sz w:val="20"/>
                <w:szCs w:val="20"/>
                <w:color w:val="auto"/>
              </w:rPr>
            </w:pPr>
            <w:r>
              <w:rPr>
                <w:rFonts w:ascii="Arial" w:cs="Arial" w:eastAsia="Arial" w:hAnsi="Arial"/>
                <w:sz w:val="18"/>
                <w:szCs w:val="18"/>
                <w:color w:val="auto"/>
              </w:rPr>
              <w:t>Growth in direct net revenue versus comparable</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previous year period</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123.2%</w:t>
            </w:r>
          </w:p>
        </w:tc>
        <w:tc>
          <w:tcPr>
            <w:tcW w:w="7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growth in direct net revenue can be impacted by the timing and the season in which products are launched. For example, 6 of our 8 products launches for the three months ended June 30, 2020 occurred after June 15, 2020, and do not have a full quarter of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derive our revenue from the sale of consumer products, primarily in the United States. We sell products directly to consumers through online retail channels and through wholesale channels. Direct to 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 During the three months ended June 30, 2020, we began to sell personal protective equipment (“PPE”) to certain states and local governments. We recorded for the three months ended June 30, 2020 approximately $5.7 million in net revenue related to PPE sales and we expect to increase the amount of PPE net revenue in the third quarter of 2020. PPE net revenue is typically recognized when the goods are delivered to the customer’s warehouse as the control of product has transferred at that point.</w:t>
      </w:r>
    </w:p>
    <w:p>
      <w:pPr>
        <w:spacing w:after="0" w:line="16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Cost of Goods Sold—</w:t>
      </w:r>
      <w:r>
        <w:rPr>
          <w:rFonts w:ascii="Arial" w:cs="Arial" w:eastAsia="Arial" w:hAnsi="Arial"/>
          <w:sz w:val="16"/>
          <w:szCs w:val="16"/>
          <w:color w:val="auto"/>
        </w:rPr>
        <w:t>Cost of goods sold is comprised of the book value of inventory sold to customers during the reporting period. When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We believe that the tariff increases that were previously announced and subsequently postponed by the USTR in late 2019, would have originally impacted our cost of goods sold at the end of the third quarter of 2020 as we expected to sell through our pre-tariff inventory. As such, we planned our inventory purchases (i.e., increased our days of inventory 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220"/>
        <w:spacing w:after="0" w:line="259" w:lineRule="auto"/>
        <w:rPr>
          <w:sz w:val="20"/>
          <w:szCs w:val="20"/>
          <w:color w:val="auto"/>
        </w:rPr>
      </w:pPr>
      <w:r>
        <w:rPr>
          <w:rFonts w:ascii="Arial" w:cs="Arial" w:eastAsia="Arial" w:hAnsi="Arial"/>
          <w:sz w:val="18"/>
          <w:szCs w:val="18"/>
          <w:color w:val="auto"/>
        </w:rPr>
        <w:t>hand) to delay the tariff impact into the summer of 2020, and we expected to raise prices to offset the tariff impact once we sold through our pre-tariff inventory. Our pricing actions are intended to offset the full gross margin impact of tariff increases, if they are enacted. However, there are no assurances that these pricing actions will not reduce customer orders if these tariffs or if additional tariffs are implemented in the future. Further, we can provide no assurances that future tariff increases will not be enacted.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 related costs and fees paid to outside consultants related to the development of our intellectual property.</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Sales and Distribution Expenses—</w:t>
      </w:r>
      <w:r>
        <w:rPr>
          <w:rFonts w:ascii="Arial" w:cs="Arial" w:eastAsia="Arial" w:hAnsi="Arial"/>
          <w:sz w:val="16"/>
          <w:szCs w:val="16"/>
          <w:color w:val="auto"/>
        </w:rPr>
        <w:t>Sales and distribution expenses consist of online advertising costs, marketing and promotional costs, sales and</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commissions, fulfillment, warehouse costs and employee compensation and benefits. Costs associated with our advertising and sales promotion are expensed as incurred and are included in sales and distribution expenses. Shipping and handling expense is included in our condensed consolidated statements of operations in sales and distribution 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Mohawk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In the first quarter of 2020 we added five FBM warehouses to our direct fulfillment platform, enabling FBM One Day Prime delivery for sales through Amazon, for approximately 90% of the U.S. We believe that the increase in warehouse costs associated with this expansion will be more than offset by the decrease in shipping costs to customers. As our third-party warehouse locations have greater geographic reach, the average last mile shipping zones to the end customer will decrease, and as such our shipping costs to customers will decrease.</w:t>
      </w:r>
    </w:p>
    <w:p>
      <w:pPr>
        <w:spacing w:after="0" w:line="167"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Interest Expense, Net</w:t>
      </w:r>
      <w:r>
        <w:rPr>
          <w:rFonts w:ascii="Arial" w:cs="Arial" w:eastAsia="Arial" w:hAnsi="Arial"/>
          <w:sz w:val="18"/>
          <w:szCs w:val="18"/>
          <w:color w:val="auto"/>
        </w:rPr>
        <w:t>—Interest expense, net includes the interest cost from our credit facility and term loan and includes amortization of deferred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debt discounts from our credit facility and term loan with MidCap Financial Trust (“MidCap”) and our term loan with Horizon Technology Finance Corporation (“Horizon”).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used herein, Contribution margin represents operating loss plus general and administrative expenses, research and development expenses and fixed sales and distribution expenses.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and other expense, net. As used herein, Adjusted EBTIDA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80"/>
        <w:spacing w:after="0" w:line="254" w:lineRule="auto"/>
        <w:rPr>
          <w:sz w:val="20"/>
          <w:szCs w:val="20"/>
          <w:color w:val="auto"/>
        </w:rPr>
      </w:pPr>
      <w:r>
        <w:rPr>
          <w:rFonts w:ascii="Arial" w:cs="Arial" w:eastAsia="Arial" w:hAnsi="Arial"/>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9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116"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interest expense or the cash requirements necessary to service interest expense or principal payments, associated with indebtedness;</w:t>
      </w:r>
    </w:p>
    <w:p>
      <w:pPr>
        <w:spacing w:after="0" w:line="153" w:lineRule="exact"/>
        <w:rPr>
          <w:rFonts w:ascii="Arial" w:cs="Arial" w:eastAsia="Arial" w:hAnsi="Arial"/>
          <w:sz w:val="16"/>
          <w:szCs w:val="16"/>
          <w:color w:val="auto"/>
        </w:rPr>
      </w:pPr>
    </w:p>
    <w:p>
      <w:pPr>
        <w:ind w:left="880" w:right="10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 or</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will remain a key element of our overall long-term incentive compensation package.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7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administrative expenses necessary to operate our business;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 or</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w:t>
      </w:r>
    </w:p>
    <w:p>
      <w:pPr>
        <w:sectPr>
          <w:pgSz w:w="11900" w:h="16838" w:orient="portrait"/>
          <w:cols w:equalWidth="0" w:num="1">
            <w:col w:w="11260"/>
          </w:cols>
          <w:pgMar w:left="320" w:top="557" w:right="319" w:bottom="1440" w:gutter="0" w:footer="0" w:header="0"/>
        </w:sectPr>
      </w:pPr>
    </w:p>
    <w:p>
      <w:pPr>
        <w:spacing w:after="0" w:line="325"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740" w:type="dxa"/>
        <w:tblCellMar>
          <w:top w:w="0" w:type="dxa"/>
          <w:left w:w="0" w:type="dxa"/>
          <w:bottom w:w="0" w:type="dxa"/>
          <w:right w:w="0" w:type="dxa"/>
        </w:tblCellMar>
      </w:tblPr>
      <w:tr>
        <w:trPr>
          <w:trHeight w:val="156"/>
        </w:trPr>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8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820" w:type="dxa"/>
            <w:vAlign w:val="bottom"/>
          </w:tcPr>
          <w:p>
            <w:pPr>
              <w:spacing w:after="0"/>
              <w:rPr>
                <w:sz w:val="13"/>
                <w:szCs w:val="13"/>
                <w:color w:val="auto"/>
              </w:rPr>
            </w:pPr>
          </w:p>
        </w:tc>
        <w:tc>
          <w:tcPr>
            <w:tcW w:w="1840" w:type="dxa"/>
            <w:vAlign w:val="bottom"/>
          </w:tcPr>
          <w:p>
            <w:pPr>
              <w:jc w:val="right"/>
              <w:ind w:right="848"/>
              <w:spacing w:after="0" w:line="155" w:lineRule="exact"/>
              <w:rPr>
                <w:sz w:val="20"/>
                <w:szCs w:val="20"/>
                <w:color w:val="auto"/>
              </w:rPr>
            </w:pPr>
            <w:r>
              <w:rPr>
                <w:rFonts w:ascii="Arial" w:cs="Arial" w:eastAsia="Arial" w:hAnsi="Arial"/>
                <w:sz w:val="14"/>
                <w:szCs w:val="14"/>
                <w:color w:val="auto"/>
              </w:rPr>
              <w:t>(in thousands)</w:t>
            </w: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20955</wp:posOffset>
            </wp:positionV>
            <wp:extent cx="1457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8"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6985</wp:posOffset>
            </wp:positionV>
            <wp:extent cx="1457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p>
    <w:p>
      <w:pPr>
        <w:sectPr>
          <w:pgSz w:w="11900" w:h="16838" w:orient="portrait"/>
          <w:cols w:equalWidth="0" w:num="2">
            <w:col w:w="8400" w:space="620"/>
            <w:col w:w="2240"/>
          </w:cols>
          <w:pgMar w:left="320" w:top="557" w:right="3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1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1,737</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10,036</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941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9,281</w:t>
            </w:r>
          </w:p>
        </w:tc>
        <w:tc>
          <w:tcPr>
            <w:tcW w:w="20" w:type="dxa"/>
            <w:vAlign w:val="bottom"/>
          </w:tcPr>
          <w:p>
            <w:pPr>
              <w:spacing w:after="0"/>
              <w:rPr>
                <w:sz w:val="18"/>
                <w:szCs w:val="18"/>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14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(15,543)</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(1,777)</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(22,664)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(15,657)</w:t>
            </w:r>
          </w:p>
        </w:tc>
        <w:tc>
          <w:tcPr>
            <w:tcW w:w="2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Adjusted EBITDA</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(3,683)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3,388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(9,260)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(3,028)</w:t>
            </w:r>
          </w:p>
        </w:tc>
        <w:tc>
          <w:tcPr>
            <w:tcW w:w="20" w:type="dxa"/>
            <w:vAlign w:val="bottom"/>
          </w:tcPr>
          <w:p>
            <w:pPr>
              <w:spacing w:after="0"/>
              <w:rPr>
                <w:sz w:val="19"/>
                <w:szCs w:val="19"/>
                <w:color w:val="auto"/>
              </w:rPr>
            </w:pPr>
          </w:p>
        </w:tc>
      </w:tr>
      <w:tr>
        <w:trPr>
          <w:trHeight w:val="24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1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r>
      <w:tr>
        <w:trPr>
          <w:trHeight w:val="432"/>
        </w:trPr>
        <w:tc>
          <w:tcPr>
            <w:tcW w:w="462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Contribution Margin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Contribution margin represents operating loss plus general and administrative expenses, research and development expenses and fixed sales and distribution expenses. Contribution margin as a percentage of net revenue represents Contribution margin divided by net revenue. The following table provides a reconciliation of Contribution margin to operating loss, which is the most directly comparable financial measure presented in accordance with GAAP:</w:t>
      </w:r>
    </w:p>
    <w:p>
      <w:pPr>
        <w:sectPr>
          <w:pgSz w:w="11900" w:h="16838" w:orient="portrait"/>
          <w:cols w:equalWidth="0" w:num="1">
            <w:col w:w="11260"/>
          </w:cols>
          <w:pgMar w:left="320" w:top="490" w:right="319" w:bottom="1440" w:gutter="0" w:footer="0" w:header="0"/>
        </w:sectPr>
      </w:pPr>
    </w:p>
    <w:p>
      <w:pPr>
        <w:spacing w:after="0" w:line="286"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680" w:type="dxa"/>
        <w:tblCellMar>
          <w:top w:w="0" w:type="dxa"/>
          <w:left w:w="0" w:type="dxa"/>
          <w:bottom w:w="0" w:type="dxa"/>
          <w:right w:w="0" w:type="dxa"/>
        </w:tblCellMar>
      </w:tblPr>
      <w:tr>
        <w:trPr>
          <w:trHeight w:val="155"/>
        </w:trPr>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76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780" w:type="dxa"/>
            <w:vAlign w:val="bottom"/>
          </w:tcPr>
          <w:p>
            <w:pPr>
              <w:spacing w:after="0"/>
              <w:rPr>
                <w:sz w:val="13"/>
                <w:szCs w:val="13"/>
                <w:color w:val="auto"/>
              </w:rPr>
            </w:pPr>
          </w:p>
        </w:tc>
        <w:tc>
          <w:tcPr>
            <w:tcW w:w="1760" w:type="dxa"/>
            <w:vAlign w:val="bottom"/>
          </w:tcPr>
          <w:p>
            <w:pPr>
              <w:jc w:val="right"/>
              <w:ind w:right="808"/>
              <w:spacing w:after="0" w:line="155" w:lineRule="exact"/>
              <w:rPr>
                <w:sz w:val="20"/>
                <w:szCs w:val="20"/>
                <w:color w:val="auto"/>
              </w:rPr>
            </w:pPr>
            <w:r>
              <w:rPr>
                <w:rFonts w:ascii="Arial" w:cs="Arial" w:eastAsia="Arial" w:hAnsi="Arial"/>
                <w:sz w:val="14"/>
                <w:szCs w:val="14"/>
                <w:color w:val="auto"/>
                <w:w w:val="96"/>
              </w:rPr>
              <w:t>(in thousands)</w:t>
            </w:r>
          </w:p>
        </w:tc>
      </w:tr>
    </w:tbl>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13970</wp:posOffset>
            </wp:positionV>
            <wp:extent cx="1654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7"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14605</wp:posOffset>
            </wp:positionV>
            <wp:extent cx="1654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7"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p>
    <w:p>
      <w:pPr>
        <w:sectPr>
          <w:pgSz w:w="11900" w:h="16838" w:orient="portrait"/>
          <w:cols w:equalWidth="0" w:num="2">
            <w:col w:w="8220" w:space="660"/>
            <w:col w:w="2380"/>
          </w:cols>
          <w:pgMar w:left="320" w:top="490" w:right="3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(15,596)</w:t>
            </w:r>
          </w:p>
        </w:tc>
        <w:tc>
          <w:tcPr>
            <w:tcW w:w="4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(22,728)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(15,717)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16,355</w:t>
            </w:r>
          </w:p>
        </w:tc>
        <w:tc>
          <w:tcPr>
            <w:tcW w:w="18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9"/>
                <w:szCs w:val="19"/>
                <w:color w:val="auto"/>
              </w:rPr>
            </w:pPr>
          </w:p>
        </w:tc>
      </w:tr>
      <w:tr>
        <w:trPr>
          <w:trHeight w:val="215"/>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fixed expenses, including</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4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180" w:type="dxa"/>
            <w:vAlign w:val="bottom"/>
            <w:shd w:val="clear" w:color="auto" w:fill="CFF0FC"/>
          </w:tcPr>
          <w:p>
            <w:pPr>
              <w:spacing w:after="0"/>
              <w:rPr>
                <w:sz w:val="20"/>
                <w:szCs w:val="20"/>
                <w:color w:val="auto"/>
              </w:rPr>
            </w:pPr>
          </w:p>
        </w:tc>
      </w:tr>
      <w:tr>
        <w:trPr>
          <w:trHeight w:val="26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Contribution margin</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w:t>
            </w:r>
          </w:p>
        </w:tc>
        <w:tc>
          <w:tcPr>
            <w:tcW w:w="2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4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80" w:type="dxa"/>
            <w:vAlign w:val="bottom"/>
            <w:tcBorders>
              <w:bottom w:val="single" w:sz="8" w:color="CFF0FC"/>
            </w:tcBorders>
          </w:tcPr>
          <w:p>
            <w:pPr>
              <w:spacing w:after="0"/>
              <w:rPr>
                <w:sz w:val="22"/>
                <w:szCs w:val="22"/>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as a percentage of net revenue</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EBITDA represents net loss plus depreciation and amortization, interest expense, net and income tax expense. Adjusted EBITDA represents EBITDA plus stock-based compensation expense and other expense, net. As used herein, Adjusted EBITDA as a percentage of net revenue represents Adjusted EBITDA divided by net revenue. The following table provides a reconciliation of EBITDA and Adjusted EBITDA to net loss, which is the most directly comparable financial measure presented in accordance with GAAP:</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08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2"/>
              </w:rPr>
              <w:t>Six Months Ended June 30,</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83"/>
              </w:rPr>
              <w:t>2020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(16,879)</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(25,268)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w w:val="89"/>
              </w:rPr>
              <w:t>(17,967)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70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(15,543)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(1,777)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(22,664</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(15,657)</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right w:val="single" w:sz="8" w:color="CFF0FC"/>
            </w:tcBorders>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11,873</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w:t>
            </w:r>
          </w:p>
        </w:tc>
        <w:tc>
          <w:tcPr>
            <w:tcW w:w="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12,610</w:t>
            </w:r>
          </w:p>
        </w:tc>
        <w:tc>
          <w:tcPr>
            <w:tcW w:w="24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320" w:type="dxa"/>
            <w:vAlign w:val="bottom"/>
            <w:tcBorders>
              <w:bottom w:val="single" w:sz="8" w:color="CFF0FC"/>
              <w:right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(9,260</w:t>
            </w:r>
          </w:p>
        </w:tc>
        <w:tc>
          <w:tcPr>
            <w:tcW w:w="380" w:type="dxa"/>
            <w:vAlign w:val="bottom"/>
            <w:tcBorders>
              <w:bottom w:val="single" w:sz="8" w:color="CFF0FC"/>
            </w:tcBorders>
            <w:shd w:val="clear" w:color="auto" w:fill="CFF0FC"/>
          </w:tcPr>
          <w:p>
            <w:pPr>
              <w:jc w:val="right"/>
              <w:ind w:right="24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1700"/>
              <w:spacing w:after="0"/>
              <w:rPr>
                <w:sz w:val="20"/>
                <w:szCs w:val="20"/>
                <w:color w:val="auto"/>
              </w:rPr>
            </w:pPr>
            <w:r>
              <w:rPr>
                <w:rFonts w:ascii="Arial" w:cs="Arial" w:eastAsia="Arial" w:hAnsi="Arial"/>
                <w:sz w:val="18"/>
                <w:szCs w:val="18"/>
                <w:color w:val="auto"/>
              </w:rPr>
              <w:t>Adjusted EBITDA as a percentage of net</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70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213"/>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2020</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June 30, 2019 and 2020, together with the changes in those items in dollars and percentages: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color w:val="auto"/>
                <w:w w:val="90"/>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(1,953)</w:t>
            </w: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(16,864)</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(16,879)</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(2,937)</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13,942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 June 30,</w:t>
            </w:r>
          </w:p>
        </w:tc>
      </w:tr>
      <w:tr>
        <w:trPr>
          <w:trHeight w:val="156"/>
        </w:trPr>
        <w:tc>
          <w:tcPr>
            <w:tcW w:w="5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2,409</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9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61.3%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92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vMerge w:val="continue"/>
            <w:shd w:val="clear" w:color="auto" w:fill="CFF0FC"/>
          </w:tcPr>
          <w:p>
            <w:pPr>
              <w:spacing w:after="0"/>
              <w:rPr>
                <w:sz w:val="19"/>
                <w:szCs w:val="19"/>
                <w:color w:val="auto"/>
              </w:rPr>
            </w:pPr>
          </w:p>
        </w:tc>
        <w:tc>
          <w:tcPr>
            <w:tcW w:w="192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38.7%</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3320" w:type="dxa"/>
            <w:vAlign w:val="bottom"/>
            <w:gridSpan w:val="3"/>
          </w:tcPr>
          <w:p>
            <w:pPr>
              <w:jc w:val="right"/>
              <w:ind w:right="200"/>
              <w:spacing w:after="0"/>
              <w:rPr>
                <w:sz w:val="20"/>
                <w:szCs w:val="20"/>
                <w:color w:val="auto"/>
              </w:rPr>
            </w:pPr>
            <w:r>
              <w:rPr>
                <w:rFonts w:ascii="Arial" w:cs="Arial" w:eastAsia="Arial" w:hAnsi="Arial"/>
                <w:sz w:val="18"/>
                <w:szCs w:val="18"/>
                <w:color w:val="auto"/>
              </w:rPr>
              <w:t>45.1%</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33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92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vMerge w:val="continue"/>
            <w:shd w:val="clear" w:color="auto" w:fill="CFF0FC"/>
          </w:tcPr>
          <w:p>
            <w:pPr>
              <w:spacing w:after="0"/>
              <w:rPr>
                <w:sz w:val="19"/>
                <w:szCs w:val="19"/>
                <w:color w:val="auto"/>
              </w:rPr>
            </w:pPr>
          </w:p>
        </w:tc>
        <w:tc>
          <w:tcPr>
            <w:tcW w:w="192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expense, net</w:t>
            </w:r>
          </w:p>
        </w:tc>
        <w:tc>
          <w:tcPr>
            <w:tcW w:w="332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9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1700"/>
              <w:spacing w:after="0"/>
              <w:rPr>
                <w:sz w:val="20"/>
                <w:szCs w:val="20"/>
                <w:color w:val="auto"/>
              </w:rPr>
            </w:pPr>
            <w:r>
              <w:rPr>
                <w:rFonts w:ascii="Arial" w:cs="Arial" w:eastAsia="Arial" w:hAnsi="Arial"/>
                <w:sz w:val="18"/>
                <w:szCs w:val="18"/>
                <w:color w:val="auto"/>
              </w:rPr>
              <w:t>Loss before income taxes</w:t>
            </w:r>
          </w:p>
        </w:tc>
        <w:tc>
          <w:tcPr>
            <w:tcW w:w="19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1700"/>
              <w:spacing w:after="0"/>
              <w:rPr>
                <w:sz w:val="20"/>
                <w:szCs w:val="20"/>
                <w:color w:val="auto"/>
              </w:rPr>
            </w:pPr>
            <w:r>
              <w:rPr>
                <w:rFonts w:ascii="Arial" w:cs="Arial" w:eastAsia="Arial" w:hAnsi="Arial"/>
                <w:sz w:val="18"/>
                <w:szCs w:val="18"/>
                <w:color w:val="auto"/>
              </w:rPr>
              <w:t>Net loss</w:t>
            </w:r>
          </w:p>
        </w:tc>
        <w:tc>
          <w:tcPr>
            <w:tcW w:w="19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20" w:type="dxa"/>
            <w:vAlign w:val="bottom"/>
            <w:vMerge w:val="restart"/>
          </w:tcPr>
          <w:p>
            <w:pPr>
              <w:jc w:val="right"/>
              <w:ind w:right="1050"/>
              <w:spacing w:after="0"/>
              <w:rPr>
                <w:sz w:val="20"/>
                <w:szCs w:val="20"/>
                <w:color w:val="auto"/>
              </w:rPr>
            </w:pPr>
            <w:r>
              <w:rPr>
                <w:rFonts w:ascii="Arial" w:cs="Arial" w:eastAsia="Arial" w:hAnsi="Arial"/>
                <w:sz w:val="18"/>
                <w:szCs w:val="18"/>
                <w:color w:val="auto"/>
              </w:rPr>
              <w:t>24</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w:t>
      </w:r>
    </w:p>
    <w:p>
      <w:pPr>
        <w:spacing w:after="0" w:line="200" w:lineRule="exact"/>
        <w:rPr>
          <w:sz w:val="20"/>
          <w:szCs w:val="20"/>
          <w:color w:val="auto"/>
        </w:rPr>
      </w:pPr>
    </w:p>
    <w:p>
      <w:pPr>
        <w:spacing w:after="0" w:line="34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134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Wholesale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30,368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59,800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The increase in net revenue was primarily attributable to increased direct sales volume of $24.4 million, or an 83.3% increase, from increased pricing, growth in our existing sustain product portfolio, including the impact of products released in the second half of 2019, and our current year launches. We also saw an increase in wholesale revenue of $5.1 million versus the prior year primarily from the sale of PPE during the current period. We expect to continue to grow PPE net revenue in the second half of 2020. Finally, we saw a decrease in our managed SaaS revenue of $0.1 million during the three months ended June 30, 2020 as we completed certain contracts in 2019.</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380" w:type="dxa"/>
            <w:vAlign w:val="bottom"/>
            <w:vMerge w:val="restart"/>
          </w:tcPr>
          <w:p>
            <w:pPr>
              <w:spacing w:after="0"/>
              <w:rPr>
                <w:sz w:val="20"/>
                <w:szCs w:val="20"/>
                <w:color w:val="auto"/>
              </w:rPr>
            </w:pPr>
            <w:r>
              <w:rPr>
                <w:rFonts w:ascii="Arial" w:cs="Arial" w:eastAsia="Arial" w:hAnsi="Arial"/>
                <w:sz w:val="18"/>
                <w:szCs w:val="18"/>
                <w:color w:val="auto"/>
              </w:rPr>
              <w:t>Environmental appliances (i.e., dehumidifiers and air</w:t>
            </w:r>
          </w:p>
        </w:tc>
        <w:tc>
          <w:tcPr>
            <w:tcW w:w="18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conditioners)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19,111</w:t>
            </w:r>
          </w:p>
        </w:tc>
        <w:tc>
          <w:tcPr>
            <w:tcW w:w="180" w:type="dxa"/>
            <w:vAlign w:val="bottom"/>
          </w:tcPr>
          <w:p>
            <w:pPr>
              <w:spacing w:after="0"/>
              <w:rPr>
                <w:sz w:val="20"/>
                <w:szCs w:val="20"/>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34,592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Small home appliances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Managed SaaS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Environmental appliances (i.e., dehumidifiers and air conditioners) accounted for approximately $19.1 million in net revenue for the three months ended June 30, 2019 and grew to $34.6 million for the three months ended June 30, 2020. This increase is principally due to the launch of new products over the last year which were not sold during the prior year comparable quarter. We continued to expand our small home appliances products, which increased $3.4 million in net revenue for the three months ended June 30, 2020 as compared to the prior year comparable quarter. Cosmetics, skincare and heath supplements generated $3.0 million in net revenue for the three months ended June 30, 2020 as compared to $2.6 million for the three months ended June 30, 2019. Net revenue from cookware, kitchen tools and gadgets increased approximately $0.1 million during the three months ended June 30, 2020 from the prior year comparable period as we focused on certain product categories, reducing the SKUs managed and sold in this category. We recorded higher sales of hair appliances and accessories and all other categories, increasing from $1.2 million in the three months ended June 30, 2019 to $5.6 million in the three months ended June 30, 2020 from product launches in various other categories.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134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18,608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Gross profit</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11,760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27,600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15,840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134.7%</w:t>
            </w: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9" w:name="page30"/>
    <w:bookmarkEnd w:id="29"/>
    <w:p>
      <w:pPr>
        <w:ind w:right="580"/>
        <w:spacing w:after="0" w:line="277" w:lineRule="auto"/>
        <w:rPr>
          <w:sz w:val="20"/>
          <w:szCs w:val="20"/>
          <w:color w:val="auto"/>
        </w:rPr>
      </w:pPr>
      <w:r>
        <w:rPr>
          <w:rFonts w:ascii="Arial" w:cs="Arial" w:eastAsia="Arial" w:hAnsi="Arial"/>
          <w:sz w:val="18"/>
          <w:szCs w:val="18"/>
          <w:color w:val="auto"/>
        </w:rPr>
        <w:t>The increase in cost of goods sold was primarily attributable to increased sales volume due to growth in our existing product portfolio and impact of products released in the second half of 2019.</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Gross margin improved to 46.2% for the three months ended June 30, 2020 compared to 38.7% for the three months ended June 30, 2019. The improvement in gross margin was due to a decrease in overall cost of product per unit as a result of increased sales prices and improved pricing from our manufacturers including favorable volume discounts.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w w:val="94"/>
              </w:rPr>
              <w:t>Three Months Ended June 30,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940" w:type="dxa"/>
            <w:vAlign w:val="bottom"/>
          </w:tcPr>
          <w:p>
            <w:pPr>
              <w:jc w:val="right"/>
              <w:ind w:right="30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42"/>
              <w:spacing w:after="0" w:line="155" w:lineRule="exact"/>
              <w:rPr>
                <w:sz w:val="20"/>
                <w:szCs w:val="20"/>
                <w:color w:val="auto"/>
              </w:rPr>
            </w:pPr>
            <w:r>
              <w:rPr>
                <w:rFonts w:ascii="Arial" w:cs="Arial" w:eastAsia="Arial" w:hAnsi="Arial"/>
                <w:sz w:val="14"/>
                <w:szCs w:val="14"/>
                <w:color w:val="auto"/>
                <w:w w:val="92"/>
              </w:rPr>
              <w:t>(in thousands)</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13,709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Sales and distribution expenses which included e-commerce platform commissions, online advertising and logistics expenses (i.e., variable sales and distribution expense), increased to $17.6 million for the three months ended June 30, 2020 from $10.0 million for the three months ended June 30, 2019. These increases are attributable primarily to the increase in the volume of products sold in the quarter ended June 30, 2020. For the three months ended June 30, 2020, our sales and distribution fixed costs (i.e., salary and office expenses) increased to $1.6 million from $1.3 million the comparable prior year period as part of our logistic network expansion. The three months ended June 30, 2020 included a decrease in stock-based compensation expense of $3.0 million to a credit of $0.6 million from $2.4 million in the comparable prior year period due to expense reversals from the termination of certain employees whose stock grants did not vest.</w:t>
      </w:r>
    </w:p>
    <w:p>
      <w:pPr>
        <w:spacing w:after="0" w:line="195"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As a percentage of net revenue, sales and distribution expenses decreased to 31.1% for the three months ended June 30, 2020 from 45.1% for the three months ended June 30, 2019 while our net revenue volume nearly doubled. E-commerce platform commissions, online advertising and logistics expenses included within sales and distribution expenses, as a percentage of net revenue, were 29.4% for the three months ended June 30, 2020 as compared to</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33.0%for the three months ended June 30, 2019. This decrease was due to our warehouse expansion, which has led to reduced last mile shipping cost due to shorter distances and improved pricing with our delivery partners. We believe that e-commerce customers prefer to have delivery of their purchases as soon as possible (i.e., in one day). In an effort to deliver products as soon as possible, while managing our logistics spend, late in the second quarter of 2018, we began to fulfill product sales ourselves by leveraging our direct fulfillment platform (i.e., FBM) through third-party warehouses, instead of fulfilling through e-commerce platform service providers (i.e., FBA), which allowed us to reduce our logistics spend and improve our product unit economics, especially on oversized goods. During the first half of 2020, we added five third-party FBM warehouses to our direct fulfillment platform, enabling One Day Prime delivery for approximately 90% of the United States. We expect to see future period cost savings in sales and distribution expenses as a percentage of net revenue as we continue to automate our online advertising, optimize our fulfillment operations costs and further add product revenue volume to allow us to further leverage our sales and distribution fixed costs. However, those savings may vary on a quarter to quarter basis due to seasonality and product mix.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w w:val="94"/>
              </w:rPr>
              <w:t>Three Months Ended June 30,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940" w:type="dxa"/>
            <w:vAlign w:val="bottom"/>
          </w:tcPr>
          <w:p>
            <w:pPr>
              <w:jc w:val="right"/>
              <w:ind w:right="30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42"/>
              <w:spacing w:after="0" w:line="155" w:lineRule="exact"/>
              <w:rPr>
                <w:sz w:val="20"/>
                <w:szCs w:val="20"/>
                <w:color w:val="auto"/>
              </w:rPr>
            </w:pPr>
            <w:r>
              <w:rPr>
                <w:rFonts w:ascii="Arial" w:cs="Arial" w:eastAsia="Arial" w:hAnsi="Arial"/>
                <w:sz w:val="14"/>
                <w:szCs w:val="14"/>
                <w:color w:val="auto"/>
                <w:w w:val="92"/>
              </w:rPr>
              <w:t>(in thousands)</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3,342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decrease in research and development expenses was primarily attributable to a decrease of stock-based compensation expense of $0.7 million due to completion of expensing of certain tranches from restricted stock awards previously granted pursuant to the 2019 Equity Plan.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w w:val="94"/>
              </w:rPr>
              <w:t>Three Months Ended June 30,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940" w:type="dxa"/>
            <w:vAlign w:val="bottom"/>
          </w:tcPr>
          <w:p>
            <w:pPr>
              <w:jc w:val="right"/>
              <w:ind w:right="30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42"/>
              <w:spacing w:after="0" w:line="155" w:lineRule="exact"/>
              <w:rPr>
                <w:sz w:val="20"/>
                <w:szCs w:val="20"/>
                <w:color w:val="auto"/>
              </w:rPr>
            </w:pPr>
            <w:r>
              <w:rPr>
                <w:rFonts w:ascii="Arial" w:cs="Arial" w:eastAsia="Arial" w:hAnsi="Arial"/>
                <w:sz w:val="14"/>
                <w:szCs w:val="14"/>
                <w:color w:val="auto"/>
                <w:w w:val="92"/>
              </w:rPr>
              <w:t>(in thousands)</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10,305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(1,953)</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The decrease in general and administrative expenses was primarily attributable to a decrease of stock-based compensation expense of $3.0 million due to completion of expensing of certain tranches from restricted stock awards previously granted pursuant to the 2019 Equity Plan. This decrease was offset by an increase in insurance costs, primarily directors’ and officers’ liability insurance of $0.6 million and an increase of $0.5 million in fixed costs primarily related to the cost of being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3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8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940" w:type="dxa"/>
            <w:vAlign w:val="bottom"/>
          </w:tcPr>
          <w:p>
            <w:pPr>
              <w:jc w:val="right"/>
              <w:ind w:right="30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0"/>
              </w:rPr>
              <w:t>(in thousands)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1,281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w:t>
            </w:r>
          </w:p>
        </w:tc>
      </w:tr>
    </w:tbl>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decreased in interest expense, net was primarily related to decreased interest expense under the three-year $25.0 million revolving credit facility with MidCap (the “Credit Facility”) as the average borrowings in the period had decreased as compared to the prior year comparable quarter.</w:t>
      </w: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our results of operations for the six months ended June 30, 2019 and 2020, together with the changes in those items in dollars and percentages:</w:t>
      </w:r>
    </w:p>
    <w:p>
      <w:pPr>
        <w:spacing w:after="0" w:line="378"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201"/>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gridSpan w:val="4"/>
          </w:tcPr>
          <w:p>
            <w:pPr>
              <w:jc w:val="right"/>
              <w:ind w:right="30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4"/>
          </w:tcPr>
          <w:p>
            <w:pPr>
              <w:jc w:val="right"/>
              <w:ind w:right="81"/>
              <w:spacing w:after="0" w:line="155" w:lineRule="exact"/>
              <w:rPr>
                <w:sz w:val="20"/>
                <w:szCs w:val="20"/>
                <w:color w:val="auto"/>
              </w:rPr>
            </w:pPr>
            <w:r>
              <w:rPr>
                <w:rFonts w:ascii="Arial" w:cs="Arial" w:eastAsia="Arial" w:hAnsi="Arial"/>
                <w:sz w:val="14"/>
                <w:szCs w:val="14"/>
                <w:color w:val="auto"/>
                <w:w w:val="94"/>
              </w:rPr>
              <w:t>(in thousands)</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85,428</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37,215</w:t>
            </w:r>
          </w:p>
        </w:tc>
        <w:tc>
          <w:tcPr>
            <w:tcW w:w="80" w:type="dxa"/>
            <w:vAlign w:val="bottom"/>
            <w:shd w:val="clear" w:color="auto" w:fill="CFF0FC"/>
          </w:tcPr>
          <w:p>
            <w:pPr>
              <w:spacing w:after="0"/>
              <w:rPr>
                <w:sz w:val="19"/>
                <w:szCs w:val="19"/>
                <w:color w:val="auto"/>
              </w:rPr>
            </w:pPr>
          </w:p>
        </w:tc>
        <w:tc>
          <w:tcPr>
            <w:tcW w:w="11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29,783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17,747</w:t>
            </w:r>
          </w:p>
        </w:tc>
        <w:tc>
          <w:tcPr>
            <w:tcW w:w="8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37,898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Sales and distribution expenses (1)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32,528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9,546</w:t>
            </w:r>
          </w:p>
        </w:tc>
        <w:tc>
          <w:tcPr>
            <w:tcW w:w="8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General and administrative expenses (1)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2,684</w:t>
            </w:r>
          </w:p>
        </w:tc>
        <w:tc>
          <w:tcPr>
            <w:tcW w:w="8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(15,717)</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7,011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18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5160" w:type="dxa"/>
            <w:vAlign w:val="bottom"/>
            <w:gridSpan w:val="3"/>
          </w:tcPr>
          <w:p>
            <w:pPr>
              <w:ind w:left="76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(17,922)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76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(17,967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w w:val="94"/>
              </w:rPr>
              <w:t>(1)  Amounts include stock-based compensation expense as follows:</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12"/>
          </w:tcPr>
          <w:p>
            <w:pPr>
              <w:jc w:val="right"/>
              <w:ind w:right="10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5"/>
          </w:tcPr>
          <w:p>
            <w:pPr>
              <w:jc w:val="right"/>
              <w:ind w:right="33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right"/>
              <w:ind w:right="260"/>
              <w:spacing w:after="0" w:line="155" w:lineRule="exact"/>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400" w:type="dxa"/>
            <w:vAlign w:val="bottom"/>
            <w:gridSpan w:val="2"/>
          </w:tcPr>
          <w:p>
            <w:pPr>
              <w:ind w:left="560"/>
              <w:spacing w:after="0"/>
              <w:rPr>
                <w:sz w:val="20"/>
                <w:szCs w:val="20"/>
                <w:color w:val="auto"/>
              </w:rPr>
            </w:pPr>
            <w:r>
              <w:rPr>
                <w:rFonts w:ascii="Arial" w:cs="Arial" w:eastAsia="Arial" w:hAnsi="Arial"/>
                <w:sz w:val="18"/>
                <w:szCs w:val="18"/>
                <w:color w:val="auto"/>
              </w:rPr>
              <w:t>Sales and distribution expenses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2,797</w:t>
            </w:r>
          </w:p>
        </w:tc>
        <w:tc>
          <w:tcPr>
            <w:tcW w:w="680" w:type="dxa"/>
            <w:vAlign w:val="bottom"/>
            <w:gridSpan w:val="2"/>
          </w:tcPr>
          <w:p>
            <w:pPr>
              <w:jc w:val="right"/>
              <w:ind w:right="3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8,544</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9,145</w:t>
            </w:r>
          </w:p>
        </w:tc>
        <w:tc>
          <w:tcPr>
            <w:tcW w:w="80" w:type="dxa"/>
            <w:vAlign w:val="bottom"/>
            <w:tcBorders>
              <w:bottom w:val="single" w:sz="8" w:color="CFF0FC"/>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13,373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12,610</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42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61.8%</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38.2%</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Sales and distribution expenses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47.7%</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(47.2)%</w:t>
            </w: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1740"/>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174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28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 The following table sets forth our net revenue disaggregated by product categories:</w:t>
      </w: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4"/>
              </w:rPr>
              <w:t>Six Months Ended June 30,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4"/>
              </w:rPr>
              <w:t>(in thousands)</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46,371</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Wholesale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7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48,213</w:t>
            </w:r>
          </w:p>
        </w:tc>
        <w:tc>
          <w:tcPr>
            <w:tcW w:w="1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85,428</w:t>
            </w:r>
          </w:p>
        </w:tc>
        <w:tc>
          <w:tcPr>
            <w:tcW w:w="1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increase in net revenue was primarily attributable to an increase in direct sales volume of $32.6 million, or 70.2% from increased pricing, growth in our existing sustain product portfolio, including the impact of products released in the second half of 2019, and our current year launches.. We also saw an increase in wholesale revenue of $4.9 million versus the prior year primarily from the sale of PPE during the current period. Finally, we saw a decrease in our managed SaaS revenue of $0.2 million in the six months ended June 30, 2020 as we completed certain contracts in 2019.</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00" w:type="dxa"/>
            <w:vAlign w:val="bottom"/>
            <w:vMerge w:val="restart"/>
          </w:tcPr>
          <w:p>
            <w:pPr>
              <w:spacing w:after="0"/>
              <w:rPr>
                <w:sz w:val="20"/>
                <w:szCs w:val="20"/>
                <w:color w:val="auto"/>
              </w:rPr>
            </w:pPr>
            <w:r>
              <w:rPr>
                <w:rFonts w:ascii="Arial" w:cs="Arial" w:eastAsia="Arial" w:hAnsi="Arial"/>
                <w:sz w:val="18"/>
                <w:szCs w:val="18"/>
                <w:color w:val="auto"/>
              </w:rPr>
              <w:t>Environmental appliances (i.e., dehumidifiers and air</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4"/>
          </w:tcPr>
          <w:p>
            <w:pPr>
              <w:jc w:val="right"/>
              <w:ind w:right="29"/>
              <w:spacing w:after="0"/>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conditioners)</w:t>
            </w:r>
          </w:p>
        </w:tc>
        <w:tc>
          <w:tcPr>
            <w:tcW w:w="1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25,674</w:t>
            </w:r>
          </w:p>
        </w:tc>
        <w:tc>
          <w:tcPr>
            <w:tcW w:w="220" w:type="dxa"/>
            <w:vAlign w:val="bottom"/>
          </w:tcPr>
          <w:p>
            <w:pPr>
              <w:spacing w:after="0"/>
              <w:rPr>
                <w:sz w:val="20"/>
                <w:szCs w:val="20"/>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47,862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Small home appliances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others</w:t>
            </w:r>
          </w:p>
        </w:tc>
        <w:tc>
          <w:tcPr>
            <w:tcW w:w="1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Managed SaaS</w:t>
            </w:r>
          </w:p>
        </w:tc>
        <w:tc>
          <w:tcPr>
            <w:tcW w:w="1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1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Environmental appliances (i.e., dehumidifiers and air conditioners) accounted for approximately $25.7 million in net revenue for the six months ended June 30, 2019 and grew to $47.9 million for the six months ended June 30, 2020. This increase is principally due to the launch of new products over the last year which were not sold during the prior year comparable quarter. We continued to expand our small home appliances products, which increased $4.8 million in net revenue to $14.1 million for the six months ended June 30, 2020 as compared to the prior year comparable quarter. Cosmetics, skincare and heath supplements generated $6.4 million in net revenue for the six months ended June 30, 2020 as compared to $5.8 million for the six months ended June 30, 2019. Net revenue from cookware, kitchen tools and gadgets was down approximately $0.9 million during the six months ended June 30, 2020 from the prior year comparable period as we focused on certain product categories, reducing the SKUs managed and sold in this category. We recorded higher sales of hair appliances and accessories and all other categories from $2.5 million in the six months ended June 30, 2019 to $7.6 million in the six months ended June 30, 2020 from product launches in various other categories.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6"/>
        </w:trPr>
        <w:tc>
          <w:tcPr>
            <w:tcW w:w="9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5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04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4"/>
                <w:szCs w:val="14"/>
                <w:color w:val="auto"/>
                <w:w w:val="94"/>
              </w:rPr>
              <w:t>(in thousands)</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9"/>
        </w:trPr>
        <w:tc>
          <w:tcPr>
            <w:tcW w:w="9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29,783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17,747</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59.6%</w:t>
            </w:r>
          </w:p>
        </w:tc>
        <w:tc>
          <w:tcPr>
            <w:tcW w:w="96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Gross profit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18,430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37,898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19,468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960" w:type="dxa"/>
            <w:vAlign w:val="bottom"/>
          </w:tcPr>
          <w:p>
            <w:pPr>
              <w:spacing w:after="0"/>
              <w:rPr>
                <w:sz w:val="20"/>
                <w:szCs w:val="20"/>
                <w:color w:val="auto"/>
              </w:rPr>
            </w:pPr>
          </w:p>
        </w:tc>
      </w:tr>
      <w:tr>
        <w:trPr>
          <w:trHeight w:val="431"/>
        </w:trPr>
        <w:tc>
          <w:tcPr>
            <w:tcW w:w="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77"/>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color w:val="auto"/>
        </w:rPr>
        <w:t>The increase in cost of goods sold was primarily attributable to increased sales volume from growth in our existing product portfolio and the impact of products released in the second half of 2019.</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Gross margin improved to 44.4% for the six months ended June 30, 2020 compared to 38.2% for the six months ended June 30, 2019. The improvement in gross margin was due to a decrease in overall cost of product per unit as a result of increased sale prices and improved pricing from our manufacturers including favorable volume discounts.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20" w:type="dxa"/>
            <w:vAlign w:val="bottom"/>
          </w:tcPr>
          <w:p>
            <w:pPr>
              <w:jc w:val="right"/>
              <w:ind w:right="36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42"/>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22,982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w:t>
            </w:r>
          </w:p>
        </w:tc>
      </w:tr>
    </w:tbl>
    <w:p>
      <w:pPr>
        <w:spacing w:after="0" w:line="200" w:lineRule="exact"/>
        <w:rPr>
          <w:sz w:val="20"/>
          <w:szCs w:val="20"/>
          <w:color w:val="auto"/>
        </w:rPr>
      </w:pP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Sales and distribution expenses which included e-commerce platform commissions, online advertising and logistics expenses (i.e. variable sales and distribution expense), increased from $17.5 million for the six months ended June 30, 2019 to $28.6 million for the six months ended June 30, 2020. This increase is attributable primarily to the increase in the volume of products sold in the six months ended June 30, 2020. Our sales and distribution fixed costs (i.e., salary and office expenses) increased slightly by $0.2 million to $2.9 million for the six months ended June 30, 2020 as we expanded our fulfillment network support costs. Sales and distribution expenses also included a decrease in stock-based compensation expense of $1.8 million to $1.0 million in the six months ended June 30, 2020 as compared to the prior year period due to expense reversals from the termination of certain employees whose stock grants did not vest and the completion of vesting of certain stock grants during the period which are no longer expensed.</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a percentage of net revenue, sales and distribution expenses decreased to 38.1% for the six months ended June 30, 2020 from 47.7% for the six months ended June 30, 2019 as we continue to realize the economies of our platform as our net revenue volumes grow. E-commerce platform commissions, online advertising and logistics expenses included within sales and distribution expenses, as a percentage of net revenue, were 33.5% for the six months ended June 30, 2020 as compared to 36.3% for the six months ended June 30, 2019. This decreased due to our warehouse expansion, which has led to reduced last mile shipping costs due to shorter distances and improved pricing with our delivery partners, which took effect in April 2020. We believe that e-commerce customers prefer to have delivery of their purchases as soon as possible (i.e., in one day). In an effort to deliver products as soon as possible, while managing our logistics spend, late in the second quarter of 2018, we began to fulfill product sales ourselves by leveraging our direct fulfillment platform (i.e., FBM) through third-party warehouses, instead of fulfilling through e-commerce platform service providers (i.e., FBA), which allowed us to reduce our logistics spend and improve our product unit economics, especially on oversized goods. During the six months ended June 30, 2020, we added five third-party FBM warehouses to our direct fulfillment platform, enabling One Day Prime delivery for approximately 90% of the United States. We expect to see future period cost savings in sales and distribution expenses as a percentage of net revenue as we continue to automate our online advertising, optimize our fulfillment operations costs and further add product revenue volume to allow us to further leverage our sales and distribution fixed costs. However, those savings may vary on a quarter to quarter basis due to seasonality and product mix.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40" w:type="dxa"/>
            <w:vAlign w:val="bottom"/>
          </w:tcPr>
          <w:p>
            <w:pPr>
              <w:jc w:val="right"/>
              <w:ind w:right="38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6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4,505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increase in research and development expenses was attributable to an increase of stock-based compensation expense of $0.4 million due to the expensing of certain new equity awards granted after June 2019 which vested during the period, offset by a decrease in fixed costs of $0.2 million as we continue to centralize our research and development into fewer locations, primarily in Poland.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40" w:type="dxa"/>
            <w:vAlign w:val="bottom"/>
          </w:tcPr>
          <w:p>
            <w:pPr>
              <w:jc w:val="right"/>
              <w:ind w:right="38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6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13,671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16,355</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general and administrative expenses was primarily attributable to an increase in insurance costs, primarily directors’ and officers’ liability insurance and other public company costs of $2.0 million which were incurred after the closing date of our initial public offering (“IPO”) and an increase in stock-based compensation expense of $0.6 million. The increase in stock-based compensation is related to the expensing of certain new equity awards granted after June 2019 which vested during the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3420" w:type="dxa"/>
            <w:vAlign w:val="bottom"/>
          </w:tcPr>
          <w:p>
            <w:pPr>
              <w:jc w:val="right"/>
              <w:ind w:right="1079"/>
              <w:spacing w:after="0"/>
              <w:rPr>
                <w:sz w:val="20"/>
                <w:szCs w:val="20"/>
                <w:color w:val="auto"/>
              </w:rPr>
            </w:pPr>
            <w:r>
              <w:rPr>
                <w:rFonts w:ascii="Arial" w:cs="Arial" w:eastAsia="Arial" w:hAnsi="Arial"/>
                <w:sz w:val="14"/>
                <w:szCs w:val="14"/>
                <w:b w:val="1"/>
                <w:bCs w:val="1"/>
                <w:color w:val="auto"/>
              </w:rPr>
              <w:t>_</w:t>
            </w: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5"/>
        </w:trPr>
        <w:tc>
          <w:tcPr>
            <w:tcW w:w="3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040" w:type="dxa"/>
            <w:vAlign w:val="bottom"/>
          </w:tcPr>
          <w:p>
            <w:pPr>
              <w:jc w:val="right"/>
              <w:ind w:right="36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6"/>
        </w:trPr>
        <w:tc>
          <w:tcPr>
            <w:tcW w:w="3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6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29"/>
        </w:trPr>
        <w:tc>
          <w:tcPr>
            <w:tcW w:w="3420" w:type="dxa"/>
            <w:vAlign w:val="bottom"/>
            <w:shd w:val="clear" w:color="auto" w:fill="CFF0FC"/>
          </w:tcPr>
          <w:p>
            <w:pPr>
              <w:jc w:val="right"/>
              <w:ind w:right="1859"/>
              <w:spacing w:after="0"/>
              <w:rPr>
                <w:sz w:val="20"/>
                <w:szCs w:val="20"/>
                <w:color w:val="auto"/>
              </w:rPr>
            </w:pPr>
            <w:r>
              <w:rPr>
                <w:rFonts w:ascii="Arial" w:cs="Arial" w:eastAsia="Arial" w:hAnsi="Arial"/>
                <w:sz w:val="18"/>
                <w:szCs w:val="18"/>
                <w:color w:val="auto"/>
                <w:w w:val="86"/>
              </w:rPr>
              <w:t>Interest expense, net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2,494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interest expense, net, was primarily related to decreased interest expense under the Credit Facility as the average borrowings were lower period over period, a decrease in interest rates and a slight increase in interest income.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2019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respectively:</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55"/>
        </w:trPr>
        <w:tc>
          <w:tcPr>
            <w:tcW w:w="53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(16,289)</w:t>
            </w:r>
          </w:p>
        </w:tc>
        <w:tc>
          <w:tcPr>
            <w:tcW w:w="4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(8,923)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(used) by financing activities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(4,218)</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on cash</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19,255</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operating activities was $(16.3) million for the six months ended June 30, 2019 and was driven primarily by our net cash losses from operations of $10.9 million and use of cash from working capital of $5.4 million from changes in accounts receivable, purchase of inventory and insurance and payments of accounts payable. Net cash used in operating activities was $(8.9) million for the six months ended June 30, 2020 and was driven primarily by our net cash losses from operations of $4.6 million and use of cash from working capital of $4.3 million from changes in accounts receivable, purchase of inventory and insurance and payments of accounts payable.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(Used) by Financing Activities `</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financing activities was $35.6 million for the six months ended June 30, 2019 and was driven primarily by our IPO, increased borrowings under the Credit Facility and insurance financing proceeds, net. Net cash used by financing activities was $(4.2) million for the six months ended June 30, 2020 and was driven primarily by repayments under the Credit Facility of $3.8 million and repayment of the notes payable related to Aussie Health of $0.2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Initial Public Offering</w:t>
      </w:r>
    </w:p>
    <w:p>
      <w:pPr>
        <w:spacing w:after="0" w:line="113" w:lineRule="exact"/>
        <w:rPr>
          <w:sz w:val="20"/>
          <w:szCs w:val="20"/>
          <w:color w:val="auto"/>
        </w:rPr>
      </w:pPr>
    </w:p>
    <w:p>
      <w:pPr>
        <w:ind w:right="820"/>
        <w:spacing w:after="0" w:line="312" w:lineRule="auto"/>
        <w:rPr>
          <w:sz w:val="20"/>
          <w:szCs w:val="20"/>
          <w:color w:val="auto"/>
        </w:rPr>
      </w:pPr>
      <w:r>
        <w:rPr>
          <w:rFonts w:ascii="Arial" w:cs="Arial" w:eastAsia="Arial" w:hAnsi="Arial"/>
          <w:sz w:val="17"/>
          <w:szCs w:val="17"/>
          <w:b w:val="1"/>
          <w:bCs w:val="1"/>
          <w:color w:val="auto"/>
        </w:rPr>
        <w:t>Liquidity and Going Concern—</w:t>
      </w:r>
      <w:r>
        <w:rPr>
          <w:rFonts w:ascii="Arial" w:cs="Arial" w:eastAsia="Arial" w:hAnsi="Arial"/>
          <w:sz w:val="17"/>
          <w:szCs w:val="17"/>
          <w:color w:val="auto"/>
        </w:rPr>
        <w:t>We are an early-stage growth company and</w:t>
      </w:r>
      <w:r>
        <w:rPr>
          <w:rFonts w:ascii="Arial" w:cs="Arial" w:eastAsia="Arial" w:hAnsi="Arial"/>
          <w:sz w:val="17"/>
          <w:szCs w:val="17"/>
          <w:b w:val="1"/>
          <w:bCs w:val="1"/>
          <w:color w:val="auto"/>
        </w:rPr>
        <w:t xml:space="preserve"> </w:t>
      </w:r>
      <w:r>
        <w:rPr>
          <w:rFonts w:ascii="Arial" w:cs="Arial" w:eastAsia="Arial" w:hAnsi="Arial"/>
          <w:sz w:val="17"/>
          <w:szCs w:val="17"/>
          <w:color w:val="222222"/>
        </w:rPr>
        <w:t>endeavor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continuously invest in the launch of new products,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our software, and the expansion of our sales and distribution infrastructure in order to accelerate revenue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ind w:right="180"/>
        <w:spacing w:after="0" w:line="263" w:lineRule="auto"/>
        <w:rPr>
          <w:sz w:val="20"/>
          <w:szCs w:val="20"/>
          <w:color w:val="auto"/>
        </w:rPr>
      </w:pPr>
      <w:r>
        <w:rPr>
          <w:rFonts w:ascii="Arial" w:cs="Arial" w:eastAsia="Arial" w:hAnsi="Arial"/>
          <w:sz w:val="18"/>
          <w:szCs w:val="18"/>
          <w:color w:val="auto"/>
        </w:rPr>
        <w:t>growth and scale operations to support such growth. To fund these investments, we have historically obtained financing and raised capital since our inception with the expectation of generating profits in the future. We intend to continue to our strategy of investing in growth by launching new products, developing our software and expanding our sales and distribution operations for the foreseeable future.</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a result of our historical investments, we have incurred operating losses since our inception, which includes operating losses of $54.3 million and $15.7 million for the year ended December 31, 2019 and the six months ended June 30, 2019, respectively, had an accumulated deficit of $129.8 million and $147.8 million at December 31, 2019 and June 30, 2020, respectively, cash on hand of $30.4 million and $17.2 million at December 31, 2019 and June 30, 2020, respectively, total outstanding borrowings from lenders of $35.1 million and $31.9 million at December 31, 2019 and June 30, 2020, respectively, and no available capacity on borrowings at December 31, 2019 and June 30, 2020. Since our inception, we have raised $102.0 million in equity financing to fund our operations, including the net proceeds from our IPO, through June 30, 2020.</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our review of the June 30, 2020 condensed consolidated financial statements, our financial forecast for the next 12 months included revenue growth, margin expansion, a reduction of certain fixed costs, an improvement in inventory management and a reduction in operating cash deficit. In addition, we anticipated that we would not breach our financial covenants associated with our existing credit facility or term loan for the next twelve months. Currently, we have met or exceeded our forecasts over the past two quarters. However, there are no assurances that we will continue to meet or exceed our forecasts due to our short operating history, or that we will be able to maintain sufficient liquidity to fund operations and/or compliance with our covenants without future equity investments or issuance of debt from outside sources. In the event of a breach of our financial covenants under the credit facility and/or our term loan, outstanding borrowings would become due on demand absent a waiver from the lenders.</w:t>
      </w:r>
    </w:p>
    <w:p>
      <w:pPr>
        <w:spacing w:after="0" w:line="17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while we anticipate we will remain in compliance with the covenants prescribed by our existing financing arrangements (See Note 6 – Credit Facility and Term Loans), there can be no assurance that our operating forecast and cash flows for the twelve months following the issuance of the accompanying condensed consolidated financial statements will be attained such that we will be able to maintain compliance with these covenants or generate sufficient liquidity to fund ongoing operations. Our short operating history of meeting and exceeding our forecasts, the COVID-19 pandemic (see below) and these negative financial conditions raise substantial doubt about our ability to continue as a going concern as of June 30, 2020.</w:t>
      </w:r>
    </w:p>
    <w:p>
      <w:pPr>
        <w:spacing w:after="0" w:line="161" w:lineRule="exact"/>
        <w:rPr>
          <w:sz w:val="20"/>
          <w:szCs w:val="20"/>
          <w:color w:val="auto"/>
        </w:rPr>
      </w:pPr>
    </w:p>
    <w:p>
      <w:pPr>
        <w:ind w:right="540"/>
        <w:spacing w:after="0" w:line="308" w:lineRule="auto"/>
        <w:rPr>
          <w:sz w:val="20"/>
          <w:szCs w:val="20"/>
          <w:color w:val="auto"/>
        </w:rPr>
      </w:pPr>
      <w:r>
        <w:rPr>
          <w:rFonts w:ascii="Arial" w:cs="Arial" w:eastAsia="Arial" w:hAnsi="Arial"/>
          <w:sz w:val="18"/>
          <w:szCs w:val="18"/>
          <w:color w:val="auto"/>
        </w:rPr>
        <w:t>These condensed consolidated financial statements have been prepared on the basis that we will continue to operate as a going concern and, as such, include no adjustments that might be necessary in the event that we are unable to operate on this basis.</w:t>
      </w:r>
    </w:p>
    <w:p>
      <w:pPr>
        <w:spacing w:after="0" w:line="14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We plan to continue to closely monitor our operating forecast and cash flows and may pursue additional sources of financing and/or capital to fund our operations. If we are unable to improve operating results, increase operating cash inflows, and/or obtain additional sources of financing and capital on acceptable terms (if at all), we may have to make significant changes to our operating plan, such as delay expenditures, reduce investments in new products, delay the development of software, reduce our sale and distribution infrastructure, or otherwise significantly reduce the scope of our business. The accompanying condensed consolidated financial statements do not include any adjustments that might result from the outcome of this uncertainty.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we, other businesses and governments are taking, continues to evolve as of the date of this report. As such, the future impact on our personnel, business and global operations, and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we may be unable to launch new products, replenish inventory for existing products, ship into or receive inventory into our third-party warehouses or ship or sell products to customers, in each case on a timely basis or at all. We may also be unable to forecast demand for our products during the pendency of this pandemic and may experience a substantial decrease in the demand for our products, most of which are considered not essential. In addition, the majority of our personnel are currently working remotely, which creates challenges in the way we operate our business, including, but not limited to, how we test products and our ability to meet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Due to the uncertainty as 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200"/>
        <w:spacing w:after="0" w:line="277" w:lineRule="auto"/>
        <w:rPr>
          <w:sz w:val="20"/>
          <w:szCs w:val="20"/>
          <w:color w:val="auto"/>
        </w:rPr>
      </w:pPr>
      <w:r>
        <w:rPr>
          <w:rFonts w:ascii="Arial" w:cs="Arial" w:eastAsia="Arial" w:hAnsi="Arial"/>
          <w:sz w:val="18"/>
          <w:szCs w:val="18"/>
          <w:color w:val="auto"/>
        </w:rPr>
        <w:t>severity and duration of the pandemic, the impact on our future revenues, profitability, liquidity, financial condition, business and results of operations is uncertain at this time.</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While we have been preserving our liquidity and capital resources through various actions, which include delaying and negotiating the delay of payments to certain vendors, the effect of such actions could have an adverse impact on our business, including our relationships with these vendors.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COVID-19 pandemic, we may be unable to remain in compliance with the terms of our existing loan agreements and may be unable to secure a waiver, which could have an adverse impact on our business, prospects and financial condition and we may seek additional financing options. We expect that any financing, if successful, will be expensive and/or dilutive.</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COVID-19 pandemic began to have an unfavorable impact on us, including our key manufacturing partners, in January 2020. Substantially all of our products are sourced and manufactured in China, including new products that we expect to launch during 2020. In addition, we rely on our team in Shenzhen for a number of functions relating to product sourcing and development, among other things. Our key manufacturing partner in China re-opened its facilities as of February 10, 2020 and reached over 90% capacity early in March 2020. This key manufacturer is expected to manufacture over 30% of our inventory in 2020.</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date we have had few overall negative impacts to our business and operations from the COVID-19 pandemic. As reported, we have seen over 97% growth in our net revenues for the three months ended June 30, 2020 versus the same quarter in the prior year . The shift of consumer spending from traditional retail to online spending has increased dramatically due to the COVID-19 pandemic and we expect that spending will continue to shift online. This has benefited us as historically over 90% of our revenues come from the sale of products online in the U.S. and we believe this shift to increased online consumer spending will continue even after the COVID-19 pandemic ends. Our investments in our infrastructure and software and our expansion of our third party warehousing network have also allowed us to continue to deliver our products, even when Amazon itself limited its delivery services. We have had no material impacts to our vendor or other business relationships to date as we negotiated improved credit terms. Further, to date, none of our key operations vendors has had any negative impacts related to COVID-19 or changes which have negatively affected our business, our borrowing capabilities or financial covenants. Though the COVID-19 pandemic is fluid, we believe at this time that our business may continue to minimize the impact, if any, from this current pandemic given our Company’s ability to work remotely, continued consumer demand for products on e-commerce channels, and the business continuity plans of our key manufacturing partners and other vendors. We believe this combination of factors may help to mitigate risk from the COVID-19 pandemic.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as disclosed in our Annual Report on Form 10-K filed with the SEC on March 30, 2020. For additional information, please refer to Note 2 of our condensed consolidated financial statements in this Quarterly Report on Form 10-Q.</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we have outstanding debt under the Amended and Restated Credit Agreement, dated as of November 23, 2018, with MidCap as Agent and the lenders party thereto, as amended (the “MidCap Credit Agreement”), that bears interest. As of June 30, 2020, our outstanding indebtedness under the Credit Facility was $19.1 million, which bears interest at a rate of the London Interbank Offered Rate (“LIBOR”) plus 5.75%. We also have outstanding debt under the five-year $15.0 million term loan with Horizon (the “Term Loan”). As of June 30, 2020, our outstanding indebtedness under the Term Loan was $15.0 million, which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We do not believe that an immediate 10% increase in interest rates would have a material effect on interest expense for the Credit Facility or the Term Loan, and therefore we do not expect our operating results or cash flows to be materially affected to any degree by a sudden change in market interest.</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less than 1% of our net revenue for each of the three months ended June 30, 2019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each of the three months ended June 30, 2019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the evaluation of our disclosure controls and procedures as of June 30, 2020, our Chief Executive Officer and Chief Financial Officer concluded that, as a result of material weaknesses in our internal control over financial reporting as previously disclosed in our Annual Report on Form 10-K for December 31, 2019, our disclosure controls and procedures were not effective as of June 30,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previously reported in our Annual Report on Form 10-K for December 31, 2019, we have identified the material weaknesses set forth below in our internal control over financial reporting:</w:t>
      </w:r>
    </w:p>
    <w:p>
      <w:pPr>
        <w:spacing w:after="0" w:line="76" w:lineRule="exact"/>
        <w:rPr>
          <w:sz w:val="20"/>
          <w:szCs w:val="20"/>
          <w:color w:val="auto"/>
        </w:rPr>
      </w:pPr>
    </w:p>
    <w:p>
      <w:pPr>
        <w:ind w:left="740" w:right="52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maintain effective monitoring controls over user access within the information technology (“IT”) systems and program change-management over certain IT systems that support our financial reporting processes;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10680" w:type="dxa"/>
            <w:vAlign w:val="bottom"/>
          </w:tcPr>
          <w:p>
            <w:pPr>
              <w:ind w:left="160"/>
              <w:spacing w:after="0"/>
              <w:rPr>
                <w:sz w:val="20"/>
                <w:szCs w:val="20"/>
                <w:color w:val="auto"/>
              </w:rPr>
            </w:pPr>
            <w:r>
              <w:rPr>
                <w:rFonts w:ascii="Arial" w:cs="Arial" w:eastAsia="Arial" w:hAnsi="Arial"/>
                <w:sz w:val="18"/>
                <w:szCs w:val="18"/>
                <w:color w:val="auto"/>
                <w:w w:val="92"/>
              </w:rPr>
              <w:t>We lacked proper review controls over account reconciliations and journal entries. Further due to the limited size of the  accounting and finance</w:t>
            </w:r>
          </w:p>
        </w:tc>
      </w:tr>
      <w:tr>
        <w:trPr>
          <w:trHeight w:val="230"/>
        </w:trPr>
        <w:tc>
          <w:tcPr>
            <w:tcW w:w="580" w:type="dxa"/>
            <w:vAlign w:val="bottom"/>
          </w:tcPr>
          <w:p>
            <w:pPr>
              <w:spacing w:after="0"/>
              <w:rPr>
                <w:sz w:val="20"/>
                <w:szCs w:val="20"/>
                <w:color w:val="auto"/>
              </w:rPr>
            </w:pPr>
          </w:p>
        </w:tc>
        <w:tc>
          <w:tcPr>
            <w:tcW w:w="10680" w:type="dxa"/>
            <w:vAlign w:val="bottom"/>
          </w:tcPr>
          <w:p>
            <w:pPr>
              <w:ind w:left="160"/>
              <w:spacing w:after="0"/>
              <w:rPr>
                <w:sz w:val="20"/>
                <w:szCs w:val="20"/>
                <w:color w:val="auto"/>
              </w:rPr>
            </w:pPr>
            <w:r>
              <w:rPr>
                <w:rFonts w:ascii="Arial" w:cs="Arial" w:eastAsia="Arial" w:hAnsi="Arial"/>
                <w:sz w:val="18"/>
                <w:szCs w:val="18"/>
                <w:color w:val="auto"/>
              </w:rPr>
              <w:t>department there is a lack of segregation of duties with regard to posting journal entries;</w:t>
            </w:r>
          </w:p>
        </w:tc>
      </w:tr>
      <w:tr>
        <w:trPr>
          <w:trHeight w:val="432"/>
        </w:trPr>
        <w:tc>
          <w:tcPr>
            <w:tcW w:w="580" w:type="dxa"/>
            <w:vAlign w:val="bottom"/>
          </w:tcPr>
          <w:p>
            <w:pPr>
              <w:spacing w:after="0"/>
              <w:rPr>
                <w:sz w:val="24"/>
                <w:szCs w:val="24"/>
                <w:color w:val="auto"/>
              </w:rPr>
            </w:pPr>
          </w:p>
        </w:tc>
        <w:tc>
          <w:tcPr>
            <w:tcW w:w="10680" w:type="dxa"/>
            <w:vAlign w:val="bottom"/>
          </w:tcPr>
          <w:p>
            <w:pPr>
              <w:jc w:val="right"/>
              <w:ind w:right="5450"/>
              <w:spacing w:after="0"/>
              <w:rPr>
                <w:sz w:val="20"/>
                <w:szCs w:val="20"/>
                <w:color w:val="auto"/>
              </w:rPr>
            </w:pPr>
            <w:r>
              <w:rPr>
                <w:rFonts w:ascii="Arial" w:cs="Arial" w:eastAsia="Arial" w:hAnsi="Arial"/>
                <w:sz w:val="18"/>
                <w:szCs w:val="18"/>
                <w:color w:val="auto"/>
              </w:rPr>
              <w:t>34</w:t>
            </w:r>
          </w:p>
        </w:tc>
      </w:tr>
      <w:tr>
        <w:trPr>
          <w:trHeight w:val="115"/>
        </w:trPr>
        <w:tc>
          <w:tcPr>
            <w:tcW w:w="580" w:type="dxa"/>
            <w:vAlign w:val="bottom"/>
            <w:tcBorders>
              <w:bottom w:val="single" w:sz="8" w:color="9A9A9A"/>
            </w:tcBorders>
          </w:tcPr>
          <w:p>
            <w:pPr>
              <w:spacing w:after="0"/>
              <w:rPr>
                <w:sz w:val="10"/>
                <w:szCs w:val="10"/>
                <w:color w:val="auto"/>
              </w:rPr>
            </w:pPr>
          </w:p>
        </w:tc>
        <w:tc>
          <w:tcPr>
            <w:tcW w:w="10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8" w:name="page39"/>
    <w:bookmarkEnd w:id="38"/>
    <w:p>
      <w:pPr>
        <w:ind w:left="740" w:right="2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did not have effective controls to ensure there was comprehensive analysis, documentation, and review over the recognition of stock-based compensation expense;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did not have effective review controls over consideration of the relevant accounting and disclosure guidance.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2019, we implemented the following controls in order to remediate the previously disclosed material weaknesses:</w:t>
      </w:r>
    </w:p>
    <w:p>
      <w:pPr>
        <w:spacing w:after="0" w:line="117"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formal and documented closing, GAAP and SEC checklist maintenance and review;</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formal accounting position memos and supporting documentation;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improved system controls and additional mitigating controls around journal entry preparation and posting;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implemented additional security access and password controls within our accounting system;</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implemented formal program change management controls within and around our accounting systems;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formal review and control processes for month-end closing reconciliations.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year-ending December 31, 2020, we intend to continue improving on and testing these controls to ensure they are operating effectively. However, we cannot be certain that the measures we have taken or may take in the future will ensure that we establish and maintain adequate controls over our financial processes and reporting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noted above, to remediate the previously disclosed material weaknesses in our internal control over financial reporting, we formalized and added closing checklists, formalized and documented accounting positions, improved our systems and added formal controls around journal entries and month-end closing reconciliations. Further, we hired a third-party firm in the second quarter of 2020 to assist us in risk and gap analysis, improved documentation and testing of our internal controls. There were no other changes in our internal control over financial reporting during the three months ended June 30, 2020,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You should carefully consider the factors discussed in Part I, Item 1A. “Risk Factors” in our Annual Report on Form 10-K for the year ended December 31, 2019, filed with the SEC on March 30, 2020, which could materially affect our business, financial condition, cash flows or future results. The risks described in our Annual Report on Form 10-K for the year ended December 31, 2019 are not the only risks facing our company. Additional risks and uncertainties not currently known to us or that we currently deem to be immaterial also may materially adversely affect our business, financial condition or future results. </w:t>
      </w:r>
      <w:r>
        <w:rPr>
          <w:rFonts w:ascii="Arial" w:cs="Arial" w:eastAsia="Arial" w:hAnsi="Arial"/>
          <w:sz w:val="18"/>
          <w:szCs w:val="18"/>
          <w:color w:val="212529"/>
        </w:rPr>
        <w:t>Except as presented below, there have been no material changes from the risk factors associated with our business previously disclosed in our</w:t>
      </w:r>
      <w:r>
        <w:rPr>
          <w:rFonts w:ascii="Arial" w:cs="Arial" w:eastAsia="Arial" w:hAnsi="Arial"/>
          <w:sz w:val="18"/>
          <w:szCs w:val="18"/>
          <w:color w:val="auto"/>
        </w:rPr>
        <w:t xml:space="preserve"> </w:t>
      </w:r>
      <w:r>
        <w:rPr>
          <w:rFonts w:ascii="Arial" w:cs="Arial" w:eastAsia="Arial" w:hAnsi="Arial"/>
          <w:sz w:val="18"/>
          <w:szCs w:val="18"/>
          <w:color w:val="212529"/>
        </w:rPr>
        <w:t>Form 10-K.</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we have seen an increase in our net revenue since March 2020 and through the date of this Quarterly Report on Form 10-Q, the future impact that the COVID-19 pandemic may have on our personnel, business and global operations, and on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we may be unable to launch new products, replenish inventory for existing products, ship into or receive inventory in our third-party warehouses or ship or sell products to customers, in each case on a timely basis or at all. We also may be unable to forecast demand for our products during the pendency of this pandemic and we may experience a substantial decrease in the demand for our products, most of which are considered not essential. In addition, the majority of our personnel are currently working remotely which creates challenges in the way we operate our business, including with respect to the manner in which we ensure the quality of our products and meet our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Due to the uncertainty as to the severity and duration of the pandemic, the impact on our future revenues, profitability, liquidity, financial condition, business and results of operations is uncertain at this time.</w:t>
      </w:r>
    </w:p>
    <w:p>
      <w:pPr>
        <w:spacing w:after="0" w:line="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While we have been preserving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Quarterly Report on Form 10-Q,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 In addition,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pandemic, we may be unable to remain in compliance with the terms of our existing loan agreements and may be unable to secure a waiver which could have an adverse impact on our business, prospects and financial condition and we may seek additional financing options. We expect that any financing, if successful, will be expensive and/or dilutive.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in an evolving industry.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right="20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333" w:lineRule="exact"/>
        <w:rPr>
          <w:sz w:val="20"/>
          <w:szCs w:val="20"/>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40" w:hanging="620"/>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60" w:hanging="613"/>
        <w:spacing w:after="0"/>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launched numerous products over the last several quarters and have experienced a lower than expected success rate of products reaching the sustain phase. In addition, in certain instances, even when a product has reached the sustain phase, our forecasts, at times, have resulted in inventory overages. We recently launched our Holonix Health brand, which was developed to address the personal protective equipment and wellness product category in light of the COVID-19 pandemic. Our marketing strategy relies to a significant extent on our ability to sell such products on the Amazon marketplace and we can provide no assurances that we will be allowed to sell any such products on the Amazon marketplace or that we will be successful in selling our products in other sales channels.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our managed SaaS business is still nascent and we may be unable to successfully maintain or grow our managed SaaS business. Our managed SaaS business is primarily comprised of three brands under the control of single party primarily relating to supplements. We can provide no assurance that we will be successful in growing or retaining this business which would result in the loss of managed SaaS and associated reseller revenues. If we fail to address the risks and difficulties that we face, including those associated with the challenges listed above as well as those described elsewhere in this “Risk Factors” section, our business, financial condition and our operating results will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sustain our revenue growth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Our recent revenue growth should not be considered indicative of our future performance. Specifically, our net revenue increased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12529"/>
        </w:rPr>
        <w:t>by 56.2% in 2019 compared to 2018, 101.0% in 2018 compared to 2017. As we grow our business, our revenue growth rates may slow in future periods due to a number of reasons, which may include our inability to successfully launch new products that reach our sustain phase and to keep those products in the sustain phase or to grow our managed SaaS business, as well as the maturation of our business.</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during 2019 investors have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in the first half of 2020, we have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18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*Substantially all of our revenues are from sales of products on Amazon’s U.S. Marketplace and any change, limitation or restriction, even if temporary, on our ability to operate on Amazon’s platform could have a material adverse impact to our business, results of operations, financial condition and prospects.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1" w:name="page42"/>
    <w:bookmarkEnd w:id="41"/>
    <w:p>
      <w:pPr>
        <w:spacing w:after="0" w:line="291" w:lineRule="auto"/>
        <w:rPr>
          <w:sz w:val="20"/>
          <w:szCs w:val="20"/>
          <w:color w:val="auto"/>
        </w:rPr>
      </w:pPr>
      <w:r>
        <w:rPr>
          <w:rFonts w:ascii="Arial" w:cs="Arial" w:eastAsia="Arial" w:hAnsi="Arial"/>
          <w:sz w:val="16"/>
          <w:szCs w:val="16"/>
          <w:color w:val="auto"/>
        </w:rPr>
        <w:t>We sell substantially all of our products on Amazon’s U.S. marketplace and are subject to Amazon’s terms of service and various other Amazon seller policies and services that apply to third parties selling products on Amazon’s marketplace. Amazon has the right to terminate or suspend its agreement with us at any time and for any reason. Amazon may take other actions against us such as suspending or terminating a seller account or product listing and withholding payments owed to us indefinitely. For example, during the second quarter of 2020, Amazon suspended certain of our dehumidifier listings. While we endeavor to materially comply with the terms of services of the marketplaces on which we operate, and to provide our consumers with a great experience, we can provide no assurances that these marketplaces will have the same determination with respect to our compliance. In addition, we may not be able to promptly resolve any compliance issue, which could have a material impact on our financial condition, results of operations and prospects.</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Amazon or any other marketplace on which we choose to sell can make changes to their respective platforms that could require us to change the manner in which we operate, limit our ability to successfully launch new products or increase our costs to operate and such changes could have an adverse effect on our business, results of operations, financial condition and prospects. Examples of changes that could impact us relate to platform fee charges (i.e., selling commissions), exclusivity, inventory warehouse availability, excluded products and limitations on sales and marketing. Any change, limitation or restriction on our ability to sell on Amazon’s platform, even if temporary, could have a material impact on our business, results of operations, financial condition and prospects.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also rely on services provided by Amazon’s fulfillment platform, including Prime Certification, which provides for expedited shipping to the consumer, an important aspect in the buying decision for consumers. For products that we fulfill ourselves, we have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 For example, in the third and fourth quarter of 2019, we temporarily experienced the loss of our Prime Certification delivery, and in addition, certain of our products were deemed not be eligible for Prime delivery based on Amazon’s determination of expected shipping dates. Failure to remain compliant with the best fulfillment practices on Amazon’s platform could have a material impact on our business, results of operations, financial condition and prospects.</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in response to the COVID-19 pandemic, Amazon has recently implemented changes to its fulfillment services platform such that certain products deemed non-essential have extended delivery times and Amazon is currently not accepting goods to any of its warehouses that are deemed non-essential. The impact of this change could have a material effect on our revenues, profitability and financial condition.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accurately forecast revenues, profitability and appropriately plan our expenses.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 our operating results and financial condition could be adversely impacted.</w:t>
      </w:r>
    </w:p>
    <w:p>
      <w:pPr>
        <w:spacing w:after="0" w:line="5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addition, during the second quarter of 2020, we began selling personal protective equipment (“PPE”) to state and local governments in the U.S. The market for PPE is volatile and unpredictable, and we have limited experience sourcing and selling PPE. While we expect to continue to sell PPE, we can provide no assurances that we will be successful in selling products to such state and local governments, that the products we deliver will be of sufficient quality or that we will receive timely payment. In addition, any failure in successfully delivering PPE to state and local governments may harm our business relationships with these state and local governments, our PPE manufacturers and ultimately our reputation.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including our costs and supply chain, is subject to risks associated with sourcing, manufacturing, importing and warehousing.</w:t>
      </w:r>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In addition, as we expand into new categories and product types, we expect that we may not have strong purchasing power in these new areas, which could lead to higher costs than we have historically seen in our current categories. We may not be able to pass increased costs on to customers, which could adversely affect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or pandemics, have in the past increased raw material costs, impacting pricing with certain of our vendors, and caused shipping delays for certain of our products. We rely on the business continuity plans of these third parties to operate during natural disasters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20"/>
        <w:spacing w:after="0" w:line="272" w:lineRule="auto"/>
        <w:rPr>
          <w:sz w:val="20"/>
          <w:szCs w:val="20"/>
          <w:color w:val="auto"/>
        </w:rPr>
      </w:pPr>
      <w:r>
        <w:rPr>
          <w:rFonts w:ascii="Arial" w:cs="Arial" w:eastAsia="Arial" w:hAnsi="Arial"/>
          <w:sz w:val="17"/>
          <w:szCs w:val="17"/>
          <w:color w:val="auto"/>
        </w:rPr>
        <w:t>pandemics, like the COVID-19 pandemic, and we have limited ability to influence their plans. The sourcing, manufacturing, importing or warehousing of our products could be significantly disrupted if a third party does not have a business continuity plan or such business continuity plan does not adequately support our products or operations. Further capacity fluctuations driven by various factors such as seasonality, tariffs,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unexpected events may adversely affect our operations, particularly our supply chain and shipping efforts.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Natural disasters, such as earthquakes,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fulfillment centers or the operations of one or more of our third-party providers or vendors. In particular, these types of events could impact our supply chain, including our ability to ship merchandise to clients from or to the impacted region, and could impact our ability or the ability of third parties to operate our sites and ship merchandise. For example, we receive and warehouse a portion of our inventory in California. If any such disaster were to impact this facility, our operations would be disrupted. In addition, these types of events could negatively impact consumer spending in the impacted regions. To the extent any of these events occur, our business and operating results could be adversely affected.</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response to the COVID-19 pandemic, many state, local and foreign governments have put in place quarantines, executive orders, shelter-in-place orders and similar government orders and restrictions in order to control the spread of the disease. We have implemented work-from-home policies and the majority of our personnel are currently working remotely. Such orders and policies may negatively impact productivity and creates challenges in the way we operate our business, including, but not limited to, how we test our products and our ability to meet our reporting obligations, the magnitude of which will depend, in part, on the length and severity of the restrictions and other limitations on our ability to conduct our business in the ordinary course. Our ability to execute our operations could be further impacted if any of our key personnel contracts COVID-19. Additionally, if sufficient numbers of our staff are infected with COVID-19 and are unable to perform their roles, we may not be able to operate efficiently for the duration of any shelter-in-place order or while we have insufficient numbers of staff, either of which could negatively impact our business, operating results and financial condition.</w:t>
      </w:r>
    </w:p>
    <w:p>
      <w:pPr>
        <w:spacing w:after="0" w:line="5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00"/>
        <w:spacing w:after="0" w:line="301" w:lineRule="auto"/>
        <w:rPr>
          <w:sz w:val="20"/>
          <w:szCs w:val="20"/>
          <w:color w:val="auto"/>
        </w:rPr>
      </w:pPr>
      <w:r>
        <w:rPr>
          <w:rFonts w:ascii="Arial" w:cs="Arial" w:eastAsia="Arial" w:hAnsi="Arial"/>
          <w:sz w:val="16"/>
          <w:szCs w:val="16"/>
          <w:color w:val="auto"/>
        </w:rPr>
        <w:t>can occur as a result of non-technical issues, including intentional or inadvertent breaches by our employees or by third parties. These risks may increase over time as the complexity and number of technical systems and applications we use also increases. In addition, as a result of the COVID-19 pandemic, we may face increased cybersecurity risks due to our or third-party service providers’ reliance on internet technology and the number of our and our third-party service providers’ employees who are working remotely, which may create additional opportunities for cybercriminals to exploit vulnerabilities.</w:t>
      </w:r>
    </w:p>
    <w:p>
      <w:pPr>
        <w:spacing w:after="0" w:line="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6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6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27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200"/>
        <w:spacing w:after="0" w:line="277" w:lineRule="auto"/>
        <w:rPr>
          <w:sz w:val="20"/>
          <w:szCs w:val="20"/>
          <w:color w:val="auto"/>
        </w:rPr>
      </w:pPr>
      <w:r>
        <w:rPr>
          <w:rFonts w:ascii="Arial" w:cs="Arial" w:eastAsia="Arial" w:hAnsi="Arial"/>
          <w:sz w:val="18"/>
          <w:szCs w:val="18"/>
          <w:color w:val="auto"/>
        </w:rPr>
        <w:t>development of e-commerce may prompt calls for more stringent consumer protection laws and more aggressive enforcement efforts, which may impose additional burdens on online businesses generally.</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2019, we received notice from the California Energy Commission (the “CEC”) that certain of our products had not been listed in the CEC’s Modernized Appliance Efficiency Database System (the “MAEDbS”) and therefore we were not in compliance with a CEC regulation. In order for an appliance to be listed in the MAEDbS, it must be tested at a lab approved by the CEC and the test data must be submitted to the CEC’s Appliance Efficiency Program. Although we believe that a number of the products identified in the CEC’s notice are, and have been, listed in the MAEDbS and comply with applicable CEC regulations, we may be subject to a financial penalty imposed by the CEC with respect to certain of our products that are not currently listed and may not otherwise currently meet applicable CEC energy regulations. We cannot be certain that our insurance coverage will fully cover any financial liability actually incurred. In addition, if we are required to list these additional products in the MAEDbS, we may not be permitted to sell them in the State of California until they are listed. We are in the process of negotiating the payment of a penalty with the CEC.</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that our products are compliant, and we, in conjunction with our manufacturing partner, have disputed the Test Notice received from the DOE. As of the date hereof, we cannot reasonably estimate what, if any, penalties may be levied.</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has placed a hold on the sale of certain of our dehumidifier inventory while it reviews the matter with us. We cannot be certain of the outcome with the EPA, and we may incur costs and penalties that cannot presently be calculated in the event that we are unable to resolve this matter with the EPA. Such costs and penalties may be material with respect to our financial condition.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40" w:type="dxa"/>
            <w:vAlign w:val="bottom"/>
            <w:gridSpan w:val="12"/>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18"/>
                <w:szCs w:val="18"/>
                <w:color w:val="0000EE"/>
              </w:rPr>
            </w:pPr>
            <w:hyperlink r:id="rId78">
              <w:r>
                <w:rPr>
                  <w:rFonts w:ascii="Arial" w:cs="Arial" w:eastAsia="Arial" w:hAnsi="Arial"/>
                  <w:sz w:val="18"/>
                  <w:szCs w:val="18"/>
                  <w:color w:val="0000EE"/>
                </w:rPr>
                <w:t>Amended and Restated Certificate of Incorporation of Mohawk</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Group Holdings, Inc.</w:t>
              </w:r>
            </w:hyperlink>
          </w:p>
        </w:tc>
        <w:tc>
          <w:tcPr>
            <w:tcW w:w="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18"/>
                <w:szCs w:val="18"/>
                <w:u w:val="single" w:color="auto"/>
                <w:color w:val="0000EE"/>
                <w:w w:val="97"/>
              </w:rPr>
            </w:pPr>
            <w:hyperlink r:id="rId79">
              <w:r>
                <w:rPr>
                  <w:rFonts w:ascii="Arial" w:cs="Arial" w:eastAsia="Arial" w:hAnsi="Arial"/>
                  <w:sz w:val="18"/>
                  <w:szCs w:val="18"/>
                  <w:u w:val="single" w:color="auto"/>
                  <w:color w:val="0000EE"/>
                  <w:w w:val="97"/>
                </w:rPr>
                <w:t>Amended and Restated Bylaws of Mohawk Group Holdings, Inc.</w:t>
              </w:r>
            </w:hyperlink>
          </w:p>
        </w:tc>
        <w:tc>
          <w:tcPr>
            <w:tcW w:w="0" w:type="dxa"/>
            <w:vAlign w:val="bottom"/>
          </w:tcPr>
          <w:p>
            <w:pPr>
              <w:spacing w:after="0"/>
              <w:rPr>
                <w:sz w:val="1"/>
                <w:szCs w:val="1"/>
                <w:color w:val="auto"/>
              </w:rPr>
            </w:pPr>
          </w:p>
        </w:tc>
      </w:tr>
      <w:tr>
        <w:trPr>
          <w:trHeight w:val="33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297"/>
        </w:trPr>
        <w:tc>
          <w:tcPr>
            <w:tcW w:w="11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Form of Registration Rights Agreement, dated as of April 6, 2018,</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among Mohawk Group Holdings, Inc. and the purchasers party</w:t>
              </w:r>
            </w:hyperlink>
          </w:p>
        </w:tc>
        <w:tc>
          <w:tcPr>
            <w:tcW w:w="240" w:type="dxa"/>
            <w:vAlign w:val="bottom"/>
            <w:tcBorders>
              <w:top w:val="single" w:sz="8" w:color="0000EE"/>
            </w:tcBorders>
            <w:gridSpan w:val="5"/>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81">
              <w:r>
                <w:rPr>
                  <w:rFonts w:ascii="Arial" w:cs="Arial" w:eastAsia="Arial" w:hAnsi="Arial"/>
                  <w:sz w:val="18"/>
                  <w:szCs w:val="18"/>
                  <w:color w:val="0000EE"/>
                  <w:w w:val="85"/>
                </w:rPr>
                <w:t>thereto.</w:t>
              </w:r>
            </w:hyperlink>
          </w:p>
        </w:tc>
        <w:tc>
          <w:tcPr>
            <w:tcW w:w="4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4620" w:type="dxa"/>
            <w:vAlign w:val="bottom"/>
            <w:tcBorders>
              <w:bottom w:val="single" w:sz="8" w:color="0000EE"/>
            </w:tcBorders>
            <w:gridSpan w:val="12"/>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Warrant to Purchase Stock, issued to MidCap Financial Trust on</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82">
              <w:r>
                <w:rPr>
                  <w:rFonts w:ascii="Arial" w:cs="Arial" w:eastAsia="Arial" w:hAnsi="Arial"/>
                  <w:sz w:val="18"/>
                  <w:szCs w:val="18"/>
                  <w:color w:val="0000EE"/>
                  <w:w w:val="87"/>
                </w:rPr>
                <w:t>September 4, 2018.</w:t>
              </w:r>
            </w:hyperlink>
          </w:p>
        </w:tc>
        <w:tc>
          <w:tcPr>
            <w:tcW w:w="3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Form of Warrant, issued to Katalyst Securities LLC and its assigns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on September 4, 2018.</w:t>
              </w:r>
            </w:hyperlink>
          </w:p>
        </w:tc>
        <w:tc>
          <w:tcPr>
            <w:tcW w:w="3160" w:type="dxa"/>
            <w:vAlign w:val="bottom"/>
            <w:tcBorders>
              <w:top w:val="single" w:sz="8" w:color="0000EE"/>
            </w:tcBorders>
            <w:gridSpan w:val="10"/>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4980" w:type="dxa"/>
            <w:vAlign w:val="bottom"/>
            <w:tcBorders>
              <w:bottom w:val="single" w:sz="8" w:color="0000EE"/>
            </w:tcBorders>
            <w:gridSpan w:val="18"/>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Form of Warrant, issued to Horizon Technology Finance Corporation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on December 31, 2018.</w:t>
              </w:r>
            </w:hyperlink>
          </w:p>
        </w:tc>
        <w:tc>
          <w:tcPr>
            <w:tcW w:w="3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18"/>
                <w:szCs w:val="18"/>
                <w:color w:val="0000EE"/>
                <w:w w:val="97"/>
              </w:rPr>
            </w:pPr>
            <w:hyperlink r:id="rId85">
              <w:r>
                <w:rPr>
                  <w:rFonts w:ascii="Arial" w:cs="Arial" w:eastAsia="Arial" w:hAnsi="Arial"/>
                  <w:sz w:val="18"/>
                  <w:szCs w:val="18"/>
                  <w:color w:val="0000EE"/>
                  <w:w w:val="97"/>
                </w:rPr>
                <w:t>Amendment No. 1 to Registration Rights Agreement, dated as of</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March 2, 2019, among Mohawk Group Holdings, Inc. and the</w:t>
              </w:r>
            </w:hyperlink>
          </w:p>
        </w:tc>
        <w:tc>
          <w:tcPr>
            <w:tcW w:w="160" w:type="dxa"/>
            <w:vAlign w:val="bottom"/>
            <w:tcBorders>
              <w:top w:val="single" w:sz="8" w:color="0000EE"/>
            </w:tcBorders>
            <w:gridSpan w:val="4"/>
          </w:tcPr>
          <w:p>
            <w:pPr>
              <w:spacing w:after="0"/>
              <w:rPr>
                <w:sz w:val="17"/>
                <w:szCs w:val="17"/>
                <w:color w:val="auto"/>
              </w:rPr>
            </w:pPr>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investors party thereto.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right"/>
              <w:ind w:right="532"/>
              <w:spacing w:after="0" w:line="196"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Offer Letter, dated March 12, 2020, by and between Mohawk Group,</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Inc. and Pramod K C.</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512"/>
              <w:spacing w:after="0"/>
              <w:rPr>
                <w:sz w:val="20"/>
                <w:szCs w:val="20"/>
                <w:color w:val="auto"/>
              </w:rPr>
            </w:pPr>
            <w:r>
              <w:rPr>
                <w:rFonts w:ascii="Arial" w:cs="Arial" w:eastAsia="Arial" w:hAnsi="Arial"/>
                <w:sz w:val="18"/>
                <w:szCs w:val="18"/>
                <w:color w:val="auto"/>
              </w:rPr>
              <w:t>31.1</w:t>
            </w:r>
            <w:r>
              <w:rPr>
                <w:rFonts w:ascii="Arial" w:cs="Arial" w:eastAsia="Arial" w:hAnsi="Arial"/>
                <w:sz w:val="21"/>
                <w:szCs w:val="21"/>
                <w:color w:val="auto"/>
              </w:rPr>
              <w:t>*</w:t>
            </w:r>
          </w:p>
        </w:tc>
        <w:tc>
          <w:tcPr>
            <w:tcW w:w="26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the Principal Executive Officer pursuant to Rule 13a-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20" w:type="dxa"/>
            <w:vAlign w:val="bottom"/>
            <w:gridSpan w:val="19"/>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14(a) or 15d-14(a) of the Securities Exchange Act of 1934.</w:t>
              </w:r>
            </w:hyperlink>
          </w:p>
        </w:tc>
        <w:tc>
          <w:tcPr>
            <w:tcW w:w="0" w:type="dxa"/>
            <w:vAlign w:val="bottom"/>
          </w:tcPr>
          <w:p>
            <w:pPr>
              <w:spacing w:after="0"/>
              <w:rPr>
                <w:sz w:val="1"/>
                <w:szCs w:val="1"/>
                <w:color w:val="auto"/>
              </w:rPr>
            </w:pPr>
          </w:p>
        </w:tc>
      </w:tr>
      <w:tr>
        <w:trPr>
          <w:trHeight w:val="297"/>
        </w:trPr>
        <w:tc>
          <w:tcPr>
            <w:tcW w:w="1120" w:type="dxa"/>
            <w:vAlign w:val="bottom"/>
          </w:tcPr>
          <w:p>
            <w:pPr>
              <w:jc w:val="right"/>
              <w:ind w:right="512"/>
              <w:spacing w:after="0"/>
              <w:rPr>
                <w:sz w:val="20"/>
                <w:szCs w:val="20"/>
                <w:color w:val="auto"/>
              </w:rPr>
            </w:pPr>
            <w:r>
              <w:rPr>
                <w:rFonts w:ascii="Arial" w:cs="Arial" w:eastAsia="Arial" w:hAnsi="Arial"/>
                <w:sz w:val="18"/>
                <w:szCs w:val="18"/>
                <w:color w:val="auto"/>
              </w:rPr>
              <w:t>31.2</w:t>
            </w:r>
            <w:r>
              <w:rPr>
                <w:rFonts w:ascii="Arial" w:cs="Arial" w:eastAsia="Arial" w:hAnsi="Arial"/>
                <w:sz w:val="21"/>
                <w:szCs w:val="21"/>
                <w:color w:val="auto"/>
              </w:rPr>
              <w:t>*</w:t>
            </w:r>
          </w:p>
        </w:tc>
        <w:tc>
          <w:tcPr>
            <w:tcW w:w="2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of the Principal Financial Officer pursuant to Rule 13a-</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20" w:type="dxa"/>
            <w:vAlign w:val="bottom"/>
            <w:gridSpan w:val="19"/>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14(a) or 15d-14(a) of the Securities Exchange Act of 1934.</w:t>
              </w:r>
            </w:hyperlink>
          </w:p>
        </w:tc>
        <w:tc>
          <w:tcPr>
            <w:tcW w:w="0" w:type="dxa"/>
            <w:vAlign w:val="bottom"/>
          </w:tcPr>
          <w:p>
            <w:pPr>
              <w:spacing w:after="0"/>
              <w:rPr>
                <w:sz w:val="1"/>
                <w:szCs w:val="1"/>
                <w:color w:val="auto"/>
              </w:rPr>
            </w:pPr>
          </w:p>
        </w:tc>
      </w:tr>
      <w:tr>
        <w:trPr>
          <w:trHeight w:val="297"/>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43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of the Principal Executive Officer and Principal</w:t>
              </w:r>
            </w:hyperlink>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Financial Officer pursuant to 18 U.S.C. Section 1350, as adopted</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20" w:type="dxa"/>
            <w:vAlign w:val="bottom"/>
            <w:gridSpan w:val="19"/>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pursuant to Section 906 of the Sarbanes-Oxley Act of 2002.</w:t>
              </w:r>
            </w:hyperlink>
          </w:p>
        </w:tc>
        <w:tc>
          <w:tcPr>
            <w:tcW w:w="0" w:type="dxa"/>
            <w:vAlign w:val="bottom"/>
          </w:tcPr>
          <w:p>
            <w:pPr>
              <w:spacing w:after="0"/>
              <w:rPr>
                <w:sz w:val="1"/>
                <w:szCs w:val="1"/>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02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502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50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502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502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502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864"/>
        </w:trPr>
        <w:tc>
          <w:tcPr>
            <w:tcW w:w="1120" w:type="dxa"/>
            <w:vAlign w:val="bottom"/>
          </w:tcPr>
          <w:p>
            <w:pPr>
              <w:spacing w:after="0"/>
              <w:rPr>
                <w:sz w:val="24"/>
                <w:szCs w:val="24"/>
                <w:color w:val="auto"/>
              </w:rPr>
            </w:pPr>
          </w:p>
        </w:tc>
        <w:tc>
          <w:tcPr>
            <w:tcW w:w="4640" w:type="dxa"/>
            <w:vAlign w:val="bottom"/>
            <w:gridSpan w:val="9"/>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Borders>
              <w:top w:val="single" w:sz="8" w:color="auto"/>
            </w:tcBorders>
            <w:vMerge w:val="restart"/>
          </w:tcPr>
          <w:p>
            <w:pPr>
              <w:spacing w:after="0"/>
              <w:rPr>
                <w:sz w:val="10"/>
                <w:szCs w:val="10"/>
                <w:color w:val="auto"/>
              </w:rPr>
            </w:pPr>
          </w:p>
        </w:tc>
        <w:tc>
          <w:tcPr>
            <w:tcW w:w="15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File</w:t>
            </w: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240" w:type="dxa"/>
            <w:vAlign w:val="bottom"/>
            <w:tcBorders>
              <w:top w:val="single" w:sz="8" w:color="auto"/>
            </w:tcBorders>
            <w:vMerge w:val="restart"/>
          </w:tcPr>
          <w:p>
            <w:pPr>
              <w:spacing w:after="0"/>
              <w:rPr>
                <w:sz w:val="10"/>
                <w:szCs w:val="10"/>
                <w:color w:val="auto"/>
              </w:rPr>
            </w:pPr>
          </w:p>
        </w:tc>
        <w:tc>
          <w:tcPr>
            <w:tcW w:w="74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7"/>
        </w:trPr>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338"/>
        </w:trPr>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338"/>
        </w:trPr>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5/24/2019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770"/>
        </w:trPr>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769"/>
        </w:trPr>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432"/>
        </w:trPr>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5/11/2020</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0" w:type="dxa"/>
            <w:vAlign w:val="bottom"/>
          </w:tcPr>
          <w:p>
            <w:pPr>
              <w:spacing w:after="0"/>
              <w:rPr>
                <w:sz w:val="1"/>
                <w:szCs w:val="1"/>
                <w:color w:val="auto"/>
              </w:rPr>
            </w:pPr>
          </w:p>
        </w:tc>
      </w:tr>
    </w:tbl>
    <w:p>
      <w:pPr>
        <w:sectPr>
          <w:pgSz w:w="11900" w:h="16838" w:orient="portrait"/>
          <w:cols w:equalWidth="0" w:num="2">
            <w:col w:w="6400" w:space="260"/>
            <w:col w:w="4580"/>
          </w:cols>
          <w:pgMar w:left="320" w:top="337" w:right="339" w:bottom="1440" w:gutter="0" w:footer="0" w:header="0"/>
        </w:sectPr>
      </w:pPr>
    </w:p>
    <w:bookmarkStart w:id="46" w:name="page47"/>
    <w:bookmarkEnd w:id="46"/>
    <w:p>
      <w:pPr>
        <w:ind w:left="492" w:hanging="492"/>
        <w:spacing w:after="0"/>
        <w:tabs>
          <w:tab w:leader="none" w:pos="492" w:val="left"/>
        </w:tabs>
        <w:numPr>
          <w:ilvl w:val="0"/>
          <w:numId w:val="21"/>
        </w:numPr>
        <w:rPr>
          <w:rFonts w:ascii="Arial" w:cs="Arial" w:eastAsia="Arial" w:hAnsi="Arial"/>
          <w:sz w:val="22"/>
          <w:szCs w:val="22"/>
          <w:color w:val="auto"/>
        </w:rPr>
      </w:pPr>
      <w:r>
        <w:rPr>
          <w:rFonts w:ascii="Arial" w:cs="Arial" w:eastAsia="Arial" w:hAnsi="Arial"/>
          <w:sz w:val="18"/>
          <w:szCs w:val="18"/>
          <w:color w:val="auto"/>
        </w:rPr>
        <w:t>Filed herewith.</w:t>
      </w:r>
    </w:p>
    <w:p>
      <w:pPr>
        <w:spacing w:after="0" w:line="29" w:lineRule="exact"/>
        <w:rPr>
          <w:sz w:val="20"/>
          <w:szCs w:val="20"/>
          <w:color w:val="auto"/>
        </w:rPr>
      </w:pPr>
    </w:p>
    <w:p>
      <w:pPr>
        <w:ind w:left="492" w:hanging="492"/>
        <w:spacing w:after="0" w:line="264" w:lineRule="auto"/>
        <w:tabs>
          <w:tab w:leader="none" w:pos="4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ind w:left="492" w:hanging="492"/>
        <w:spacing w:after="0"/>
        <w:tabs>
          <w:tab w:leader="none" w:pos="4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12"/>
          </w:cols>
          <w:pgMar w:left="328" w:top="319" w:right="5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3"/>
          </w:tcPr>
          <w:p>
            <w:pPr>
              <w:ind w:left="2660"/>
              <w:spacing w:after="0"/>
              <w:rPr>
                <w:sz w:val="20"/>
                <w:szCs w:val="20"/>
                <w:color w:val="auto"/>
              </w:rPr>
            </w:pPr>
            <w:r>
              <w:rPr>
                <w:rFonts w:ascii="Arial" w:cs="Arial" w:eastAsia="Arial" w:hAnsi="Arial"/>
                <w:sz w:val="18"/>
                <w:szCs w:val="18"/>
                <w:b w:val="1"/>
                <w:bCs w:val="1"/>
                <w:color w:val="auto"/>
              </w:rPr>
              <w:t>MOHAWK GROUP HOLDINGS, INC.</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July 30, 2020</w:t>
            </w:r>
          </w:p>
        </w:tc>
        <w:tc>
          <w:tcPr>
            <w:tcW w:w="2960" w:type="dxa"/>
            <w:vAlign w:val="bottom"/>
          </w:tcPr>
          <w:p>
            <w:pPr>
              <w:ind w:left="26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4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16"/>
        </w:trPr>
        <w:tc>
          <w:tcPr>
            <w:tcW w:w="40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4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July 30, 2020</w:t>
            </w:r>
          </w:p>
        </w:tc>
        <w:tc>
          <w:tcPr>
            <w:tcW w:w="2960" w:type="dxa"/>
            <w:vAlign w:val="bottom"/>
          </w:tcPr>
          <w:p>
            <w:pPr>
              <w:ind w:left="26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Fabrice Hamaide</w:t>
            </w:r>
          </w:p>
        </w:tc>
      </w:tr>
      <w:tr>
        <w:trPr>
          <w:trHeight w:val="195"/>
        </w:trPr>
        <w:tc>
          <w:tcPr>
            <w:tcW w:w="4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Fabrice Hamaide</w:t>
            </w:r>
          </w:p>
        </w:tc>
      </w:tr>
      <w:tr>
        <w:trPr>
          <w:trHeight w:val="230"/>
        </w:trPr>
        <w:tc>
          <w:tcPr>
            <w:tcW w:w="4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2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Financial Officer and Director</w:t>
            </w:r>
          </w:p>
        </w:tc>
      </w:tr>
    </w:tbl>
    <w:p>
      <w:pPr>
        <w:ind w:left="71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Fabrice Hamaide, certify that:</w:t>
      </w:r>
    </w:p>
    <w:p>
      <w:pPr>
        <w:spacing w:after="0" w:line="77" w:lineRule="exact"/>
        <w:rPr>
          <w:sz w:val="20"/>
          <w:szCs w:val="20"/>
          <w:color w:val="auto"/>
        </w:rPr>
      </w:pPr>
    </w:p>
    <w:p>
      <w:pPr>
        <w:ind w:left="740" w:hanging="181"/>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Fabrice Hamaide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Fabrice Hamaide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0" w:name="page51"/>
    <w:bookmarkEnd w:id="50"/>
    <w:p>
      <w:pPr>
        <w:ind w:left="9520"/>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551"/>
        <w:spacing w:after="0" w:line="263" w:lineRule="auto"/>
        <w:rPr>
          <w:sz w:val="20"/>
          <w:szCs w:val="20"/>
          <w:color w:val="auto"/>
        </w:rPr>
      </w:pPr>
      <w:r>
        <w:rPr>
          <w:rFonts w:ascii="Arial" w:cs="Arial" w:eastAsia="Arial" w:hAnsi="Arial"/>
          <w:sz w:val="18"/>
          <w:szCs w:val="18"/>
          <w:color w:val="auto"/>
        </w:rPr>
        <w:t>In connection with the Quarterly Report on Form 10-Q of Mohawk Group Holdings, Inc. (the “Company”) for the period ended June 30, 2020 as filed with the Securities and Exchange Commission on the date hereof (the “Report”), the undersigned hereby certify, pursuant to 18 U.S.C. Section 1350, as adopted pursuant to Section 906 of the Sarbanes-Oxley Act of 2002, to their knowledge that:</w:t>
      </w:r>
    </w:p>
    <w:p>
      <w:pPr>
        <w:spacing w:after="0" w:line="35" w:lineRule="exact"/>
        <w:rPr>
          <w:sz w:val="20"/>
          <w:szCs w:val="20"/>
          <w:color w:val="auto"/>
        </w:rPr>
      </w:pPr>
    </w:p>
    <w:p>
      <w:pPr>
        <w:ind w:left="820" w:hanging="261"/>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680" w:hanging="1"/>
        <w:spacing w:after="0" w:line="277" w:lineRule="auto"/>
        <w:tabs>
          <w:tab w:leader="none" w:pos="8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Fabrice Hamaide</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Fabrice Hamaide</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July 30, 2020</w:t>
            </w:r>
          </w:p>
        </w:tc>
        <w:tc>
          <w:tcPr>
            <w:tcW w:w="4000" w:type="dxa"/>
            <w:vAlign w:val="bottom"/>
          </w:tcPr>
          <w:p>
            <w:pPr>
              <w:spacing w:after="0"/>
              <w:rPr>
                <w:sz w:val="20"/>
                <w:szCs w:val="20"/>
                <w:color w:val="auto"/>
              </w:rPr>
            </w:pPr>
            <w:r>
              <w:rPr>
                <w:rFonts w:ascii="Arial" w:cs="Arial" w:eastAsia="Arial" w:hAnsi="Arial"/>
                <w:sz w:val="18"/>
                <w:szCs w:val="18"/>
                <w:color w:val="auto"/>
              </w:rPr>
              <w:t>July 30, 2020</w:t>
            </w:r>
          </w:p>
        </w:tc>
      </w:tr>
    </w:tbl>
    <w:p>
      <w:pPr>
        <w:spacing w:after="0" w:line="175" w:lineRule="exact"/>
        <w:rPr>
          <w:sz w:val="20"/>
          <w:szCs w:val="20"/>
          <w:color w:val="auto"/>
        </w:rPr>
      </w:pPr>
    </w:p>
    <w:p>
      <w:pPr>
        <w:ind w:right="24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78" Type="http://schemas.openxmlformats.org/officeDocument/2006/relationships/hyperlink" Target="http://www.sec.gov/Archives/edgar/data/1757715/000119312519173667/d826688dex31.htm" TargetMode="External"/><Relationship Id="rId79" Type="http://schemas.openxmlformats.org/officeDocument/2006/relationships/hyperlink" Target="http://www.sec.gov/Archives/edgar/data/1757715/000119312519173667/d826688dex32.htm" TargetMode="External"/><Relationship Id="rId80" Type="http://schemas.openxmlformats.org/officeDocument/2006/relationships/hyperlink" Target="http://www.sec.gov/Archives/edgar/data/1757715/000119312519157090/d639806dex41.htm" TargetMode="External"/><Relationship Id="rId81" Type="http://schemas.openxmlformats.org/officeDocument/2006/relationships/hyperlink" Target="http://www.sec.gov/Archives/edgar/data/1757715/000119312519144273/d639806dex42.htm" TargetMode="External"/><Relationship Id="rId82" Type="http://schemas.openxmlformats.org/officeDocument/2006/relationships/hyperlink" Target="http://www.sec.gov/Archives/edgar/data/1757715/000119312519144273/d639806dex43.htm" TargetMode="External"/><Relationship Id="rId83" Type="http://schemas.openxmlformats.org/officeDocument/2006/relationships/hyperlink" Target="http://www.sec.gov/Archives/edgar/data/1757715/000119312519144273/d639806dex44.htm" TargetMode="External"/><Relationship Id="rId84" Type="http://schemas.openxmlformats.org/officeDocument/2006/relationships/hyperlink" Target="http://www.sec.gov/Archives/edgar/data/1757715/000119312519144273/d639806dex45.htm" TargetMode="External"/><Relationship Id="rId85" Type="http://schemas.openxmlformats.org/officeDocument/2006/relationships/hyperlink" Target="http://www.sec.gov/Archives/edgar/data/1757715/000119312519144273/d639806dex46.htm" TargetMode="External"/><Relationship Id="rId86" Type="http://schemas.openxmlformats.org/officeDocument/2006/relationships/hyperlink" Target="http://www.sec.gov/Archives/edgar/data/1757715/000156459020024258/mwk-ex101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2020-07-31T05:36:37Z</dcterms:created>
  <dcterms:modified xsi:type="dcterms:W3CDTF">2020-07-31T05:36:37Z</dcterms:modified>
</cp:coreProperties>
</file>