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640" w:hanging="3812"/>
        <w:spacing w:after="0" w:line="490" w:lineRule="auto"/>
        <w:tabs>
          <w:tab w:leader="none" w:pos="4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Aterian,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83-1739858</w:t>
            </w:r>
          </w:p>
        </w:tc>
      </w:tr>
      <w:tr>
        <w:trPr>
          <w:trHeight w:val="216"/>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72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72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350 Springfield Avenue, Suite 200</w:t>
            </w:r>
          </w:p>
        </w:tc>
        <w:tc>
          <w:tcPr>
            <w:tcW w:w="4720" w:type="dxa"/>
            <w:vAlign w:val="bottom"/>
          </w:tcPr>
          <w:p>
            <w:pPr>
              <w:spacing w:after="0"/>
              <w:rPr>
                <w:sz w:val="24"/>
                <w:szCs w:val="24"/>
                <w:color w:val="auto"/>
              </w:rPr>
            </w:pPr>
          </w:p>
        </w:tc>
      </w:tr>
      <w:tr>
        <w:trPr>
          <w:trHeight w:val="216"/>
        </w:trPr>
        <w:tc>
          <w:tcPr>
            <w:tcW w:w="33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Summit, NJ</w:t>
            </w:r>
          </w:p>
        </w:tc>
        <w:tc>
          <w:tcPr>
            <w:tcW w:w="47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07901</w:t>
            </w:r>
          </w:p>
        </w:tc>
      </w:tr>
      <w:tr>
        <w:trPr>
          <w:trHeight w:val="238"/>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7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32"/>
        </w:trPr>
        <w:tc>
          <w:tcPr>
            <w:tcW w:w="3380" w:type="dxa"/>
            <w:vAlign w:val="bottom"/>
          </w:tcPr>
          <w:p>
            <w:pPr>
              <w:spacing w:after="0"/>
              <w:rPr>
                <w:sz w:val="24"/>
                <w:szCs w:val="24"/>
                <w:color w:val="auto"/>
              </w:rPr>
            </w:pPr>
          </w:p>
        </w:tc>
        <w:tc>
          <w:tcPr>
            <w:tcW w:w="4720" w:type="dxa"/>
            <w:vAlign w:val="bottom"/>
          </w:tcPr>
          <w:p>
            <w:pPr>
              <w:jc w:val="right"/>
              <w:ind w:right="3110"/>
              <w:spacing w:after="0"/>
              <w:rPr>
                <w:sz w:val="20"/>
                <w:szCs w:val="20"/>
                <w:color w:val="auto"/>
              </w:rPr>
            </w:pPr>
            <w:r>
              <w:rPr>
                <w:rFonts w:ascii="Times New Roman" w:cs="Times New Roman" w:eastAsia="Times New Roman" w:hAnsi="Times New Roman"/>
                <w:sz w:val="18"/>
                <w:szCs w:val="18"/>
                <w:b w:val="1"/>
                <w:bCs w:val="1"/>
                <w:color w:val="auto"/>
              </w:rPr>
              <w:t>(347) 676-1681</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7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3"/>
              </w:rPr>
              <w:t>ATER</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5"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13, 2025, the registrant had 8,750,741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500" w:type="dxa"/>
            <w:vAlign w:val="bottom"/>
            <w:gridSpan w:val="3"/>
            <w:vMerge w:val="continue"/>
          </w:tcPr>
          <w:p>
            <w:pPr>
              <w:spacing w:after="0"/>
              <w:rPr>
                <w:sz w:val="14"/>
                <w:szCs w:val="14"/>
                <w:color w:val="auto"/>
              </w:rPr>
            </w:pPr>
          </w:p>
        </w:tc>
        <w:tc>
          <w:tcPr>
            <w:tcW w:w="9020" w:type="dxa"/>
            <w:vAlign w:val="bottom"/>
            <w:gridSpan w:val="18"/>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600" w:type="dxa"/>
            <w:vAlign w:val="bottom"/>
            <w:gridSpan w:val="8"/>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360" w:type="dxa"/>
            <w:vAlign w:val="bottom"/>
            <w:gridSpan w:val="6"/>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Condensed Consolidated Statements of Comprehensive Loss</w:t>
            </w:r>
          </w:p>
        </w:tc>
        <w:tc>
          <w:tcPr>
            <w:tcW w:w="4640" w:type="dxa"/>
            <w:vAlign w:val="bottom"/>
            <w:gridSpan w:val="3"/>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4640" w:type="dxa"/>
            <w:vAlign w:val="bottom"/>
            <w:gridSpan w:val="3"/>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60" w:type="dxa"/>
            <w:vAlign w:val="bottom"/>
            <w:tcBorders>
              <w:top w:val="single" w:sz="8" w:color="0000EE"/>
            </w:tcBorders>
            <w:gridSpan w:val="2"/>
          </w:tcPr>
          <w:p>
            <w:pPr>
              <w:spacing w:after="0"/>
              <w:rPr>
                <w:sz w:val="17"/>
                <w:szCs w:val="17"/>
                <w:color w:val="auto"/>
              </w:rPr>
            </w:pPr>
          </w:p>
        </w:tc>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24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714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770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30</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5"/>
          </w:tcPr>
          <w:p>
            <w:pPr>
              <w:spacing w:after="0"/>
              <w:rPr>
                <w:sz w:val="17"/>
                <w:szCs w:val="17"/>
                <w:color w:val="auto"/>
              </w:rPr>
            </w:pPr>
          </w:p>
        </w:tc>
        <w:tc>
          <w:tcPr>
            <w:tcW w:w="46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26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17"/>
                <w:szCs w:val="17"/>
                <w:color w:val="auto"/>
              </w:rPr>
            </w:pPr>
          </w:p>
        </w:tc>
        <w:tc>
          <w:tcPr>
            <w:tcW w:w="772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696"/>
        </w:trPr>
        <w:tc>
          <w:tcPr>
            <w:tcW w:w="7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4"/>
          </w:tcPr>
          <w:p>
            <w:pPr>
              <w:ind w:left="408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Section 27A of the Securities Act and Section 21E of the Securities Exchange Act of 1934 (the "Exchange Act"). Many of these statements can be identified by the use of terminology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the negative versions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these terms and other similar expressions. Our actual results or experience could differ significantly from the forward-looking statements. Factors that could cause or contribute to these differences include those discussed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Part II, Item 1A of this Quarterly Report on Form 10-Q as well as information provided elsewhere in this Quarterly Report on Form 10-Q and our Annual Report on Form 10-K for the year ended December 31, 2024, which was filed with the Securities and Exchange Commission (the SEC) on March 25, 2025. You should carefully consider that information before you make an investment decision.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place undue reliance on these types of forward-looking statements, which speak only as of the date that they were made. These forward-looking statements are based on the beliefs and assumptions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discussion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condition and results of operations should be read in conjunction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Condensed Consolidated Financial Statements and the related Notes thereto included in this Quarterly Report on Form 10-Q.</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190"/>
        </w:trPr>
        <w:tc>
          <w:tcPr>
            <w:tcW w:w="1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720" w:type="dxa"/>
            <w:vAlign w:val="bottom"/>
            <w:tcBorders>
              <w:bottom w:val="single" w:sz="8" w:color="CCEEFF"/>
            </w:tcBorders>
            <w:gridSpan w:val="2"/>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14,337</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3,391</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18,144</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18"/>
                <w:szCs w:val="18"/>
                <w:color w:val="auto"/>
              </w:rPr>
            </w:pPr>
          </w:p>
        </w:tc>
      </w:tr>
      <w:tr>
        <w:trPr>
          <w:trHeight w:val="210"/>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39,384</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9,366</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r>
      <w:tr>
        <w:trPr>
          <w:trHeight w:val="250"/>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49,542</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49,818</w:t>
            </w:r>
          </w:p>
        </w:tc>
      </w:tr>
      <w:tr>
        <w:trPr>
          <w:trHeight w:val="156"/>
        </w:trPr>
        <w:tc>
          <w:tcPr>
            <w:tcW w:w="1280" w:type="dxa"/>
            <w:vAlign w:val="bottom"/>
            <w:tcBorders>
              <w:top w:val="single" w:sz="8" w:color="CCEEFF"/>
            </w:tcBorders>
          </w:tcPr>
          <w:p>
            <w:pPr>
              <w:spacing w:after="0"/>
              <w:rPr>
                <w:sz w:val="13"/>
                <w:szCs w:val="13"/>
                <w:color w:val="auto"/>
              </w:rPr>
            </w:pPr>
          </w:p>
        </w:tc>
        <w:tc>
          <w:tcPr>
            <w:tcW w:w="6720" w:type="dxa"/>
            <w:vAlign w:val="bottom"/>
            <w:tcBorders>
              <w:top w:val="single" w:sz="8" w:color="CCEEFF"/>
            </w:tcBorders>
            <w:gridSpan w:val="5"/>
          </w:tcPr>
          <w:p>
            <w:pPr>
              <w:jc w:val="center"/>
              <w:ind w:right="1400"/>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7,511</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6,164</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Seller notes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800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22,550</w:t>
            </w:r>
          </w:p>
        </w:tc>
      </w:tr>
      <w:tr>
        <w:trPr>
          <w:trHeight w:val="216"/>
        </w:trPr>
        <w:tc>
          <w:tcPr>
            <w:tcW w:w="80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22,779</w:t>
            </w: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6"/>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and 8,750,741 and 8,748,741 shares</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2024 and March 31, 2025, respectively</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743,374</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(711,677)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(715,573)</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r>
      <w:tr>
        <w:trPr>
          <w:trHeight w:val="209"/>
        </w:trPr>
        <w:tc>
          <w:tcPr>
            <w:tcW w:w="80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49,542</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49,818</w:t>
            </w: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9,424</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distribution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(0.52)</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6,789,955</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7,452,957</w:t>
            </w:r>
          </w:p>
        </w:tc>
        <w:tc>
          <w:tcPr>
            <w:tcW w:w="100" w:type="dxa"/>
            <w:vAlign w:val="bottom"/>
            <w:tcBorders>
              <w:top w:val="single" w:sz="8" w:color="CCEEFF"/>
            </w:tcBorders>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574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4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74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74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7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r>
      <w:tr>
        <w:trPr>
          <w:trHeight w:val="210"/>
        </w:trPr>
        <w:tc>
          <w:tcPr>
            <w:tcW w:w="32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7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12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7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340" w:type="dxa"/>
            <w:vAlign w:val="bottom"/>
            <w:gridSpan w:val="11"/>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4"/>
          </w:tcPr>
          <w:p>
            <w:pPr>
              <w:jc w:val="center"/>
              <w:ind w:left="393"/>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20" w:type="dxa"/>
            <w:vAlign w:val="bottom"/>
            <w:gridSpan w:val="9"/>
          </w:tcPr>
          <w:p>
            <w:pPr>
              <w:jc w:val="right"/>
              <w:ind w:right="34"/>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60" w:type="dxa"/>
            <w:vAlign w:val="bottom"/>
            <w:gridSpan w:val="3"/>
            <w:vMerge w:val="restart"/>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7,508,246</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736,675</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(699,815)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36,031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(5,162)</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11,668</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(42,650)</w:t>
            </w:r>
          </w:p>
        </w:tc>
        <w:tc>
          <w:tcPr>
            <w:tcW w:w="8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178,780</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BALANCE—March 31,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7,656,044</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738,805</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(704,977)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60" w:type="dxa"/>
            <w:vAlign w:val="bottom"/>
            <w:gridSpan w:val="3"/>
            <w:vMerge w:val="restart"/>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8,750,741</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742,591</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(711,677)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8,748,741</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743,374</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(715,573)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264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8000" w:type="dxa"/>
            <w:vAlign w:val="bottom"/>
          </w:tcPr>
          <w:p>
            <w:pPr>
              <w:spacing w:after="0"/>
              <w:rPr>
                <w:sz w:val="12"/>
                <w:szCs w:val="12"/>
                <w:color w:val="auto"/>
              </w:rPr>
            </w:pPr>
          </w:p>
        </w:tc>
        <w:tc>
          <w:tcPr>
            <w:tcW w:w="9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(5,162)</w:t>
            </w:r>
          </w:p>
        </w:tc>
        <w:tc>
          <w:tcPr>
            <w:tcW w:w="1040" w:type="dxa"/>
            <w:vAlign w:val="bottom"/>
            <w:gridSpan w:val="2"/>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(3,896)</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408</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sales returns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 and debt discounts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783</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deferred tax expense</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inventory provisions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(976)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1,843</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538</w:t>
            </w:r>
          </w:p>
        </w:tc>
      </w:tr>
      <w:tr>
        <w:trPr>
          <w:trHeight w:val="149"/>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2,846</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(4,481)</w:t>
            </w: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w:t>
            </w: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 accrued and other liabilities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2,898</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operating activities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(3,868)</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fixed assets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minority equity investment</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investing activities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on seller notes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from MidCap credit facilities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11,453</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10,296</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for MidCap credit facilities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(13,244)</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(9,777)</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Insurance obligation payments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(235)</w:t>
            </w:r>
          </w:p>
        </w:tc>
      </w:tr>
      <w:tr>
        <w:trPr>
          <w:trHeight w:val="148"/>
        </w:trPr>
        <w:tc>
          <w:tcPr>
            <w:tcW w:w="80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Insurance financing proceeds</w:t>
            </w:r>
          </w:p>
        </w:tc>
        <w:tc>
          <w:tcPr>
            <w:tcW w:w="9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42"/>
        </w:trPr>
        <w:tc>
          <w:tcPr>
            <w:tcW w:w="8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provided by (used in) financing activities</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(2,198)</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440</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effect on cash and restricted cash</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and restricted cash for the year</w:t>
            </w:r>
          </w:p>
        </w:tc>
        <w:tc>
          <w:tcPr>
            <w:tcW w:w="96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(2,489)</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(3,305)</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restricted cash at beginning of year</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22,195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19,143</w:t>
            </w:r>
          </w:p>
        </w:tc>
      </w:tr>
      <w:tr>
        <w:trPr>
          <w:trHeight w:val="142"/>
        </w:trPr>
        <w:tc>
          <w:tcPr>
            <w:tcW w:w="800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restricted cash at end of year</w:t>
            </w:r>
          </w:p>
        </w:tc>
        <w:tc>
          <w:tcPr>
            <w:tcW w:w="960" w:type="dxa"/>
            <w:vAlign w:val="bottom"/>
            <w:tcBorders>
              <w:top w:val="single" w:sz="8" w:color="auto"/>
              <w:bottom w:val="single" w:sz="8" w:color="auto"/>
            </w:tcBorders>
          </w:tcPr>
          <w:p>
            <w:pPr>
              <w:jc w:val="right"/>
              <w:ind w:right="8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19,706</w:t>
            </w:r>
          </w:p>
        </w:tc>
        <w:tc>
          <w:tcPr>
            <w:tcW w:w="1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8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15,838</w:t>
            </w:r>
          </w:p>
        </w:tc>
        <w:tc>
          <w:tcPr>
            <w:tcW w:w="100" w:type="dxa"/>
            <w:vAlign w:val="bottom"/>
            <w:tcBorders>
              <w:top w:val="single" w:sz="8" w:color="CCEEFF"/>
              <w:bottom w:val="single" w:sz="8" w:color="CCEEFF"/>
            </w:tcBorders>
          </w:tcPr>
          <w:p>
            <w:pPr>
              <w:spacing w:after="0"/>
              <w:rPr>
                <w:sz w:val="12"/>
                <w:szCs w:val="12"/>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RECONCILIATION OF CASH AND RESTRICTED CASH:</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17,545</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14,337</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Cash—Prepaid and other current assets</w:t>
            </w:r>
          </w:p>
        </w:tc>
        <w:tc>
          <w:tcPr>
            <w:tcW w:w="9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1,372</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cash—Other non-current assets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129</w:t>
            </w:r>
          </w:p>
        </w:tc>
      </w:tr>
      <w:tr>
        <w:trPr>
          <w:trHeight w:val="182"/>
        </w:trPr>
        <w:tc>
          <w:tcPr>
            <w:tcW w:w="80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CASH AND RESTRICTED CASH</w:t>
            </w:r>
          </w:p>
        </w:tc>
        <w:tc>
          <w:tcPr>
            <w:tcW w:w="960" w:type="dxa"/>
            <w:vAlign w:val="bottom"/>
            <w:tcBorders>
              <w:top w:val="single" w:sz="8" w:color="auto"/>
              <w:bottom w:val="single" w:sz="8" w:color="auto"/>
            </w:tcBorders>
            <w:shd w:val="clear" w:color="auto" w:fill="CCEEFF"/>
          </w:tcPr>
          <w:p>
            <w:pPr>
              <w:jc w:val="right"/>
              <w:ind w:right="8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19,706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8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15,838</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29"/>
        </w:trPr>
        <w:tc>
          <w:tcPr>
            <w:tcW w:w="8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1040" w:type="dxa"/>
            <w:vAlign w:val="bottom"/>
            <w:gridSpan w:val="2"/>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960" w:type="dxa"/>
            <w:vAlign w:val="bottom"/>
            <w:shd w:val="clear" w:color="auto" w:fill="CCEEFF"/>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40" w:type="dxa"/>
            <w:vAlign w:val="bottom"/>
            <w:gridSpan w:val="2"/>
            <w:shd w:val="clear" w:color="auto" w:fill="CCEEFF"/>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consideration paid to contractors</w:t>
            </w:r>
          </w:p>
        </w:tc>
        <w:tc>
          <w:tcPr>
            <w:tcW w:w="960" w:type="dxa"/>
            <w:vAlign w:val="bottom"/>
            <w:shd w:val="clear" w:color="auto" w:fill="CCEEFF"/>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1040" w:type="dxa"/>
            <w:vAlign w:val="bottom"/>
            <w:gridSpan w:val="2"/>
            <w:shd w:val="clear" w:color="auto" w:fill="CCEEFF"/>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Non-cash minority equity investment</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w:t>
            </w:r>
          </w:p>
        </w:tc>
        <w:tc>
          <w:tcPr>
            <w:tcW w:w="1040" w:type="dxa"/>
            <w:vAlign w:val="bottom"/>
            <w:gridSpan w:val="2"/>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2025 (Unaudited)</w:t>
      </w:r>
    </w:p>
    <w:p>
      <w:pPr>
        <w:spacing w:after="0" w:line="23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brands include Squatty Potty, HomeLabs, Mueller Living, PurSteam, Healing Solutions, and Photo Paper Direct ("PPD").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New Jersey, the Company also maintains offices in China, the Philippines, and the United Kingdom.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are focusing our efforts on a more limited number of products. In addition, our recent financial performance has been adversely impacted by inflationary pressures and reduced consumer spending.</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future results could be materially impacted by recent changes to U.S. trade policy, including the imposition and expansion of tariffs on imports, specifically from China. A substantial portion of our products are sourced from China, and as such, the increased tariff rates will materially raise our cost of goods sold and will place pressure on our margins. While we are actively pursuing mitigation strategies—including supplier negotiations, selective price adjustments, potential geographic diversification of sourcing and fixed cost reductions—there is significant uncertainty regarding the effectiveness of these mitigation efforts. Moreover, any future changes in tariff policy or implementation of additional trade barriers could further impact our business. These trade-related uncertainties, in conjunction with our existing financial condition, raise concern about our ability to remain in compliance with financial covenants under our credit agreements and may adversely impact our liquidity position.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the accompanying Condensed Consolidated Financial Statements were issued (the “issuance date”), we evaluated the significance of the following adverse financial conditions in accordance with Accounting Standard Codification 205-40, Going Concern:</w:t>
      </w:r>
    </w:p>
    <w:p>
      <w:pPr>
        <w:spacing w:after="0" w:line="162" w:lineRule="exact"/>
        <w:rPr>
          <w:sz w:val="20"/>
          <w:szCs w:val="20"/>
          <w:color w:val="auto"/>
        </w:rPr>
      </w:pPr>
    </w:p>
    <w:p>
      <w:pPr>
        <w:jc w:val="both"/>
        <w:ind w:left="500" w:hanging="6"/>
        <w:spacing w:after="0" w:line="266" w:lineRule="auto"/>
        <w:tabs>
          <w:tab w:leader="none" w:pos="61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inception, we have incurred significant losses and used cash flows from operations to fund our enterprise. In this regard, during the three months ended March 31, 2025, we incurred a net loss of $3.9 million and used net cash flows from operations of $3.9 million. In addition, as of March 31, 2025, we had unrestricted cash of $14.3 million available to fund our operations and an accumulated deficit of $715.6 million.</w:t>
      </w:r>
    </w:p>
    <w:p>
      <w:pPr>
        <w:spacing w:after="0" w:line="173" w:lineRule="exact"/>
        <w:rPr>
          <w:rFonts w:ascii="Times New Roman" w:cs="Times New Roman" w:eastAsia="Times New Roman" w:hAnsi="Times New Roman"/>
          <w:sz w:val="18"/>
          <w:szCs w:val="18"/>
          <w:color w:val="auto"/>
        </w:rPr>
      </w:pPr>
    </w:p>
    <w:p>
      <w:pPr>
        <w:jc w:val="both"/>
        <w:ind w:left="460" w:hanging="2"/>
        <w:spacing w:after="0" w:line="254" w:lineRule="auto"/>
        <w:tabs>
          <w:tab w:leader="none" w:pos="5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required to remain in compliance with certain financial covenants required by the MidCap Credit facility (See Note 7, </w:t>
      </w:r>
      <w:r>
        <w:rPr>
          <w:rFonts w:ascii="Times New Roman" w:cs="Times New Roman" w:eastAsia="Times New Roman" w:hAnsi="Times New Roman"/>
          <w:sz w:val="18"/>
          <w:szCs w:val="18"/>
          <w:i w:val="1"/>
          <w:iCs w:val="1"/>
          <w:color w:val="auto"/>
        </w:rPr>
        <w:t>Credit Facility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We were in compliance with these financial covenants as of March 31, 2025, and expect to remain in compliance through at least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However, if our mitigation strategies to address the impact of tariffs are unsuccessful, we can provide no assurances that we will remain in compliance with our financial covenants. During February 2024, the Company amended its terms with Midcap Credit Facility extending the term until December 2026 and amending certain financial covenants with favorable terms.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90" w:lineRule="exact"/>
        <w:rPr>
          <w:rFonts w:ascii="Times New Roman" w:cs="Times New Roman" w:eastAsia="Times New Roman" w:hAnsi="Times New Roman"/>
          <w:sz w:val="18"/>
          <w:szCs w:val="18"/>
          <w:color w:val="auto"/>
        </w:rPr>
      </w:pPr>
    </w:p>
    <w:p>
      <w:pPr>
        <w:jc w:val="both"/>
        <w:ind w:left="460" w:hanging="2"/>
        <w:spacing w:after="0" w:line="258" w:lineRule="auto"/>
        <w:tabs>
          <w:tab w:leader="none" w:pos="5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we have no firm commitments to secure additional outside capital from lenders or investors. While we expect to continue to explore raising additional outside capital, specifically if we pursue material M&amp;A opportunities,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83" w:lineRule="exact"/>
        <w:rPr>
          <w:rFonts w:ascii="Times New Roman" w:cs="Times New Roman" w:eastAsia="Times New Roman" w:hAnsi="Times New Roman"/>
          <w:sz w:val="18"/>
          <w:szCs w:val="18"/>
          <w:color w:val="auto"/>
        </w:rPr>
      </w:pPr>
    </w:p>
    <w:p>
      <w:pPr>
        <w:jc w:val="both"/>
        <w:ind w:left="460" w:hanging="2"/>
        <w:spacing w:after="0" w:line="255" w:lineRule="auto"/>
        <w:tabs>
          <w:tab w:leader="none" w:pos="5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14, 2025, the Company announced a fixed cost reduction plan, which includes a workforce reduction affecting approximately 20 employees. The Company expects to substantially complete this reduction by the end of the third quarter of 2025. In connection with this plan, the Company anticipates</w:t>
      </w:r>
    </w:p>
    <w:p>
      <w:pPr>
        <w:sectPr>
          <w:pgSz w:w="11900" w:h="16838" w:orient="portrait"/>
          <w:cols w:equalWidth="0" w:num="1">
            <w:col w:w="11240"/>
          </w:cols>
          <w:pgMar w:left="320" w:top="121" w:right="339" w:bottom="0" w:gutter="0" w:footer="0" w:header="0"/>
        </w:sectPr>
      </w:pPr>
    </w:p>
    <w:bookmarkStart w:id="9" w:name="page10"/>
    <w:bookmarkEnd w:id="9"/>
    <w:p>
      <w:pPr>
        <w:spacing w:after="0" w:line="266" w:lineRule="auto"/>
        <w:rPr>
          <w:sz w:val="20"/>
          <w:szCs w:val="20"/>
          <w:color w:val="auto"/>
        </w:rPr>
      </w:pPr>
      <w:r>
        <w:rPr>
          <w:rFonts w:ascii="Times New Roman" w:cs="Times New Roman" w:eastAsia="Times New Roman" w:hAnsi="Times New Roman"/>
          <w:sz w:val="18"/>
          <w:szCs w:val="18"/>
          <w:color w:val="auto"/>
        </w:rPr>
        <w:t>recognizing restructuring charges of approximately $2.3 million, primarily related to severance, during the second quarter of 2025. Severance payments are expected to be made through the second quarter of 2026. Combined with other vendor-related cost reductions, the plan is expected to generate annualized savings of approximately $5 to $6 million.</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Condensed Consolidated Financial Statements and accompanying notes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(“U.S. GAAP”).</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Unaudited Interim Financial Information</w:t>
      </w:r>
      <w:r>
        <w:rPr>
          <w:rFonts w:ascii="Times New Roman" w:cs="Times New Roman" w:eastAsia="Times New Roman" w:hAnsi="Times New Roman"/>
          <w:sz w:val="18"/>
          <w:szCs w:val="18"/>
          <w:color w:val="auto"/>
        </w:rPr>
        <w:t>—The accompanying interim Condensed Consolidated Financial Statements are unaudited and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on the same basis as the audited consolidated financial statements and, in the opinion of management, reflect all adjustments necessary for the fair presentation of the Company's financial position as of March 31, 2025 and the results of its operations and its cash flows for the periods ended March 31, 2025 and 2024. The financial data and other information disclosed in these notes related to the three months ended March 31, 2025 and 2024 are also unaudited. The results for the three months ended March 31, 2025 are not necessarily indicative of results to be expected for the year ending December 31, 2025, any other interim periods or any future year or period.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presented herein, has been derived from the Company’s audited Consolidated Financial Statements for the fiscal year then ended. These unaudited Condensed Consolidated Interim Financial Statements should be read in conjunction with our Annual Report on Form 10-K for the year ended December 31, 2024 as filed with the SEC on March 25, 2025 (“Annual Report”) and have been prepared on a consistent basis with the accounting policies described in Note 2 of the Notes to Consolidated Financial Statements included in our Annual Report. Our accounting policies did not change during the three months ended March 31, 2025, other than with respect to the new accounting pronouncements adopted as described in Note 2, Recent Accounting Pronouncements.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instructions to Form 10-Q and Article 8 of Regulation S-X. Accordingly, they do not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March 31, 2025 and for the three months then ended.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—Preparation of financial statements in conformity with U.S.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and liabilities and the disclosure of contingent assets and liabilities at the date of the condensed consolidated financial statements and the reported amounts of revenues and expenses during the reporting period covered by the condensed consolidated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Condensed Consolidated Financial Statements include the accounts of the Company and its wholly-owned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—As of December 31, 2024, the Company has classified the following as restricted cash: $0.1 million related to its Chinese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“Other Non-current Assets” on the Condensed Consolidated Balance Sheets and $1.0 million related to a letter of credit within "Prepaid and Other Current Assets" on the Condensed Consolidated Balance Sheets.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has classified the following as restricted cash: $0.1 million related to its Chinese subsidiary within “Other Noncurrent Assets” on the Condensed Consolidated Balance Sheets, $1.0 million related to a letter of credit and $0.4 million for cash sweeps account related to the Midcap Credit Facility within "Prepaid and Other Current Assets" on the Condensed Consolidated Balance Sheets.</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b w:val="1"/>
          <w:bCs w:val="1"/>
          <w:color w:val="auto"/>
        </w:rPr>
        <w:t>Inventory and Cost of Goods Sold</w:t>
      </w:r>
      <w:r>
        <w:rPr>
          <w:rFonts w:ascii="Times New Roman" w:cs="Times New Roman" w:eastAsia="Times New Roman" w:hAnsi="Times New Roman"/>
          <w:sz w:val="17"/>
          <w:szCs w:val="17"/>
          <w:color w:val="auto"/>
        </w:rPr>
        <w:t>—The Company’s inventory consists almost entirely of finished goods. The Company currently records inventory on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—Accounts receivable are stated at historical cost less allowance for credit losses. On a periodic basis, management evaluates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December 31, 2024, the Company had an allowance for credit losses of $0.1 million. As of March 31, 2025, the Company did not have an allowance for credit losses.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(“ASC”) Topic 606, Revenue from Contracts with Customers (“ASC Topic 606”). The Company derives its revenue from the sale of consumer products. The Company sells its products directly to consumers through online retail channels and through wholesale channels.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ectPr>
          <w:pgSz w:w="11900" w:h="16838" w:orient="portrait"/>
          <w:cols w:equalWidth="0" w:num="1">
            <w:col w:w="11240"/>
          </w:cols>
          <w:pgMar w:left="320" w:top="121" w:right="339" w:bottom="74"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$0.3 million at December 31, 2024 and $0.2 million at March 31, 2025, which is included in accrued and other current liabilities on the Condensed Consolidated Balance Sheets and represents the expected value of the refund that will be due to its customers.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Net Revenue by Category</w:t>
      </w:r>
      <w:r>
        <w:rPr>
          <w:rFonts w:ascii="Times New Roman" w:cs="Times New Roman" w:eastAsia="Times New Roman" w:hAnsi="Times New Roman"/>
          <w:sz w:val="18"/>
          <w:szCs w:val="18"/>
          <w:color w:val="auto"/>
        </w:rPr>
        <w:t>. The following tables set forth the Company’s net revenue disaggregated by sales channel and geographic region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billing addresses of its customers: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5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18,720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18,865</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r>
      <w:tr>
        <w:trPr>
          <w:trHeight w:val="20"/>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5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20,069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20,214</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5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13,587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13,993</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1,367</w:t>
            </w:r>
          </w:p>
        </w:tc>
      </w:tr>
      <w:tr>
        <w:trPr>
          <w:trHeight w:val="20"/>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5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14,954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Net Revenue by Product Categories</w:t>
      </w:r>
      <w:r>
        <w:rPr>
          <w:rFonts w:ascii="Times New Roman" w:cs="Times New Roman" w:eastAsia="Times New Roman" w:hAnsi="Times New Roman"/>
          <w:sz w:val="18"/>
          <w:szCs w:val="18"/>
          <w:color w:val="auto"/>
        </w:rPr>
        <w:t>. The following tables set forth the Company’s net revenue disaggregated by product categories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and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4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4"/>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48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3,204</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3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3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3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office</w:t>
            </w:r>
          </w:p>
        </w:tc>
        <w:tc>
          <w:tcPr>
            <w:tcW w:w="3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Housewares</w:t>
            </w:r>
          </w:p>
        </w:tc>
        <w:tc>
          <w:tcPr>
            <w:tcW w:w="3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3,955</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3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2,733</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9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48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20,214</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w:t>
            </w:r>
          </w:p>
        </w:tc>
      </w:tr>
      <w:tr>
        <w:trPr>
          <w:trHeight w:val="413"/>
        </w:trPr>
        <w:tc>
          <w:tcPr>
            <w:tcW w:w="4100" w:type="dxa"/>
            <w:vAlign w:val="bottom"/>
            <w:tcBorders>
              <w:top w:val="single" w:sz="8" w:color="CCEEFF"/>
            </w:tcBorders>
          </w:tcPr>
          <w:p>
            <w:pPr>
              <w:spacing w:after="0"/>
              <w:rPr>
                <w:sz w:val="24"/>
                <w:szCs w:val="24"/>
                <w:color w:val="auto"/>
              </w:rPr>
            </w:pPr>
          </w:p>
        </w:tc>
        <w:tc>
          <w:tcPr>
            <w:tcW w:w="390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0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Intangibles</w:t>
      </w:r>
      <w:r>
        <w:rPr>
          <w:rFonts w:ascii="Times New Roman" w:cs="Times New Roman" w:eastAsia="Times New Roman" w:hAnsi="Times New Roman"/>
          <w:sz w:val="18"/>
          <w:szCs w:val="18"/>
          <w:color w:val="auto"/>
        </w:rPr>
        <w:t>—We review long-lived assets for impairment when performance expectations, events, or changes in circumstances indicate that the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fair value measurements require significant judgements using Level 3 inputs, such as discounted projected future cash flows, which are not observable from the market, directly or indirectly. There is uncertainty in the projected future cash flows used in the Company’s impairment analysis, which requires the use of estimates and assumptions. If actual performance does not achieve the projections, or if the assumptions used in the analysis change in the future, the Company may be required to recognize additional impairment charges in future periods. Key assumptions in the impairment models included a discount and royalty rate. The Company believes our procedures for determining fair value are reasonable and consistent with current market conditions as of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triggering events to test intangibles for impairment loss during the three months ended March 31, 2024.</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implementation of new tariffs raised concerns about potential negative effects on the Company’s revenue and profitability. As a result, the Company identified a triggering event and performed a recoverability test for the relevant asset groups. Based on this assessment, the Company concluded that the undiscounted future cash flows expected to be generated from these asset groups exceeded their carrying amounts. Accordingly, no impairment was recognized as of March 31, 2025.</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At March 31, 2025, the carrying amounts of these instruments approximated their fair values because of their short-term nature. The Company’s credit facility is carried at amortized cost at December 31, 2024 and March 31, 2025 and the carrying amount approximates fair value as the stated interest rate approximates market rates currently available to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FASB Accounting Standards Codification Topic 815,</w:t>
      </w:r>
      <w:r>
        <w:rPr>
          <w:rFonts w:ascii="Times New Roman" w:cs="Times New Roman" w:eastAsia="Times New Roman" w:hAnsi="Times New Roman"/>
          <w:sz w:val="18"/>
          <w:szCs w:val="18"/>
          <w:i w:val="1"/>
          <w:iCs w:val="1"/>
          <w:color w:val="auto"/>
        </w:rPr>
        <w:t xml:space="preserve">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Based on the Company’s evaluation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certain terms in the warrant agreements, it concluded the stock purchase warrants should be classified as liability with subsequent remeasurement as long as such warrants continue to be classified as liabilities.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 of the Company’s financial assets that are measured at fair value as of December 31, 2024 and March 31, 2025 (in thousands):</w:t>
      </w:r>
    </w:p>
    <w:p>
      <w:pPr>
        <w:spacing w:after="0" w:line="158"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Measurement Category</w:t>
            </w: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360" w:type="dxa"/>
            <w:vAlign w:val="bottom"/>
          </w:tcPr>
          <w:p>
            <w:pPr>
              <w:spacing w:after="0"/>
              <w:rPr>
                <w:sz w:val="20"/>
                <w:szCs w:val="20"/>
                <w:color w:val="auto"/>
              </w:rPr>
            </w:pPr>
          </w:p>
        </w:tc>
        <w:tc>
          <w:tcPr>
            <w:tcW w:w="10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09"/>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warrant liabilities</w:t>
            </w: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414"/>
        </w:trPr>
        <w:tc>
          <w:tcPr>
            <w:tcW w:w="63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00" w:type="dxa"/>
            <w:vAlign w:val="bottom"/>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Measurement Category</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360" w:type="dxa"/>
            <w:vAlign w:val="bottom"/>
          </w:tcPr>
          <w:p>
            <w:pPr>
              <w:spacing w:after="0"/>
              <w:rPr>
                <w:sz w:val="20"/>
                <w:szCs w:val="20"/>
                <w:color w:val="auto"/>
              </w:rPr>
            </w:pPr>
          </w:p>
        </w:tc>
        <w:tc>
          <w:tcPr>
            <w:tcW w:w="10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09"/>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of warrant liabilities</w:t>
            </w: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bl>
    <w:p>
      <w:pPr>
        <w:spacing w:after="0" w:line="1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of the Level 3 liabilities carried at fair value on a recurring basis for the three months ended March 31, 2024 and March 31, 2025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January 1, 2024</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w:t>
            </w:r>
          </w:p>
        </w:tc>
      </w:tr>
      <w:tr>
        <w:trPr>
          <w:trHeight w:val="24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March 31, 2024</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January 1, 2025</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4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March 31, 2025</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August 2023, the FASB finalized ASU 2023-09, Income Taxes (Topic 740). This ASU provides for certain updates to enhance the transparency about companies’ exposure to changes in tax legislation and the global tax risk they may face. Under the guidance, companies will be required to provide a breakout of amounts paid for taxes between federal, state, and foreign taxing jurisdictions, rather than a lump sum amount. Further, the rate reconciliation will require disaggregation into eight specific categories, with these categories further disaggregated by jurisdiction and for amounts exceeding 5 percent of their domestic tax rate. The rate reconciliation will need to also disclose both dollar amounts and percentages. This standard is effective for fiscal years beginning after December 15, 2024. The Company is currently evaluating the impact of adopting ASU 2023-09.</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reviewed all other recently issued accounting pronouncements and concluded that they were either not applicable or not expected to have a significant impact to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2024 and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0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548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3,391</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55"/>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4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 as of</w:t>
            </w:r>
          </w:p>
        </w:tc>
        <w:tc>
          <w:tcPr>
            <w:tcW w:w="5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2024 and March 31, 2025 (in thousands):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30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4"/>
                <w:szCs w:val="24"/>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on-hand</w:t>
            </w:r>
          </w:p>
        </w:tc>
        <w:tc>
          <w:tcPr>
            <w:tcW w:w="5480" w:type="dxa"/>
            <w:vAlign w:val="bottom"/>
            <w:gridSpan w:val="2"/>
            <w:shd w:val="clear" w:color="auto" w:fill="CCEEFF"/>
          </w:tcPr>
          <w:p>
            <w:pPr>
              <w:ind w:left="49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15,752</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Inventory in-transit</w:t>
            </w:r>
          </w:p>
        </w:tc>
        <w:tc>
          <w:tcPr>
            <w:tcW w:w="49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8"/>
                <w:szCs w:val="18"/>
                <w:color w:val="auto"/>
              </w:rPr>
            </w:pPr>
          </w:p>
        </w:tc>
      </w:tr>
      <w:tr>
        <w:trPr>
          <w:trHeight w:val="249"/>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4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$3.5 million as of December 31, 2024 and March 31, 2025, respectively.</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December 31, 2024 and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freight forwarder</w:t>
            </w: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as of December 31, 2024 and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 and consultants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logistics costs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fulfillment expense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 premium financing</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Federal payroll taxes payable</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and current liabilities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8,404</w:t>
            </w:r>
          </w:p>
        </w:tc>
      </w:tr>
      <w:tr>
        <w:trPr>
          <w:trHeight w:val="20"/>
        </w:trPr>
        <w:tc>
          <w:tcPr>
            <w:tcW w:w="8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right="7800" w:firstLine="8"/>
        <w:spacing w:after="0" w:line="503" w:lineRule="auto"/>
        <w:tabs>
          <w:tab w:leader="none" w:pos="3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WARRANTS MidCap Credit Facility</w:t>
      </w:r>
    </w:p>
    <w:p>
      <w:pPr>
        <w:ind w:right="60"/>
        <w:spacing w:after="0" w:line="256" w:lineRule="auto"/>
        <w:rPr>
          <w:sz w:val="20"/>
          <w:szCs w:val="20"/>
          <w:color w:val="auto"/>
        </w:rPr>
      </w:pPr>
      <w:r>
        <w:rPr>
          <w:rFonts w:ascii="Times New Roman" w:cs="Times New Roman" w:eastAsia="Times New Roman" w:hAnsi="Times New Roman"/>
          <w:sz w:val="18"/>
          <w:szCs w:val="18"/>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minimum liquidity covenant, which includes the Company’s unrestricted U.S. cash plus the revolving loan availability,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spacing w:after="0" w:line="18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March 25, 2025 (the “Third Amendment Effective Date”) the Company entered into Amendment No. 3 (the “Amendment”) to that certain Credit and Security Agreement, dated as of December 22, 2021 (as amended from time to time, the “Credit Agreement”) by and among the Company, certain of its subsidiaries thereto, the lenders thereto (the “Lenders”) and Midcap Funding IV Trust, as administrative agent. Capitalized terms used in this section and not otherwise defined shall have the meanings assigned in the Credit Agreement. Material changes contained in the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in compliance with the financial covenants contained within the Credit Agreement as of March 31, 2025. During the three months ended March 31, 2025 and through May 1, 2025, the Company did not repurchase any shares under its authorized share repurchase program. On May 2, 2025, the Company temporarily suspended its share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as of December 31, 2024 and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5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MidCap Credit Facility</w:t>
            </w: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three months ended March 31, 2024 and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124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Warrants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March 2022, the Company raised approximately $27.5 million through a private placement involving common stock and accompanying stock purchase warrants. The 590,637 common stock warrants issued in the transaction were classified as liabilities with subsequent remeasurement each quarter. As of March 31, 2025, these warrants remain outstanding and are recorded as a $0.1 million liability on the Company’s balance sheet.</w:t>
      </w:r>
    </w:p>
    <w:p>
      <w:pPr>
        <w:sectPr>
          <w:pgSz w:w="11900" w:h="16838" w:orient="portrait"/>
          <w:cols w:equalWidth="0" w:num="1">
            <w:col w:w="11240"/>
          </w:cols>
          <w:pgMar w:left="320" w:top="121" w:right="339" w:bottom="839"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39"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equity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March 31, 2025, there were no shares reserved for future issuance under the Aterian 2014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adopted the Aterian, Inc. 2018 Equity Incentive Plan (the “2018 Plan”) on October 11, 2018. The 2018 Plan was approved by its stockholders on May 24, 2019. As of March 31, 2025, 2,106,621 shares were reserved for awards available for future issuance under the 2018 Plan.</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Equity Incentive Plan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March 31, 2025, 193,476 shares were reserved for future issuance under the Inducement Plan.</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during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63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8"/>
                <w:szCs w:val="18"/>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 Life</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46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460" w:type="dxa"/>
            <w:vAlign w:val="bottom"/>
            <w:tcBorders>
              <w:lef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March 31, 2025</w:t>
            </w: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13,051</w:t>
            </w:r>
          </w:p>
        </w:tc>
        <w:tc>
          <w:tcPr>
            <w:tcW w:w="4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3.76</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March 31, 2025</w:t>
            </w:r>
          </w:p>
        </w:tc>
        <w:tc>
          <w:tcPr>
            <w:tcW w:w="1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13,051</w:t>
            </w:r>
          </w:p>
        </w:tc>
        <w:tc>
          <w:tcPr>
            <w:tcW w:w="460" w:type="dxa"/>
            <w:vAlign w:val="bottom"/>
            <w:tcBorders>
              <w:left w:val="single" w:sz="8" w:color="CCEEFF"/>
            </w:tcBorders>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3.76</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all options have been fully expensed.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activity within the Company’s equity plans and changes for the three months ended March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788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1,310,989</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(51,488)</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50"/>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1,257,501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compensation expense related to unvested shares of restricted common stock was $3.1 million, which the Company expects to recognize over an estimated weighted-average period of 1.9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allocated based on the cost center to which the award holder belongs. The following table summarizes the total stock-based compensation expense by function, including expense related to consultants, for the three months ended March 31, 2024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3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w w:val="74"/>
              </w:rPr>
              <w:t>thousands)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47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7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r>
      <w:tr>
        <w:trPr>
          <w:trHeight w:val="24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7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r>
      <w:tr>
        <w:trPr>
          <w:trHeight w:val="413"/>
        </w:trPr>
        <w:tc>
          <w:tcPr>
            <w:tcW w:w="4240" w:type="dxa"/>
            <w:vAlign w:val="bottom"/>
            <w:tcBorders>
              <w:top w:val="single" w:sz="8" w:color="CCEEFF"/>
            </w:tcBorders>
          </w:tcPr>
          <w:p>
            <w:pPr>
              <w:spacing w:after="0"/>
              <w:rPr>
                <w:sz w:val="24"/>
                <w:szCs w:val="24"/>
                <w:color w:val="auto"/>
              </w:rPr>
            </w:pPr>
          </w:p>
        </w:tc>
        <w:tc>
          <w:tcPr>
            <w:tcW w:w="376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net loss per share, basic and diluted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6,789,955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7,452,957</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196"/>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shares excluded from computation of net loss per share (in shares)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2,074,627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1,933,242</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2024 and March 31, 2025, the Company estimates that the potential liability, including current sales tax payable is approximately $1.0 million and $0.9 million, which has been recorded in accrued and other current liabilities on the Condensed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—From time to time, the Company is party to various actions and claims arising in the normal course of business. The Company 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believe that the 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11. INTANGIBLES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 assets as of December 31, 2024 and March 31, 2025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27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Year-Ended December 31, 2024</w:t>
            </w: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21,285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5,700</w:t>
            </w: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38</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9,757</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0"/>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240" w:type="dxa"/>
            <w:vAlign w:val="bottom"/>
          </w:tcPr>
          <w:p>
            <w:pPr>
              <w:spacing w:after="0"/>
              <w:rPr>
                <w:sz w:val="24"/>
                <w:szCs w:val="24"/>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21,285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5,700</w:t>
            </w: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9,366</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10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aggregate amortization of the Company’s intangible assets for the next five years and thereafter (amounts in thousands):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68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6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22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8, 2024, the Company committed to a fixed cost-cutting plan, including a reduction in workforce which resulted in the termination of approximately 17 employees and 26 contractors globally. The Company incurred $0.6 million of restructuring charges during the year ended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summary of the restructuring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restructuring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March 31, 2025, the Company did not have a liability for restructuring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34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p>
      <w:pPr>
        <w:ind w:left="1200" w:hanging="1200"/>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551</w:t>
      </w:r>
    </w:p>
    <w:p>
      <w:pPr>
        <w:spacing w:after="0" w:line="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347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1200" w:hanging="1200"/>
        <w:spacing w:after="0"/>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p>
      <w:pPr>
        <w:ind w:left="1280" w:hanging="127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280" w:hanging="127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67" w:lineRule="exact"/>
        <w:rPr>
          <w:sz w:val="20"/>
          <w:szCs w:val="20"/>
          <w:color w:val="auto"/>
        </w:rPr>
      </w:pPr>
    </w:p>
    <w:p>
      <w:pPr>
        <w:sectPr>
          <w:pgSz w:w="11900" w:h="16838" w:orient="portrait"/>
          <w:cols w:equalWidth="0" w:num="3">
            <w:col w:w="7740" w:space="260"/>
            <w:col w:w="1480" w:space="200"/>
            <w:col w:w="1560"/>
          </w:cols>
          <w:pgMar w:left="320" w:top="121"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continue to assess the restructuring plan's progress and provide updates as required in future financial statements if there are material changes to the initial estimates or additional significant restructuring activities.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The Company has determined that it has one operating segment. The Company's chief operating decision maker ("CODM") is its chief executive officer, who reviews financial information presented on a consolidated basis. The CODM uses consolidated operating margin and net income to assess financial performance and allocate resources. These financial metrics are used by the CODM to make key operating decisions, such as the determination of the rate at which the Company seeks to grow operating margin and the allocation of budget between cost of sales, variable sales costs, and other vendor and payroll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 w:type="dxa"/>
            <w:vAlign w:val="bottom"/>
          </w:tcPr>
          <w:p>
            <w:pPr>
              <w:spacing w:after="0"/>
              <w:rPr>
                <w:sz w:val="18"/>
                <w:szCs w:val="18"/>
                <w:color w:val="auto"/>
              </w:rPr>
            </w:pPr>
          </w:p>
        </w:tc>
        <w:tc>
          <w:tcPr>
            <w:tcW w:w="14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30"/>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9"/>
                <w:szCs w:val="19"/>
                <w:color w:val="auto"/>
              </w:rPr>
            </w:pPr>
          </w:p>
        </w:tc>
        <w:tc>
          <w:tcPr>
            <w:tcW w:w="14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0"/>
                <w:szCs w:val="20"/>
                <w:color w:val="auto"/>
              </w:rPr>
            </w:pPr>
          </w:p>
        </w:tc>
        <w:tc>
          <w:tcPr>
            <w:tcW w:w="14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7,046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5,936</w:t>
            </w:r>
          </w:p>
        </w:tc>
      </w:tr>
      <w:tr>
        <w:trPr>
          <w:trHeight w:val="216"/>
        </w:trPr>
        <w:tc>
          <w:tcPr>
            <w:tcW w:w="80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Variable sales costs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10,320</w:t>
            </w: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vendor and payroll expenses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6,031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4,556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800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6"/>
                <w:szCs w:val="26"/>
                <w:color w:val="auto"/>
                <w:vertAlign w:val="superscript"/>
              </w:rPr>
              <w:t>(2)</w:t>
            </w:r>
          </w:p>
        </w:tc>
        <w:tc>
          <w:tcPr>
            <w:tcW w:w="120" w:type="dxa"/>
            <w:vAlign w:val="bottom"/>
          </w:tcPr>
          <w:p>
            <w:pPr>
              <w:spacing w:after="0"/>
              <w:rPr>
                <w:sz w:val="19"/>
                <w:szCs w:val="19"/>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248"/>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sales costs primarily include e-commerce platform commissions, online advertising, and selling and logistics expenses.</w:t>
      </w:r>
    </w:p>
    <w:p>
      <w:pPr>
        <w:spacing w:after="0" w:line="27" w:lineRule="exact"/>
        <w:rPr>
          <w:rFonts w:ascii="Times New Roman" w:cs="Times New Roman" w:eastAsia="Times New Roman" w:hAnsi="Times New Roman"/>
          <w:sz w:val="18"/>
          <w:szCs w:val="18"/>
          <w:color w:val="auto"/>
        </w:rPr>
      </w:pPr>
    </w:p>
    <w:p>
      <w:pPr>
        <w:ind w:left="400" w:hanging="248"/>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incomes taxes, interest expense, and the change in fair value of warrant liabilities.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use total assets as a financial metric when making key operating decisions.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14, 2025, the Company announced a fixed cost reduction plan, which includes a workforce reduction affecting approximately 20 employees. The Company expects to substantially complete this reduction by the end of the third quarter of 2025. In connection with this plan, the Company anticipates recognizing restructuring charges of approximately $2.3 million, primarily related to severance, during the second quarter of 2025. Severance payments are expected to be made through the second quarter of 2026.</w:t>
      </w:r>
    </w:p>
    <w:p>
      <w:pPr>
        <w:sectPr>
          <w:pgSz w:w="11900" w:h="16838" w:orient="portrait"/>
          <w:cols w:equalWidth="0" w:num="1">
            <w:col w:w="11240"/>
          </w:cols>
          <w:pgMar w:left="320" w:top="121" w:right="339" w:bottom="1440" w:gutter="0" w:footer="0" w:header="0"/>
          <w:type w:val="continuous"/>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2024 included in our Annual Report on Form 10-K for the year ended December 31, 2024 as filed with the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March 25, 2025. As discussed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 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those discussed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under Part II, Item 1A in this Quarterly Report on Form 10-Q.</w:t>
      </w:r>
    </w:p>
    <w:p>
      <w:pPr>
        <w:spacing w:after="0" w:line="185"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requires,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Aterian,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Quarterly Report on Form 10-Q refer to Aterian, Inc. and our consolidated subsidiaries, including Aterian Group,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primary brands include Squatty Potty, HomeLabs, Mueller Living, PurSteam, Healing Solutions, and Photo Paper Direct ("PPD"). We generate revenue primarily through the online sales of our various consumer products with the large majority of our sales being made through the Amazon U.S. marketplace.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 and Product Mix</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Net Revenue</w:t>
      </w:r>
      <w:r>
        <w:rPr>
          <w:rFonts w:ascii="Times New Roman" w:cs="Times New Roman" w:eastAsia="Times New Roman" w:hAnsi="Times New Roman"/>
          <w:sz w:val="18"/>
          <w:szCs w:val="18"/>
          <w:color w:val="auto"/>
        </w:rPr>
        <w:t>—We derive our revenue from the sale of consumer products, primarily in the U.S. We sell products directly to consumers through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channels and through wholesale channels. Direct-to-consumer sales (i.e., direct net revenue), which is currently the majority of our revenue, is done through various online retail channels. We sell on Amazon.com, Walmart.com, Target.com and our own websites, with the large majority of our sales being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79"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Cost of Goods Sold</w:t>
      </w:r>
      <w:r>
        <w:rPr>
          <w:rFonts w:ascii="Times New Roman" w:cs="Times New Roman" w:eastAsia="Times New Roman" w:hAnsi="Times New Roman"/>
          <w:sz w:val="18"/>
          <w:szCs w:val="18"/>
          <w:color w:val="auto"/>
        </w:rPr>
        <w:t>—Cost of goods sold consists of the book value of inventory sold to customers during the reporting period. Book value of 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the amounts we pay manufacturers for product, tariffs and duties 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our import costs and potentially lead to higher prices that reduce consumer demand​</w:t>
      </w:r>
    </w:p>
    <w:p>
      <w:pPr>
        <w:spacing w:after="0" w:line="1" w:lineRule="exact"/>
        <w:rPr>
          <w:sz w:val="20"/>
          <w:szCs w:val="20"/>
          <w:color w:val="auto"/>
        </w:rPr>
      </w:pPr>
    </w:p>
    <w:p>
      <w:pPr>
        <w:jc w:val="both"/>
        <w:ind w:right="40" w:firstLine="8"/>
        <w:spacing w:after="0" w:line="253" w:lineRule="auto"/>
        <w:tabs>
          <w:tab w:leader="none" w:pos="1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monitoring the situation closely​and are proactively evaluating strategies to mitigate the impact on our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5"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Sales and Distribution Expenses</w:t>
      </w:r>
      <w:r>
        <w:rPr>
          <w:rFonts w:ascii="Times New Roman" w:cs="Times New Roman" w:eastAsia="Times New Roman" w:hAnsi="Times New Roman"/>
          <w:sz w:val="18"/>
          <w:szCs w:val="18"/>
          <w:color w:val="auto"/>
        </w:rPr>
        <w:t>—Sales and distribution expenses consist of online advertising costs, marketing and promotional costs,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ecommerce platform commissions, fulfillment, including shipping and handling, and warehouse costs (i.e., sales and distribution variable expenses). Sales and distribution expenses also include employee cash and stock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w:t>
      </w:r>
    </w:p>
    <w:p>
      <w:pPr>
        <w:sectPr>
          <w:pgSz w:w="11900" w:h="16838" w:orient="portrait"/>
          <w:cols w:equalWidth="0" w:num="1">
            <w:col w:w="11280"/>
          </w:cols>
          <w:pgMar w:left="320" w:top="121" w:right="299" w:bottom="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—General and administrative expenses include cash and stock compensation and employee benefits for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finance administration, legal, and human resources, facility costs, insurance, travel, professional service fees, and other general overhead costs, including the costs of being a public company.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 Net</w:t>
      </w:r>
      <w:r>
        <w:rPr>
          <w:rFonts w:ascii="Times New Roman" w:cs="Times New Roman" w:eastAsia="Times New Roman" w:hAnsi="Times New Roman"/>
          <w:sz w:val="18"/>
          <w:szCs w:val="18"/>
          <w:color w:val="auto"/>
        </w:rPr>
        <w:t>—Interest expense, net includes the interest cost from our credit facility, and includes amortization of deferred finance costs and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discounts from our credit facility (the “Credit Facility”) with MidCap Funding IV Trust (“MidCap”).</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Three Months Ended March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31,</w:t>
            </w:r>
          </w:p>
        </w:tc>
        <w:tc>
          <w:tcPr>
            <w:tcW w:w="920" w:type="dxa"/>
            <w:vAlign w:val="bottom"/>
            <w:tcBorders>
              <w:bottom w:val="single" w:sz="8" w:color="auto"/>
            </w:tcBorders>
          </w:tcPr>
          <w:p>
            <w:pPr>
              <w:spacing w:after="0"/>
              <w:rPr>
                <w:sz w:val="20"/>
                <w:szCs w:val="20"/>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2025(1</w:t>
            </w:r>
          </w:p>
        </w:tc>
        <w:tc>
          <w:tcPr>
            <w:tcW w:w="2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60" w:type="dxa"/>
            <w:vAlign w:val="bottom"/>
            <w:tcBorders>
              <w:bottom w:val="single" w:sz="8" w:color="auto"/>
            </w:tcBorders>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(4,854)</w:t>
            </w: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 sold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w:t>
            </w:r>
          </w:p>
        </w:tc>
        <w:tc>
          <w:tcPr>
            <w:tcW w:w="4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distribution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(3,553)</w:t>
            </w: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(1,773)</w:t>
            </w:r>
          </w:p>
        </w:tc>
        <w:tc>
          <w:tcPr>
            <w:tcW w:w="4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(5,326)</w:t>
            </w:r>
          </w:p>
        </w:tc>
        <w:tc>
          <w:tcPr>
            <w:tcW w:w="4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4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hanging="488"/>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stock-based compensation expense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22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 sold</w:t>
            </w:r>
          </w:p>
        </w:tc>
        <w:tc>
          <w:tcPr>
            <w:tcW w:w="9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34.9</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65.1</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distribution</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65.4</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91.3</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0"/>
        </w:trPr>
        <w:tc>
          <w:tcPr>
            <w:tcW w:w="7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7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9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(25.1)</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7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sets forth our net revenue disaggregated by product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20,069</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 decreased $4.9 million, or 24.0%, during the three months ended March 31, 2025 to $15.4 million, compared to $20.2 million for the three months ended March 31, 2024. The decrease in net revenue was primarily attributable to a decrease in direct net revenue of $5.1 million, or 25.5%, which was primarily relating to a reduction in our product offering due to our SKU rationalization and changes to Amazon's marketing affiliate program, which reduced traffic and conversions on certain products.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4"/>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3,204</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9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9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office</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Housewares</w:t>
            </w:r>
          </w:p>
        </w:tc>
        <w:tc>
          <w:tcPr>
            <w:tcW w:w="94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Every category of business had a reduction in sales compared to the prior year primarily relating to the SKU rationalization that was initiated during the year ended December 31, 2023 and softness in consumer demand due to the macroeconomic environment.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he reduction in sales from our Heating, cooling and air quality products was primarily due to changes in Amazon’s marketing affiliate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7,046</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13,168</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9,424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(3,744)</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decreased by $1.1 million, from $7.0 million for the three months ended March 31, 2024 to $5.9 million for the three months ended March 31, 2025 primarily from reduced sales volumes. The decrease in cost of goods sold was primarily attributable to a decrease of $1.3 million in cost of goods sold from our direct businesses, partially offset by an increase of $0.2 million in cost of goods sold from our wholesale businesses.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from 65.1% for the three months ended March 31, 2024 to 61.4% for the three months ended March 31, 2025. The decrease in gross profit was due primarily to product mix.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Three Months Ended March</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5"/>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13,214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decreased to $9.7 million for the three months ended March 31, 2025, from $13.2 million for the three months ended March 31, 2024. This decrease is primarily attributable to the decrease in the volume of products sold in the three months ended March 31, 2025, as our e-commerce platform commissions, online advertising, selling and logistics expenses decreased to $7.4 million in the three months ended March 31, 2025 as compared to $10.3 million in the prior year period.</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sales and distribution fixed costs (e.g., salary and office expenses) including stock-based compensation decreased to $2.3 million for the three months ended March 31, 2025, from $2.9 million for the three months ended March 31, 2024. This decrease is primarily attributable to lower restructuring costs of $0.3 million, lower headcount expense of $0.2 million and lower stock-compensation expense of $0.1 million.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decreased to 62.9% for the three months ended March 31, 2025, from 65.4% for the three months ended March 31, 2024. E-commerce platform commissions, online advertising, selling and logistics expenses included within sales and distribution</w:t>
      </w:r>
    </w:p>
    <w:p>
      <w:pPr>
        <w:sectPr>
          <w:pgSz w:w="11900" w:h="16838" w:orient="portrait"/>
          <w:cols w:equalWidth="0" w:num="1">
            <w:col w:w="11240"/>
          </w:cols>
          <w:pgMar w:left="320" w:top="121" w:right="339" w:bottom="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expenses, as a percentage of net revenue, were 48.0% for the three months ended March 31, 2025 as compared to 51.1% for the three months ended March 31, 2024. This decrease in sales and distribution expenses as a percentage of revenue is primarily due to product mix and a decrease in warehousing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9"/>
          </w:tcPr>
          <w:p>
            <w:pPr>
              <w:jc w:val="center"/>
              <w:ind w:right="66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the result of a decrease of $0.8 million in stock-compensation expense, a decrease of $0.4 million in headcount expense, a decrease of $0.2 million in restructuring costs, and a decrease of $0.4 million in other miscellaneous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9"/>
          </w:tcPr>
          <w:p>
            <w:pPr>
              <w:jc w:val="center"/>
              <w:ind w:right="66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bl>
    <w:p>
      <w:pPr>
        <w:spacing w:after="0" w:line="198"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net of $0.1 million is primarily relating to a decrease in interest expense of $0.2 million due to lower average borrowings and a decrease in interest income of $0.1 million compared to the prior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market value of warrant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9"/>
          </w:tcPr>
          <w:p>
            <w:pPr>
              <w:jc w:val="center"/>
              <w:ind w:right="66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2024 and 2025 activity is related to the change in fair market value of the warrant liabilities from the common stock warrants from our March 2022 equity raise of capital. The change in fair value of warrant liabilities during the three months ending March 31, 2025 primarily relates to the reduced share price compared to the prior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2024 and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restricted cash for the period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r>
      <w:tr>
        <w:trPr>
          <w:trHeight w:val="191"/>
        </w:trPr>
        <w:tc>
          <w:tcPr>
            <w:tcW w:w="320" w:type="dxa"/>
            <w:vAlign w:val="bottom"/>
          </w:tcPr>
          <w:p>
            <w:pPr>
              <w:spacing w:after="0"/>
              <w:rPr>
                <w:sz w:val="16"/>
                <w:szCs w:val="16"/>
                <w:color w:val="auto"/>
              </w:rPr>
            </w:pPr>
          </w:p>
        </w:tc>
        <w:tc>
          <w:tcPr>
            <w:tcW w:w="116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w w:val="74"/>
              </w:rPr>
              <w:t>thousands)</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16"/>
        </w:trPr>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r>
      <w:tr>
        <w:trPr>
          <w:trHeight w:val="234"/>
        </w:trPr>
        <w:tc>
          <w:tcPr>
            <w:tcW w:w="3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$6 thousand for the three months ended March 31, 2024, resulting primarily from our net cash losses from operations of $4.4 million, inflow from working capital of $4.4 million from changes in accounts receivable, purchases of inventory and payments of accounts payable. The reduction of gross inventory of $3.0 million from December 31, 2023 to March 31, 2024 primarily relates to the liquidation of high priced excess inventory and a reduction of purchases for the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$3.9 million for the three months ended March 31, 2025, resulting primarily from our net cash losses from operations of $2.9 million, outflow from working capital of $1.0 million from changes in accounts receivable, purchases of inventory and payments of accounts payable. The working capital outflow primarily relates to purchases of our air quality products for the summer season.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used in investing activities was $0.2 million primarily related to the purchase of a minority equity investment in 4th and Heart during the three months ending 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no cash was used in investing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cash used by financing activities of $2.2 million was primarily from the net repayments for our MidCap credit facility of $1.8 million, repayment of note payable to Smash of $0.2 million and payment of insurance obligations of $0.2 million.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provided by financing activities of $0.4 million was primarily from the net borrowings for our MidCap credit facility of $0.5 million and payment of insurance obligations of $0.1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a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our future results could be materially impacted by recent changes to U.S. trade policy, including the imposition and expansion of tariffs on imports, specifically from China. A substantial portion of our products are sourced from China, and as such, the increased tariff rates will materially raise our cost of goods sold and will place pressure on our margins. While we are actively pursuing mitigation strategies—including supplier negotiations, selective price adjustments, potential geographic diversification of sourcing and fixed cost reductions—there is significant uncertainty regarding the effectiveness of these mitigation efforts. Moreover, any future changes in tariff policy or implementation of additional trade barriers could further impact our business. These trade-related uncertainties, in conjunction with our existing financial condition, raise concern about our ability to remain in compliance with financial covenants under our credit agreements and may adversely impact our liquidity position.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the date the accompanying Condensed Consolidated Financial Statements were issued (the “issuance date”), we evaluated the significance of the following adverse financial conditions in accordance with Accounting Standard Codification 205-40, Going Concern:</w:t>
      </w:r>
    </w:p>
    <w:p>
      <w:pPr>
        <w:spacing w:after="0" w:line="162" w:lineRule="exact"/>
        <w:rPr>
          <w:sz w:val="20"/>
          <w:szCs w:val="20"/>
          <w:color w:val="auto"/>
        </w:rPr>
      </w:pPr>
    </w:p>
    <w:p>
      <w:pPr>
        <w:jc w:val="both"/>
        <w:ind w:left="500" w:hanging="6"/>
        <w:spacing w:after="0" w:line="266" w:lineRule="auto"/>
        <w:tabs>
          <w:tab w:leader="none" w:pos="6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inception, we have incurred significant losses and used cash flows from operations to fund our enterprise. In this regard, during the three months ended March 31, 2025, we incurred a net loss of $3.9 million and used net cash flows from operations of $3.9 million. In addition, as of March 31, 2025, we had unrestricted cash of $14.3 million available to fund our operations and an accumulated deficit of $715.6 million.</w:t>
      </w:r>
    </w:p>
    <w:p>
      <w:pPr>
        <w:spacing w:after="0" w:line="173" w:lineRule="exact"/>
        <w:rPr>
          <w:rFonts w:ascii="Times New Roman" w:cs="Times New Roman" w:eastAsia="Times New Roman" w:hAnsi="Times New Roman"/>
          <w:sz w:val="18"/>
          <w:szCs w:val="18"/>
          <w:color w:val="auto"/>
        </w:rPr>
      </w:pPr>
    </w:p>
    <w:p>
      <w:pPr>
        <w:jc w:val="both"/>
        <w:ind w:left="460" w:hanging="2"/>
        <w:spacing w:after="0" w:line="254" w:lineRule="auto"/>
        <w:tabs>
          <w:tab w:leader="none" w:pos="5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required to remain in compliance with certain financial covenants required by the MidCap Credit facility (See Note 7, </w:t>
      </w:r>
      <w:r>
        <w:rPr>
          <w:rFonts w:ascii="Times New Roman" w:cs="Times New Roman" w:eastAsia="Times New Roman" w:hAnsi="Times New Roman"/>
          <w:sz w:val="18"/>
          <w:szCs w:val="18"/>
          <w:i w:val="1"/>
          <w:iCs w:val="1"/>
          <w:color w:val="auto"/>
        </w:rPr>
        <w:t>Credit Facility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We were in compliance with these financial covenants as of March 31, 2025, and expect to remain in compliance through at least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However, if our mitigation strategies to address the impact of tariffs are unsuccessful, we can provide no assurances that we will remain in compliance with our financial covenants. During February 2024, the Company amended its terms with Midcap Credit Facility extending the term until December 2026 and amending certain financial covenants with favorable terms.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90" w:lineRule="exact"/>
        <w:rPr>
          <w:rFonts w:ascii="Times New Roman" w:cs="Times New Roman" w:eastAsia="Times New Roman" w:hAnsi="Times New Roman"/>
          <w:sz w:val="18"/>
          <w:szCs w:val="18"/>
          <w:color w:val="auto"/>
        </w:rPr>
      </w:pPr>
    </w:p>
    <w:p>
      <w:pPr>
        <w:jc w:val="both"/>
        <w:ind w:left="460" w:hanging="2"/>
        <w:spacing w:after="0" w:line="258" w:lineRule="auto"/>
        <w:tabs>
          <w:tab w:leader="none" w:pos="5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we have no firm commitments to secure additional outside capital from lenders or investors. While we expect to continue to explore raising additional outside capital, specifically if we pursue material M&amp;A opportunities,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83" w:lineRule="exact"/>
        <w:rPr>
          <w:rFonts w:ascii="Times New Roman" w:cs="Times New Roman" w:eastAsia="Times New Roman" w:hAnsi="Times New Roman"/>
          <w:sz w:val="18"/>
          <w:szCs w:val="18"/>
          <w:color w:val="auto"/>
        </w:rPr>
      </w:pPr>
    </w:p>
    <w:p>
      <w:pPr>
        <w:jc w:val="both"/>
        <w:ind w:left="460" w:hanging="2"/>
        <w:spacing w:after="0" w:line="255" w:lineRule="auto"/>
        <w:tabs>
          <w:tab w:leader="none" w:pos="5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14, 2025, the Company announced a fixed cost reduction plan, which includes a workforce reduction affecting approximately 20 employees. The Company expects to substantially complete this reduction by the end of the third quarter of 2025. In connection with this plan, the Company anticipates recognizing restructuring charges of approximately $2.3 million, primarily related to severance, during the second quarter of 2025. Severance payments are expected to be made through the second quarter of 2026. Combined with other vendor-related cost reductions, the plan is expected to generate annualized savings of approximately $5 to $6 million.</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MidCap Credit Facility</w:t>
      </w:r>
      <w:r>
        <w:rPr>
          <w:rFonts w:ascii="Times New Roman" w:cs="Times New Roman" w:eastAsia="Times New Roman" w:hAnsi="Times New Roman"/>
          <w:sz w:val="18"/>
          <w:szCs w:val="18"/>
          <w:color w:val="auto"/>
        </w:rPr>
        <w:t>—On December 22, 2021, we entered into a Credit Facility with MidCap, pursuant to which, among other things, (i)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w:t>
      </w:r>
    </w:p>
    <w:p>
      <w:pPr>
        <w:sectPr>
          <w:pgSz w:w="11900" w:h="16838" w:orient="portrait"/>
          <w:cols w:equalWidth="0" w:num="1">
            <w:col w:w="11240"/>
          </w:cols>
          <w:pgMar w:left="320" w:top="121" w:right="339" w:bottom="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Trust a warrant to purchase up to an aggregate of 16,667 shares of our common stock, in exchange for the Lenders extending loans and other extensions of credit to us under the Credit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February 2024 amendment, The Credit Facility contained a financial covenant that required us to maintain a minimum unrestricted cash balance of (a) $12.5 million during the period from February 1st through and including May 31st of each calendar year, and (b) $15.0 million at all other times.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Condensed Consolidated Financial Statements were issued.</w:t>
      </w:r>
    </w:p>
    <w:p>
      <w:pPr>
        <w:spacing w:after="0" w:line="18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March 25, 2025 (the “Third Amendment Effective Date”) the Company entered into Amendment No. 3 (the “Amendment”) to that certain Credit and Security Agreement, dated as of December 22, 2021 (as amended from time to time, the “Credit Agreement”) by and among the Company, certain of its subsidiaries thereto, the lenders thereto (the “Lenders”) and Midcap Funding IV Trust, as administrative agent. Capitalized terms used in this section and not otherwise defined shall have the meanings assigned in the Credit Agreement. Material changes contained in the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balance on the MidCap credit facility as of December 31, 2024 and March 31, 2025 was $6.9 million and $7.5 million, respectively. The Company had $0.7 million available on the Midcap credit facility as of March 31, 2025. We are in compliance with the financial covenants contained within the Credit Agreement as of March 31, 2025.</w:t>
      </w:r>
    </w:p>
    <w:p>
      <w:pPr>
        <w:spacing w:after="0" w:line="1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Share Repurchase—</w:t>
      </w:r>
      <w:r>
        <w:rPr>
          <w:rFonts w:ascii="Times New Roman" w:cs="Times New Roman" w:eastAsia="Times New Roman" w:hAnsi="Times New Roman"/>
          <w:sz w:val="18"/>
          <w:szCs w:val="18"/>
          <w:color w:val="auto"/>
        </w:rPr>
        <w:t>On March 14, 2025, the Board of Directors authorized a share repurchase program to acquire up to $3.0 million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will have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 During the three months ended March 31, 2025 and through May 1, 2025, the Company did not repurchase any shares under its authorized share repurchase program. On May 2, 2025, the Company temporarily suspended its share repurchase program.</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Trade Policy—</w:t>
      </w:r>
      <w:r>
        <w:rPr>
          <w:rFonts w:ascii="Times New Roman" w:cs="Times New Roman" w:eastAsia="Times New Roman" w:hAnsi="Times New Roman"/>
          <w:sz w:val="18"/>
          <w:szCs w:val="18"/>
          <w:color w:val="auto"/>
        </w:rPr>
        <w:t>In the first quarter of 2025, the U.S. government announced a series of new tariff policies affecting imports from several countries,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China. While these actions impact a range of global trade flows, the new tariffs targeting imports from China are the most significant for our business. While the ultimate implications of the tariffs remain unclear, they could materially increase our import costs and potentially lead to higher prices that reduce consumer demand​. We are monitoring the situation closely​and are proactively evaluating strategies to mitigate the impact on our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condensed consolidated financial statements and the other financial data included in this Quarterly Report have been prepared in a manner that complies, in all material respects, with generally accepted accounting principles in the U.S. (“GAAP”). However, for the reasons discussed below, we have presented certain non-GAAP measures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provision (benefit) for income taxes. As used herein, Adjusted EBITDA represents EBITDA plus stock-based compensation expense, changes in fair-market value of warrant liabilities, restructuring expenses,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that EBITDA, Adjusted EBITDA and Adjusted EBITDA as a percentage of net revenue, have limitations as analytical financial measures.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neither EBITDA nor Adjusted EBITDA reflects:</w:t>
      </w:r>
    </w:p>
    <w:p>
      <w:pPr>
        <w:spacing w:after="0" w:line="207" w:lineRule="exact"/>
        <w:rPr>
          <w:sz w:val="20"/>
          <w:szCs w:val="20"/>
          <w:color w:val="auto"/>
        </w:rPr>
      </w:pPr>
    </w:p>
    <w:p>
      <w:pPr>
        <w:ind w:left="560" w:hanging="10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or future requirements for capital expenditures or mergers and acquisitions;</w:t>
      </w:r>
    </w:p>
    <w:p>
      <w:pPr>
        <w:spacing w:after="0" w:line="225" w:lineRule="exact"/>
        <w:rPr>
          <w:rFonts w:ascii="Times New Roman" w:cs="Times New Roman" w:eastAsia="Times New Roman" w:hAnsi="Times New Roman"/>
          <w:sz w:val="18"/>
          <w:szCs w:val="18"/>
          <w:color w:val="auto"/>
        </w:rPr>
      </w:pPr>
    </w:p>
    <w:p>
      <w:pPr>
        <w:ind w:left="560" w:hanging="10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or the cash requirements necessary to service interest expense or principal payments, associated with indebtedness;</w:t>
      </w:r>
    </w:p>
    <w:p>
      <w:pPr>
        <w:spacing w:after="0" w:line="225" w:lineRule="exact"/>
        <w:rPr>
          <w:rFonts w:ascii="Times New Roman" w:cs="Times New Roman" w:eastAsia="Times New Roman" w:hAnsi="Times New Roman"/>
          <w:sz w:val="18"/>
          <w:szCs w:val="18"/>
          <w:color w:val="auto"/>
        </w:rPr>
      </w:pPr>
    </w:p>
    <w:p>
      <w:pPr>
        <w:ind w:left="460" w:hanging="2"/>
        <w:spacing w:after="0" w:line="282" w:lineRule="auto"/>
        <w:tabs>
          <w:tab w:leader="none" w:pos="5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61" w:lineRule="exact"/>
        <w:rPr>
          <w:rFonts w:ascii="Times New Roman" w:cs="Times New Roman" w:eastAsia="Times New Roman" w:hAnsi="Times New Roman"/>
          <w:sz w:val="18"/>
          <w:szCs w:val="18"/>
          <w:color w:val="auto"/>
        </w:rPr>
      </w:pPr>
    </w:p>
    <w:p>
      <w:pPr>
        <w:ind w:left="560" w:hanging="10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cash requirements for our working capital needs; or</w:t>
      </w:r>
    </w:p>
    <w:p>
      <w:pPr>
        <w:spacing w:after="0" w:line="225" w:lineRule="exact"/>
        <w:rPr>
          <w:rFonts w:ascii="Times New Roman" w:cs="Times New Roman" w:eastAsia="Times New Roman" w:hAnsi="Times New Roman"/>
          <w:sz w:val="18"/>
          <w:szCs w:val="18"/>
          <w:color w:val="auto"/>
        </w:rPr>
      </w:pPr>
    </w:p>
    <w:p>
      <w:pPr>
        <w:ind w:left="560" w:hanging="102"/>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warrant liabilities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Adjusted EBITDA excludes non-cash stock-based compensation expense, which is and is expected to remain a key element of our overall long-term incentive compensation package.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62" w:lineRule="exact"/>
        <w:rPr>
          <w:sz w:val="20"/>
          <w:szCs w:val="20"/>
          <w:color w:val="auto"/>
        </w:rPr>
      </w:pPr>
    </w:p>
    <w:p>
      <w:pPr>
        <w:ind w:left="460" w:hanging="2"/>
        <w:spacing w:after="0" w:line="282" w:lineRule="auto"/>
        <w:tabs>
          <w:tab w:leader="none" w:pos="5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necessary to operate our business; research and development expenses necessary for the development, operation and support of our software platform;</w:t>
      </w:r>
    </w:p>
    <w:p>
      <w:pPr>
        <w:sectPr>
          <w:pgSz w:w="11900" w:h="16838" w:orient="portrait"/>
          <w:cols w:equalWidth="0" w:num="1">
            <w:col w:w="11240"/>
          </w:cols>
          <w:pgMar w:left="320" w:top="121" w:right="339" w:bottom="0" w:gutter="0" w:footer="0" w:header="0"/>
        </w:sectPr>
      </w:pPr>
    </w:p>
    <w:bookmarkStart w:id="32" w:name="page33"/>
    <w:bookmarkEnd w:id="32"/>
    <w:p>
      <w:pPr>
        <w:ind w:left="102" w:hanging="102"/>
        <w:spacing w:after="0"/>
        <w:tabs>
          <w:tab w:leader="none" w:pos="1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costs portion of our sales and distribution expenses including stock-based compensation expense; or</w:t>
      </w:r>
    </w:p>
    <w:p>
      <w:pPr>
        <w:spacing w:after="0" w:line="225" w:lineRule="exact"/>
        <w:rPr>
          <w:rFonts w:ascii="Times New Roman" w:cs="Times New Roman" w:eastAsia="Times New Roman" w:hAnsi="Times New Roman"/>
          <w:sz w:val="18"/>
          <w:szCs w:val="18"/>
          <w:color w:val="auto"/>
        </w:rPr>
      </w:pPr>
    </w:p>
    <w:p>
      <w:pPr>
        <w:ind w:left="102" w:hanging="102"/>
        <w:spacing w:after="0"/>
        <w:tabs>
          <w:tab w:leader="none" w:pos="1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liabilities</w:t>
      </w:r>
    </w:p>
    <w:p>
      <w:pPr>
        <w:spacing w:after="0" w:line="200" w:lineRule="exact"/>
        <w:rPr>
          <w:sz w:val="20"/>
          <w:szCs w:val="20"/>
          <w:color w:val="auto"/>
        </w:rPr>
      </w:pPr>
    </w:p>
    <w:p>
      <w:pPr>
        <w:spacing w:after="0" w:line="241" w:lineRule="exact"/>
        <w:rPr>
          <w:sz w:val="20"/>
          <w:szCs w:val="20"/>
          <w:color w:val="auto"/>
        </w:rPr>
      </w:pPr>
    </w:p>
    <w:p>
      <w:pPr>
        <w:ind w:left="5082"/>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1"/>
          </w:cols>
          <w:pgMar w:left="778" w:top="12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Margin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9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r>
      <w:tr>
        <w:trPr>
          <w:trHeight w:val="209"/>
        </w:trPr>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17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w w:val="95"/>
              </w:rPr>
              <w:t>except percentages)</w:t>
            </w: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13,168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platform commissions, online advertising, selling and logistics expenses</w:t>
            </w: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(10,320)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(7,373)</w:t>
            </w:r>
          </w:p>
        </w:tc>
      </w:tr>
      <w:tr>
        <w:trPr>
          <w:trHeight w:val="20"/>
        </w:trPr>
        <w:tc>
          <w:tcPr>
            <w:tcW w:w="79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2,848</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2,051</w:t>
            </w:r>
          </w:p>
        </w:tc>
      </w:tr>
      <w:tr>
        <w:trPr>
          <w:trHeight w:val="20"/>
        </w:trPr>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Profit as a percentage of net revenue</w:t>
            </w:r>
          </w:p>
        </w:tc>
        <w:tc>
          <w:tcPr>
            <w:tcW w:w="220" w:type="dxa"/>
            <w:vAlign w:val="bottom"/>
            <w:shd w:val="clear" w:color="auto" w:fill="CCEEFF"/>
          </w:tcPr>
          <w:p>
            <w:pPr>
              <w:spacing w:after="0"/>
              <w:rPr>
                <w:sz w:val="17"/>
                <w:szCs w:val="17"/>
                <w:color w:val="auto"/>
              </w:rPr>
            </w:pPr>
          </w:p>
        </w:tc>
        <w:tc>
          <w:tcPr>
            <w:tcW w:w="150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65.1%</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61.4%</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 as a percentage of net revenue</w:t>
            </w:r>
          </w:p>
        </w:tc>
        <w:tc>
          <w:tcPr>
            <w:tcW w:w="220" w:type="dxa"/>
            <w:vAlign w:val="bottom"/>
          </w:tcPr>
          <w:p>
            <w:pPr>
              <w:spacing w:after="0"/>
              <w:rPr>
                <w:sz w:val="20"/>
                <w:szCs w:val="20"/>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EBITDA and Adjusted EBITDA to net loss, which is the most directly comparable financial measure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34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8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r>
      <w:tr>
        <w:trPr>
          <w:trHeight w:val="209"/>
        </w:trPr>
        <w:tc>
          <w:tcPr>
            <w:tcW w:w="784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 thousands,</w:t>
            </w:r>
          </w:p>
        </w:tc>
        <w:tc>
          <w:tcPr>
            <w:tcW w:w="17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w w:val="98"/>
              </w:rPr>
              <w:t>except percentages)</w:t>
            </w:r>
          </w:p>
        </w:tc>
        <w:tc>
          <w:tcPr>
            <w:tcW w:w="2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(5,162)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(3,896)</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Pr>
          <w:p>
            <w:pPr>
              <w:spacing w:after="0"/>
              <w:rPr>
                <w:sz w:val="18"/>
                <w:szCs w:val="18"/>
                <w:color w:val="auto"/>
              </w:rPr>
            </w:pPr>
          </w:p>
        </w:tc>
        <w:tc>
          <w:tcPr>
            <w:tcW w:w="8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r>
      <w:tr>
        <w:trPr>
          <w:trHeight w:val="20"/>
        </w:trPr>
        <w:tc>
          <w:tcPr>
            <w:tcW w:w="78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920" w:type="dxa"/>
            <w:vAlign w:val="bottom"/>
          </w:tcPr>
          <w:p>
            <w:pPr>
              <w:spacing w:after="0"/>
              <w:rPr>
                <w:sz w:val="18"/>
                <w:szCs w:val="18"/>
                <w:color w:val="auto"/>
              </w:rPr>
            </w:pP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(4,340)</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(3,293)</w:t>
            </w:r>
          </w:p>
        </w:tc>
      </w:tr>
      <w:tr>
        <w:trPr>
          <w:trHeight w:val="20"/>
        </w:trPr>
        <w:tc>
          <w:tcPr>
            <w:tcW w:w="7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liabilities</w:t>
            </w:r>
          </w:p>
        </w:tc>
        <w:tc>
          <w:tcPr>
            <w:tcW w:w="920" w:type="dxa"/>
            <w:vAlign w:val="bottom"/>
          </w:tcPr>
          <w:p>
            <w:pPr>
              <w:spacing w:after="0"/>
              <w:rPr>
                <w:sz w:val="18"/>
                <w:szCs w:val="18"/>
                <w:color w:val="auto"/>
              </w:rPr>
            </w:pP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(517)</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Restructuring expense</w:t>
            </w:r>
            <w:r>
              <w:rPr>
                <w:rFonts w:ascii="Times New Roman" w:cs="Times New Roman" w:eastAsia="Times New Roman" w:hAnsi="Times New Roman"/>
                <w:sz w:val="25"/>
                <w:szCs w:val="25"/>
                <w:color w:val="auto"/>
                <w:vertAlign w:val="superscript"/>
              </w:rPr>
              <w:t>(1)</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8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1,667</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r>
      <w:tr>
        <w:trPr>
          <w:trHeight w:val="20"/>
        </w:trPr>
        <w:tc>
          <w:tcPr>
            <w:tcW w:w="7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(2,625)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(2,505)</w:t>
            </w:r>
          </w:p>
        </w:tc>
      </w:tr>
      <w:tr>
        <w:trPr>
          <w:trHeight w:val="20"/>
        </w:trPr>
        <w:tc>
          <w:tcPr>
            <w:tcW w:w="7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7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as a percentage of net revenue</w:t>
            </w:r>
          </w:p>
        </w:tc>
        <w:tc>
          <w:tcPr>
            <w:tcW w:w="920" w:type="dxa"/>
            <w:vAlign w:val="bottom"/>
          </w:tcPr>
          <w:p>
            <w:pPr>
              <w:spacing w:after="0"/>
              <w:rPr>
                <w:sz w:val="17"/>
                <w:szCs w:val="17"/>
                <w:color w:val="auto"/>
              </w:rPr>
            </w:pPr>
          </w:p>
        </w:tc>
        <w:tc>
          <w:tcPr>
            <w:tcW w:w="84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(25.5)%</w:t>
            </w:r>
          </w:p>
        </w:tc>
        <w:tc>
          <w:tcPr>
            <w:tcW w:w="300" w:type="dxa"/>
            <w:vAlign w:val="bottom"/>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(25.4)%</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bl>
    <w:p>
      <w:pPr>
        <w:spacing w:after="0" w:line="198" w:lineRule="exact"/>
        <w:rPr>
          <w:sz w:val="20"/>
          <w:szCs w:val="20"/>
          <w:color w:val="auto"/>
        </w:rPr>
      </w:pPr>
    </w:p>
    <w:p>
      <w:pPr>
        <w:ind w:left="820" w:right="20" w:hanging="488"/>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expenses include non-recurring employee severance costs relating to the Company reorganization executed during the three months ended March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our Form 10-K for the fiscal year ended December 31, 2024, the discussion and analysis of our financial condition and results of operations are based upon our consolidated financial statements, which have been prepared in conformity with accounting principles generally accepted in the United States of America (“US GAAP”). The preparation of these consolidated financial statements requires us to make estimates and assumptions that affect the amounts of assets, liabilities, revenues and expenses reported in those consolidated financial statements. These judgments can be subjective and complex, and consequently, actual results could differ from those estimates. Our most critical accounting policies and estimates relate to revenue recognition; leases; impairment of intangible assets; impairment of long-lived assets; and income taxes (including uncertain tax positions). There have been no significant changes to the Company’s accounting policies subsequent to December 31, 2024.</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Intangible asset valuation</w:t>
      </w:r>
      <w:r>
        <w:rPr>
          <w:rFonts w:ascii="Times New Roman" w:cs="Times New Roman" w:eastAsia="Times New Roman" w:hAnsi="Times New Roman"/>
          <w:sz w:val="18"/>
          <w:szCs w:val="18"/>
          <w:color w:val="auto"/>
        </w:rPr>
        <w:t>—We review long-lived assets for impairment when performance expectations, events, or changes in circumstances indicate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triggering events to test intangibles for impairment loss during the three months ended March 31,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implementation of new tariffs raised concerns about potential negative effects on the Company’s revenue and profitability. As a result, the Company identified a triggering event and performed a recoverability test for the relevant asset groups. Based on this assessment, the Company concluded that the undiscounted future cash flows expected to be generated from these asset groups exceeded their carrying amounts. Accordingly, no impairment was recognized as of March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and future operating efficiencies.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2025, our Chief Executive Officer and Chief Financial Officer concluded that our disclosure controls and procedures were effective as of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2025,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party to various actions and claims arising in the normal course of business. We do not believe that the final outcome of these matters will have a material adverse effect on our financial position or results of operations. In addition, we maintain what we believe is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operated at a loss and we may never achieve or sustain continuous profitability or positive cash flows. Further our independent registered public accounting firm included an explanatory paragraph in its report on our consolidated financial statements as of and for the year ended December 31, 2024, that raised substantial doubt about our ability to continue as a going concern.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experienced significant after-tax losses for the three months ended March 31, 2025 and 2024. In addition, our costs have increased historically and may increase further in future periods, which could negatively affect our future operating results and ability to achieve and sustain long-term ongoing profitability. For example, we may need to continue to expend substantial financial and other resources on the ideation, sourcing and development of products, our technology infrastructure, research and development,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long-term continuous profitability. Even if we do, there can be no assurance that we will be able to maintain or increase profitability on a quarterly or annual basis. Failure to achieve or sustain profitability could have a material adverse effect on our business.</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growth strategy has resulted in operating losses and negative cash flows from operations that raise substantial doubt about our ability to continue as a going concern. Our independent registered public accounting firm included an explanatory paragraph in its report on our consolidated financial statements as of and for the year ended December 31, 2024,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grow our business through new products, marketplace and geographic expansion may not be successful and may place a significant strain on our management and operational, financial and other resources.</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long-term success depends on our ability to develop and commercialize a continuing stream of new products, to expand both to new marketplaces and geographies and to leverage new technologies we may incorporate into our business. We have entered and expect to continue to enter new product categories and both new marketplaces and geographies for which we have limited or no experience. In part we rely on Amazon’s global reviews program for success in our international expansion. If that program were to be limited, reduced or discontinued, our international expansion would be negatively affected. We also in part rely on our ability to include new products as variations to existing listings on Amazon. If that strategy were no longer possible for whatever reason, our ability to launch new products could be materially affected. That strategy could also have unanticipated or unexpected negative consequences. Our efforts to grow our business place significant strain on our management, personnel, operations, systems, financial resources, and internal financial control and reporting functions, among other things. We have limited personnel and resources and have reduced headcount significantly in recent years. In order to accomplish our growth goals, our team is required to focus on such growth ventures and reallocate their time and other resources, creating risk in all aspects of our business. We face the risk that we will be unable to disrupt incumbents and that our competitors will introduce new and better products that compete with us. There are numerous uncertainties inherent in successfully developing and commercializing new products on a continuing basis and new product launches may not deliver expected growth in sales or operating results. Any new product that we develop and market may not be introduced in a timely or cost-effective manner, may contain defects, errors, quality or other issues, or may not achieve the market acceptance necessary to generate sufficient revenue or may never become profitable. If we are unable to develop and introduce a continuing stream of competitive new products, it may have an adverse effect on our business, operating results, financial condition, and cash flows. Our failure to successfully execute on our growth initiatives can negatively impact our financial results, financial condition, and cash flows.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retain or motivate key personnel, which could harm our business.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future success depends on our continuing ability to attract, motivate and retain well qualified employees. Competition for well-qualified employees in all aspects of our business is intense globally. The loss of one or more of our key personnel or our inability to promptly identify a suitable successor to a key role, including through a succession plan, could have an adverse effect on our business. Further, the Company recently announced a restructuring whereby a number of employees positions with the Company were terminated, which could have a negative effect on our ability to retain and motivate our personnel. Each of our executive officers, key personnel and other employees could terminate their employment relationship with us at any time. Moreover, we rely on stock-based compensation as a method to attract, retain and motivate our employees. If our common stock continues to be volatile or depressed, we may be unable to attract, retain and motivate employees, and if this occurs, it could have a material adverse effect on our business, operating results, financial condition, and cash flows. We do not currently maintain key person life insurance policies on any member of our senior management team or any other key employees.</w:t>
      </w:r>
    </w:p>
    <w:p>
      <w:pPr>
        <w:sectPr>
          <w:pgSz w:w="11900" w:h="16838" w:orient="portrait"/>
          <w:cols w:equalWidth="0" w:num="1">
            <w:col w:w="11240"/>
          </w:cols>
          <w:pgMar w:left="320" w:top="121" w:right="339" w:bottom="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Litigation and Government Regulation</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litigation, government investigations, product liability and recalls, and other proceedings may adversely affect our business, operating results, financial condition, and cash flows.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from time to time, involved in various claims, litigation matters and regulatory proceedings that could have a material adverse effect on us. These matters may include personal injury and other tort claims, deceptive trade practice disputes, intellectual property disputes, product recalls, contract disputes, employment and tax matters and other proceedings and litigation, including class actions lawsuits. It is not possible to predict the outcome of pending or future litigation and any such claims, with or without merit, could be time consuming and expensive, and may require the Company to incur substantial costs and divert the resources of management.</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face exposure to product liability and other claims in the event that one of our products is alleged to have resulted in property damage, bodily injury or other adverse effects. In addition, if we are required to, or voluntarily, repair, replace or refund one or more of our products, it could have a material impact on our business, operating results, financial condition and reputation.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financial condition, and cash flows. In addition, it is possible that a resolution of any claim, including as a result of a settlement, could require us to make substantial future payments, prevent us from offering certain products or services, or require us to change our business practices each of which could have a material adverse effect on our business, operating results, financial condition,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trade actions could have a material adverse effect on our business, financial position, and results of operation.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Over the past several years, the U.S. government has taken a number of trade actions that impact or could impact our operations, including imposing tariffs on certain goods imported into the United States.</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Trump administration has recently imposed a series of tariffs on U.S. trading partners. On April 2, 2025, the President issued an executive order announcing a “baseline” reciprocal tariff of 10% on all U.S. trading partners effective April 5, 2025, and higher individualized reciprocal tariffs on 57 countries (with certain product exemptions). Previously, the administration had imposed a 25% tariff on Canada and Mexico for goods not covered by the United States-Mexico-Canada Agreement, or USMCA, and tariffs equaling 20% on China. In response, several countries threatened retaliatory measures, including Canada and China, which then imposed retaliatory tariffs. Prior to when the country-specific reciprocal tariffs were scheduled to take effect, the administration delayed the effective date of such tariffs for all countries except China. The 10% baseline reciprocal tariff on all countries remains in effect, in addition to the tariffs on China (although on May 12, 2025 the Trump administration announced a reduction from the minimum of 145% to 30% as part of a 90 day negotiation period effective May 14, 2025) and Canada and Mexico (25% as of May 1, 2025) for goods that are not covered by the USMCA). Sustained uncertainty about, or the further escalation of, trade and political tensions between the United States and China could result in a disadvantageous environment in China, particularly for U.S. based companies, including retaliatory restrictions that hinder or potentially inhibit our ability to rely on contract development and manufacturing organizations and other service providers that operate in China.</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Changes in U.S. trade policy have created ongoing uncertainties in international trade relations, and it is unclear what future actions governments will or will not take with respect to tariffs or other international trade agreements and policies.</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Ongoing or new trade wars or other governmental action related to tariffs or international trade agreements or policies could reduce demand for our products and services, increase our costs, reduce our profitability, adversely impact our supply chain or otherwise have a material adverse effect on our business and results of operations.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continually evaluating the impact of the current and any possible new tariffs on our supply chain, costs and sales and are considering strategies to mitigate such impact, including reviewing sourcing options and working with our suppliers. We can provide no assurance that any strategies we implement to mitigate the impact of such tariffs or other trade actions will be successful or that any newly sourced products will be of the same quality of those previously sourced elsewhere. Given the uncertainty regarding the scope and duration of these trade actions by the U.S. government or other countries, as well as the potential for additional trade actions, the impact on our operations and results remains uncertain.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fluctuate significantly.</w:t>
      </w:r>
    </w:p>
    <w:p>
      <w:pPr>
        <w:spacing w:after="0" w:line="2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market price and trading volume of our common stock has at times experienced substantial price volatility. There has been, and we expect will continue to be, significant volatility in the market price and trading volume of our common stock. In certain instances, these fluctuations have been unrelated or disproportionate to our operating performance, financial condition, and cash flows. In addition, the market price of our common stock may be, and we believe has been, significantly impacted by investors covering large short positions in our common stock. In addition, there are many other factors that have caused and may continue to cause the market price of our common stock to fluctuate, including: our announcement of our Board’s temporary suspension of our share repurchase program, actual or anticipated variations in our quarterly operating results, or the operating results, financial condition, and cash flows of companies perceived to be similar to us; deterioration and decline in general economic, industry and/or market conditions; changes in estimates of our financial results or recommendations by equity research analysts, including any decision by equity research analysts to initiate or discontinue coverage; announcements by us or our competitors of significant acquisitions, strategic alliances or joint ventures; and changes in our capital structure, such as future issuances of securities or the incurrence of additional debt.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Rule 10b-5(1) Trading Plans. 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5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6. Exhibits.</w:t>
            </w:r>
          </w:p>
        </w:tc>
        <w:tc>
          <w:tcPr>
            <w:tcW w:w="1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20" w:type="dxa"/>
            <w:vAlign w:val="bottom"/>
            <w:gridSpan w:val="4"/>
            <w:vMerge w:val="restart"/>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2520" w:type="dxa"/>
            <w:vAlign w:val="bottom"/>
            <w:gridSpan w:val="4"/>
            <w:vMerge w:val="continue"/>
          </w:tcPr>
          <w:p>
            <w:pPr>
              <w:spacing w:after="0"/>
              <w:rPr>
                <w:sz w:val="16"/>
                <w:szCs w:val="16"/>
                <w:color w:val="auto"/>
              </w:rPr>
            </w:pP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File</w:t>
            </w:r>
          </w:p>
        </w:tc>
        <w:tc>
          <w:tcPr>
            <w:tcW w:w="0" w:type="dxa"/>
            <w:vAlign w:val="bottom"/>
          </w:tcPr>
          <w:p>
            <w:pPr>
              <w:spacing w:after="0"/>
              <w:rPr>
                <w:sz w:val="1"/>
                <w:szCs w:val="1"/>
                <w:color w:val="auto"/>
              </w:rPr>
            </w:pPr>
          </w:p>
        </w:tc>
      </w:tr>
      <w:tr>
        <w:trPr>
          <w:trHeight w:val="2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47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Number   Filing Date   Exhibit</w:t>
            </w: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31.1*</w:t>
            </w:r>
          </w:p>
        </w:tc>
        <w:tc>
          <w:tcPr>
            <w:tcW w:w="6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pursuant to Rule 13a-14(a) or 15d-</w:t>
            </w:r>
          </w:p>
        </w:tc>
      </w:tr>
      <w:tr>
        <w:trPr>
          <w:trHeight w:val="196"/>
        </w:trPr>
        <w:tc>
          <w:tcPr>
            <w:tcW w:w="1040" w:type="dxa"/>
            <w:vAlign w:val="bottom"/>
          </w:tcPr>
          <w:p>
            <w:pPr>
              <w:spacing w:after="0"/>
              <w:rPr>
                <w:sz w:val="17"/>
                <w:szCs w:val="17"/>
                <w:color w:val="auto"/>
              </w:rPr>
            </w:pPr>
          </w:p>
        </w:tc>
        <w:tc>
          <w:tcPr>
            <w:tcW w:w="33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14(a) of the Securities Exchange Act of 1934.</w:t>
            </w:r>
          </w:p>
        </w:tc>
        <w:tc>
          <w:tcPr>
            <w:tcW w:w="2780" w:type="dxa"/>
            <w:vAlign w:val="bottom"/>
            <w:gridSpan w:val="2"/>
          </w:tcPr>
          <w:p>
            <w:pPr>
              <w:spacing w:after="0"/>
              <w:rPr>
                <w:sz w:val="17"/>
                <w:szCs w:val="17"/>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31.2*</w:t>
            </w: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Certifications of the Principal Financial Officer pursuant to Rule 13a-14(a) or 15d-</w:t>
            </w:r>
          </w:p>
        </w:tc>
      </w:tr>
      <w:tr>
        <w:trPr>
          <w:trHeight w:val="196"/>
        </w:trPr>
        <w:tc>
          <w:tcPr>
            <w:tcW w:w="10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14(a) of the Securities Exchange Act of 1934.</w:t>
            </w:r>
          </w:p>
        </w:tc>
        <w:tc>
          <w:tcPr>
            <w:tcW w:w="27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32.1**</w:t>
            </w:r>
          </w:p>
        </w:tc>
        <w:tc>
          <w:tcPr>
            <w:tcW w:w="6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and Principal Financial Officer</w:t>
            </w:r>
          </w:p>
        </w:tc>
      </w:tr>
      <w:tr>
        <w:trPr>
          <w:trHeight w:val="196"/>
        </w:trPr>
        <w:tc>
          <w:tcPr>
            <w:tcW w:w="1040" w:type="dxa"/>
            <w:vAlign w:val="bottom"/>
          </w:tcPr>
          <w:p>
            <w:pPr>
              <w:spacing w:after="0"/>
              <w:rPr>
                <w:sz w:val="17"/>
                <w:szCs w:val="17"/>
                <w:color w:val="auto"/>
              </w:rPr>
            </w:pPr>
          </w:p>
        </w:tc>
        <w:tc>
          <w:tcPr>
            <w:tcW w:w="6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 pursuant to Section 906 of the</w:t>
            </w:r>
          </w:p>
        </w:tc>
      </w:tr>
      <w:tr>
        <w:trPr>
          <w:trHeight w:val="196"/>
        </w:trPr>
        <w:tc>
          <w:tcPr>
            <w:tcW w:w="104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9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101.INS</w:t>
            </w: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101.SCH</w:t>
            </w: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101.CAL</w:t>
            </w: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101.DEF</w:t>
            </w: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101.LAB</w:t>
            </w: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101.PRE</w:t>
            </w:r>
          </w:p>
        </w:tc>
        <w:tc>
          <w:tcPr>
            <w:tcW w:w="6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right="5060" w:firstLine="348"/>
        <w:spacing w:after="0" w:line="386" w:lineRule="auto"/>
        <w:tabs>
          <w:tab w:leader="none" w:pos="11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 Filed herewith.</w:t>
      </w: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ATERIAN,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30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Arturo Rodriguez</w:t>
            </w:r>
          </w:p>
        </w:tc>
      </w:tr>
      <w:tr>
        <w:trPr>
          <w:trHeight w:val="189"/>
        </w:trPr>
        <w:tc>
          <w:tcPr>
            <w:tcW w:w="3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16"/>
        </w:trPr>
        <w:tc>
          <w:tcPr>
            <w:tcW w:w="3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w:t>
            </w:r>
            <w:r>
              <w:rPr>
                <w:rFonts w:ascii="Times New Roman" w:cs="Times New Roman" w:eastAsia="Times New Roman" w:hAnsi="Times New Roman"/>
                <w:sz w:val="18"/>
                <w:szCs w:val="18"/>
                <w:i w:val="1"/>
                <w:iCs w:val="1"/>
                <w:color w:val="auto"/>
              </w:rPr>
              <w:t>r</w:t>
            </w:r>
          </w:p>
        </w:tc>
      </w:tr>
      <w:tr>
        <w:trPr>
          <w:trHeight w:val="236"/>
        </w:trPr>
        <w:tc>
          <w:tcPr>
            <w:tcW w:w="3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30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Feldman</w:t>
            </w:r>
          </w:p>
        </w:tc>
      </w:tr>
      <w:tr>
        <w:trPr>
          <w:trHeight w:val="191"/>
        </w:trPr>
        <w:tc>
          <w:tcPr>
            <w:tcW w:w="3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Feldman</w:t>
            </w:r>
          </w:p>
        </w:tc>
      </w:tr>
      <w:tr>
        <w:trPr>
          <w:trHeight w:val="214"/>
        </w:trPr>
        <w:tc>
          <w:tcPr>
            <w:tcW w:w="3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648"/>
        </w:trPr>
        <w:tc>
          <w:tcPr>
            <w:tcW w:w="3500" w:type="dxa"/>
            <w:vAlign w:val="bottom"/>
          </w:tcPr>
          <w:p>
            <w:pPr>
              <w:spacing w:after="0"/>
              <w:rPr>
                <w:sz w:val="24"/>
                <w:szCs w:val="24"/>
                <w:color w:val="auto"/>
              </w:rPr>
            </w:pPr>
          </w:p>
        </w:tc>
        <w:tc>
          <w:tcPr>
            <w:tcW w:w="3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34</w:t>
            </w:r>
          </w:p>
        </w:tc>
        <w:tc>
          <w:tcPr>
            <w:tcW w:w="46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Arturo Rodriguez, certify that:</w:t>
      </w:r>
    </w:p>
    <w:p>
      <w:pPr>
        <w:spacing w:after="0" w:line="225" w:lineRule="exact"/>
        <w:rPr>
          <w:sz w:val="20"/>
          <w:szCs w:val="20"/>
          <w:color w:val="auto"/>
        </w:rPr>
      </w:pPr>
    </w:p>
    <w:p>
      <w:pPr>
        <w:ind w:left="600" w:hanging="178"/>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225" w:lineRule="exact"/>
        <w:rPr>
          <w:rFonts w:ascii="Times New Roman" w:cs="Times New Roman" w:eastAsia="Times New Roman" w:hAnsi="Times New Roman"/>
          <w:sz w:val="18"/>
          <w:szCs w:val="18"/>
          <w:color w:val="auto"/>
        </w:rPr>
      </w:pPr>
    </w:p>
    <w:p>
      <w:pPr>
        <w:ind w:left="420" w:right="180" w:firstLine="2"/>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20" w:right="140" w:firstLine="2"/>
        <w:spacing w:after="0" w:line="282"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right="340" w:firstLine="2"/>
        <w:spacing w:after="0" w:line="266"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60" w:hanging="6"/>
        <w:spacing w:after="0" w:line="266" w:lineRule="auto"/>
        <w:tabs>
          <w:tab w:leader="none" w:pos="10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60" w:right="400" w:hanging="6"/>
        <w:spacing w:after="0" w:line="26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60" w:right="520" w:hanging="6"/>
        <w:spacing w:after="0" w:line="312" w:lineRule="auto"/>
        <w:tabs>
          <w:tab w:leader="none" w:pos="103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60" w:right="180" w:hanging="6"/>
        <w:spacing w:after="0" w:line="26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20" w:right="60" w:firstLine="2"/>
        <w:spacing w:after="0" w:line="282"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60" w:right="740" w:hanging="6"/>
        <w:spacing w:after="0" w:line="282" w:lineRule="auto"/>
        <w:tabs>
          <w:tab w:leader="none" w:pos="103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60" w:right="420" w:hanging="6"/>
        <w:spacing w:after="0" w:line="282"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Feldman, certify that:</w:t>
      </w:r>
    </w:p>
    <w:p>
      <w:pPr>
        <w:spacing w:after="0" w:line="225" w:lineRule="exact"/>
        <w:rPr>
          <w:sz w:val="20"/>
          <w:szCs w:val="20"/>
          <w:color w:val="auto"/>
        </w:rPr>
      </w:pPr>
    </w:p>
    <w:p>
      <w:pPr>
        <w:ind w:left="600" w:hanging="178"/>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225" w:lineRule="exact"/>
        <w:rPr>
          <w:rFonts w:ascii="Times New Roman" w:cs="Times New Roman" w:eastAsia="Times New Roman" w:hAnsi="Times New Roman"/>
          <w:sz w:val="18"/>
          <w:szCs w:val="18"/>
          <w:color w:val="auto"/>
        </w:rPr>
      </w:pPr>
    </w:p>
    <w:p>
      <w:pPr>
        <w:ind w:left="420" w:right="180" w:firstLine="2"/>
        <w:spacing w:after="0" w:line="266"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20" w:right="140" w:firstLine="2"/>
        <w:spacing w:after="0" w:line="282"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right="340" w:firstLine="2"/>
        <w:spacing w:after="0" w:line="266"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60" w:hanging="6"/>
        <w:spacing w:after="0" w:line="266" w:lineRule="auto"/>
        <w:tabs>
          <w:tab w:leader="none" w:pos="10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60" w:right="400" w:hanging="6"/>
        <w:spacing w:after="0" w:line="266"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60" w:right="520" w:hanging="6"/>
        <w:spacing w:after="0" w:line="312" w:lineRule="auto"/>
        <w:tabs>
          <w:tab w:leader="none" w:pos="103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60" w:right="180" w:hanging="6"/>
        <w:spacing w:after="0" w:line="266"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20" w:right="60" w:firstLine="2"/>
        <w:spacing w:after="0" w:line="282" w:lineRule="auto"/>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60" w:right="740" w:hanging="6"/>
        <w:spacing w:after="0" w:line="282" w:lineRule="auto"/>
        <w:tabs>
          <w:tab w:leader="none" w:pos="103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60" w:right="420" w:hanging="6"/>
        <w:spacing w:after="0" w:line="282" w:lineRule="auto"/>
        <w:tabs>
          <w:tab w:leader="none" w:pos="10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Feldman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44" w:name="page45"/>
    <w:bookmarkEnd w:id="44"/>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41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Aterian, Inc. (the “Company”) for the period ended March 31, 2025 as filed with the Securities and Exchange Commission on the date hereof (the “Report”), the undersigned hereby certify, pursuant to 18 U.S.C. Section 1350, as adopted pursuant to Section 906 of the Sarbanes-Oxley Act of 2002, to their knowledge that:</w:t>
      </w:r>
    </w:p>
    <w:p>
      <w:pPr>
        <w:spacing w:after="0" w:line="176" w:lineRule="exact"/>
        <w:rPr>
          <w:sz w:val="20"/>
          <w:szCs w:val="20"/>
          <w:color w:val="auto"/>
        </w:rPr>
      </w:pPr>
    </w:p>
    <w:p>
      <w:pPr>
        <w:ind w:left="680" w:hanging="258"/>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80" w:hanging="258"/>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 Arturo Rodriguez</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 / Joshua Feldman</w:t>
            </w:r>
          </w:p>
        </w:tc>
      </w:tr>
      <w:tr>
        <w:trPr>
          <w:trHeight w:val="189"/>
        </w:trPr>
        <w:tc>
          <w:tcPr>
            <w:tcW w:w="54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Arturo Rodriguez</w:t>
            </w:r>
          </w:p>
        </w:tc>
        <w:tc>
          <w:tcPr>
            <w:tcW w:w="460" w:type="dxa"/>
            <w:vAlign w:val="bottom"/>
          </w:tcPr>
          <w:p>
            <w:pPr>
              <w:spacing w:after="0"/>
              <w:rPr>
                <w:sz w:val="16"/>
                <w:szCs w:val="16"/>
                <w:color w:val="auto"/>
              </w:rPr>
            </w:pPr>
          </w:p>
        </w:tc>
        <w:tc>
          <w:tcPr>
            <w:tcW w:w="5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Joshua Feldman</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18"/>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May 15, 2025</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May 15, 2025</w:t>
            </w:r>
          </w:p>
        </w:tc>
      </w:tr>
    </w:tbl>
    <w:p>
      <w:pPr>
        <w:spacing w:after="0" w:line="198" w:lineRule="exact"/>
        <w:rPr>
          <w:sz w:val="20"/>
          <w:szCs w:val="20"/>
          <w:color w:val="auto"/>
        </w:rPr>
      </w:pPr>
    </w:p>
    <w:p>
      <w:pPr>
        <w:ind w:right="460" w:firstLine="41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80" w:firstLine="414"/>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lvl w:ilvl="1">
      <w:lvlJc w:val="left"/>
      <w:lvlText w:val="•"/>
      <w:numFmt w:val="bullet"/>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lvl w:ilvl="1">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lvl w:ilvl="1">
      <w:lvlJc w:val="left"/>
      <w:lvlText w:val="%2"/>
      <w:numFmt w:val="decimal"/>
      <w:start w:val="104"/>
    </w:lvl>
  </w:abstractNum>
  <w:abstractNum w:abstractNumId="24">
    <w:nsid w:val="189A769B"/>
    <w:multiLevelType w:val="hybridMultilevel"/>
    <w:lvl w:ilvl="0">
      <w:lvlJc w:val="left"/>
      <w:lvlText w:val="**"/>
      <w:numFmt w:val="bullet"/>
      <w:start w:val="1"/>
    </w:lvl>
    <w:lvl w:ilvl="1">
      <w:lvlJc w:val="left"/>
      <w:lvlText w:val="%2"/>
      <w:numFmt w:val="decimal"/>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2025-05-15T15:14:29Z</dcterms:created>
  <dcterms:modified xsi:type="dcterms:W3CDTF">2025-05-15T15:14:29Z</dcterms:modified>
</cp:coreProperties>
</file>