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4"/>
          <w:szCs w:val="24"/>
          <w:color w:val="auto"/>
        </w:rPr>
      </w:pPr>
    </w:p>
    <w:p>
      <w:pPr>
        <w:ind w:left="4200" w:right="1620" w:hanging="4192"/>
        <w:spacing w:after="0" w:line="344" w:lineRule="auto"/>
        <w:tabs>
          <w:tab w:leader="none" w:pos="4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-4445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43"/>
          <w:szCs w:val="43"/>
          <w:b w:val="1"/>
          <w:bCs w:val="1"/>
          <w:color w:val="auto"/>
        </w:rPr>
        <w:t>Aterian,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243"/>
              <w:spacing w:after="0"/>
              <w:rPr>
                <w:sz w:val="20"/>
                <w:szCs w:val="20"/>
                <w:color w:val="auto"/>
              </w:rPr>
            </w:pPr>
            <w:r>
              <w:rPr>
                <w:rFonts w:ascii="Times New Roman" w:cs="Times New Roman" w:eastAsia="Times New Roman" w:hAnsi="Times New Roman"/>
                <w:sz w:val="18"/>
                <w:szCs w:val="18"/>
                <w:b w:val="1"/>
                <w:bCs w:val="1"/>
                <w:color w:val="auto"/>
              </w:rPr>
              <w:t>83-1739858</w:t>
            </w:r>
          </w:p>
        </w:tc>
      </w:tr>
      <w:tr>
        <w:trPr>
          <w:trHeight w:val="148"/>
        </w:trPr>
        <w:tc>
          <w:tcPr>
            <w:tcW w:w="3940" w:type="dxa"/>
            <w:vAlign w:val="bottom"/>
          </w:tcPr>
          <w:p>
            <w:pPr>
              <w:jc w:val="center"/>
              <w:ind w:left="150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60" w:type="dxa"/>
            <w:vAlign w:val="bottom"/>
          </w:tcPr>
          <w:p>
            <w:pPr>
              <w:jc w:val="center"/>
              <w:ind w:right="164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tcPr>
          <w:p>
            <w:pPr>
              <w:jc w:val="center"/>
              <w:ind w:right="166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44"/>
        </w:trPr>
        <w:tc>
          <w:tcPr>
            <w:tcW w:w="3940" w:type="dxa"/>
            <w:vAlign w:val="bottom"/>
          </w:tcPr>
          <w:p>
            <w:pPr>
              <w:jc w:val="center"/>
              <w:ind w:left="1521"/>
              <w:spacing w:after="0"/>
              <w:rPr>
                <w:sz w:val="20"/>
                <w:szCs w:val="20"/>
                <w:color w:val="auto"/>
              </w:rPr>
            </w:pPr>
            <w:r>
              <w:rPr>
                <w:rFonts w:ascii="Times New Roman" w:cs="Times New Roman" w:eastAsia="Times New Roman" w:hAnsi="Times New Roman"/>
                <w:sz w:val="18"/>
                <w:szCs w:val="18"/>
                <w:b w:val="1"/>
                <w:bCs w:val="1"/>
                <w:color w:val="auto"/>
                <w:w w:val="99"/>
              </w:rPr>
              <w:t>37 East 18th Street, 7th Floor</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8"/>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443"/>
              <w:spacing w:after="0"/>
              <w:rPr>
                <w:sz w:val="20"/>
                <w:szCs w:val="20"/>
                <w:color w:val="auto"/>
              </w:rPr>
            </w:pPr>
            <w:r>
              <w:rPr>
                <w:rFonts w:ascii="Times New Roman" w:cs="Times New Roman" w:eastAsia="Times New Roman" w:hAnsi="Times New Roman"/>
                <w:sz w:val="18"/>
                <w:szCs w:val="18"/>
                <w:b w:val="1"/>
                <w:bCs w:val="1"/>
                <w:color w:val="auto"/>
              </w:rPr>
              <w:t>10003</w:t>
            </w:r>
          </w:p>
        </w:tc>
      </w:tr>
      <w:tr>
        <w:trPr>
          <w:trHeight w:val="166"/>
        </w:trPr>
        <w:tc>
          <w:tcPr>
            <w:tcW w:w="3940" w:type="dxa"/>
            <w:vAlign w:val="bottom"/>
          </w:tcPr>
          <w:p>
            <w:pPr>
              <w:jc w:val="center"/>
              <w:ind w:left="150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760" w:type="dxa"/>
            <w:vAlign w:val="bottom"/>
          </w:tcPr>
          <w:p>
            <w:pPr>
              <w:jc w:val="center"/>
              <w:ind w:right="1663"/>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80"/>
        </w:trPr>
        <w:tc>
          <w:tcPr>
            <w:tcW w:w="3940" w:type="dxa"/>
            <w:vAlign w:val="bottom"/>
          </w:tcPr>
          <w:p>
            <w:pPr>
              <w:spacing w:after="0"/>
              <w:rPr>
                <w:sz w:val="15"/>
                <w:szCs w:val="15"/>
                <w:color w:val="auto"/>
              </w:rPr>
            </w:pPr>
          </w:p>
        </w:tc>
        <w:tc>
          <w:tcPr>
            <w:tcW w:w="280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(347) 676-1681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90"/>
        </w:trPr>
        <w:tc>
          <w:tcPr>
            <w:tcW w:w="3940" w:type="dxa"/>
            <w:vAlign w:val="bottom"/>
          </w:tcPr>
          <w:p>
            <w:pPr>
              <w:spacing w:after="0"/>
              <w:rPr>
                <w:sz w:val="16"/>
                <w:szCs w:val="16"/>
                <w:color w:val="auto"/>
              </w:rPr>
            </w:pPr>
          </w:p>
        </w:tc>
        <w:tc>
          <w:tcPr>
            <w:tcW w:w="354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r>
      <w:tr>
        <w:trPr>
          <w:trHeight w:val="78"/>
        </w:trPr>
        <w:tc>
          <w:tcPr>
            <w:tcW w:w="44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760" w:type="dxa"/>
            <w:vAlign w:val="bottom"/>
          </w:tcPr>
          <w:p>
            <w:pPr>
              <w:spacing w:after="0"/>
              <w:rPr>
                <w:sz w:val="6"/>
                <w:szCs w:val="6"/>
                <w:color w:val="auto"/>
              </w:rPr>
            </w:pPr>
          </w:p>
        </w:tc>
      </w:tr>
      <w:tr>
        <w:trPr>
          <w:trHeight w:val="258"/>
        </w:trPr>
        <w:tc>
          <w:tcPr>
            <w:tcW w:w="7480" w:type="dxa"/>
            <w:vAlign w:val="bottom"/>
            <w:gridSpan w:val="8"/>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22"/>
                <w:szCs w:val="22"/>
                <w:color w:val="auto"/>
              </w:rPr>
            </w:pPr>
          </w:p>
        </w:tc>
      </w:tr>
      <w:tr>
        <w:trPr>
          <w:trHeight w:val="222"/>
        </w:trPr>
        <w:tc>
          <w:tcPr>
            <w:tcW w:w="3940" w:type="dxa"/>
            <w:vAlign w:val="bottom"/>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4"/>
        </w:trPr>
        <w:tc>
          <w:tcPr>
            <w:tcW w:w="3940" w:type="dxa"/>
            <w:vAlign w:val="bottom"/>
            <w:tcBorders>
              <w:top w:val="single" w:sz="8" w:color="auto"/>
            </w:tcBorders>
          </w:tcPr>
          <w:p>
            <w:pPr>
              <w:jc w:val="center"/>
              <w:ind w:left="381"/>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5"/>
              </w:rPr>
              <w:t>ATER</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right="523"/>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46" w:lineRule="exact"/>
        <w:rPr>
          <w:sz w:val="24"/>
          <w:szCs w:val="24"/>
          <w:color w:val="auto"/>
        </w:rPr>
      </w:pPr>
    </w:p>
    <w:p>
      <w:pPr>
        <w:jc w:val="both"/>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30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42" w:lineRule="exact"/>
        <w:rPr>
          <w:sz w:val="24"/>
          <w:szCs w:val="24"/>
          <w:color w:val="auto"/>
        </w:rPr>
      </w:pPr>
    </w:p>
    <w:p>
      <w:pPr>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20" w:right="21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5, 2022, the registrant had 69,472,600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2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200" w:type="dxa"/>
            <w:vAlign w:val="bottom"/>
            <w:gridSpan w:val="2"/>
            <w:vMerge w:val="continue"/>
          </w:tcPr>
          <w:p>
            <w:pPr>
              <w:spacing w:after="0"/>
              <w:rPr>
                <w:sz w:val="14"/>
                <w:szCs w:val="14"/>
                <w:color w:val="auto"/>
              </w:rPr>
            </w:pPr>
          </w:p>
        </w:tc>
        <w:tc>
          <w:tcPr>
            <w:tcW w:w="9420" w:type="dxa"/>
            <w:vAlign w:val="bottom"/>
            <w:gridSpan w:val="18"/>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w:t>
            </w:r>
          </w:p>
        </w:tc>
        <w:tc>
          <w:tcPr>
            <w:tcW w:w="502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w:t>
            </w:r>
          </w:p>
        </w:tc>
        <w:tc>
          <w:tcPr>
            <w:tcW w:w="502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62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7"/>
                <w:szCs w:val="17"/>
                <w:color w:val="auto"/>
              </w:rPr>
            </w:pPr>
          </w:p>
        </w:tc>
        <w:tc>
          <w:tcPr>
            <w:tcW w:w="29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64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520" w:type="dxa"/>
            <w:vAlign w:val="bottom"/>
            <w:gridSpan w:val="12"/>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420" w:type="dxa"/>
            <w:vAlign w:val="bottom"/>
            <w:tcBorders>
              <w:top w:val="single" w:sz="8" w:color="0000EE"/>
            </w:tcBorders>
            <w:gridSpan w:val="2"/>
          </w:tcPr>
          <w:p>
            <w:pPr>
              <w:spacing w:after="0"/>
              <w:rPr>
                <w:sz w:val="17"/>
                <w:szCs w:val="17"/>
                <w:color w:val="auto"/>
              </w:rPr>
            </w:pPr>
          </w:p>
        </w:tc>
        <w:tc>
          <w:tcPr>
            <w:tcW w:w="8080" w:type="dxa"/>
            <w:vAlign w:val="bottom"/>
            <w:gridSpan w:val="1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6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7080" w:type="dxa"/>
            <w:vAlign w:val="bottom"/>
            <w:gridSpan w:val="10"/>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7640" w:type="dxa"/>
            <w:vAlign w:val="bottom"/>
            <w:gridSpan w:val="1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100" w:type="dxa"/>
            <w:vAlign w:val="bottom"/>
            <w:gridSpan w:val="1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2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885"/>
        </w:trPr>
        <w:tc>
          <w:tcPr>
            <w:tcW w:w="7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gridSpan w:val="16"/>
          </w:tcPr>
          <w:p>
            <w:pPr>
              <w:ind w:left="4380"/>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4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91" w:lineRule="exact"/>
        <w:rPr>
          <w:sz w:val="20"/>
          <w:szCs w:val="20"/>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880" w:hanging="373"/>
        <w:spacing w:after="0" w:line="284"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potential impact of the COVID-19 global pandemic and Russian invasion of Ukraine on our business, revenue and financial condition, our supply chain, our operations and our research and development;</w:t>
      </w:r>
    </w:p>
    <w:p>
      <w:pPr>
        <w:spacing w:after="0" w:line="50"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financial performance, including our revenue, costs of goods sold and operating expenses;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sustain and grow net revenue and profitability;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sufficiency of our cash to meet our liquidity and operational needs and to execute our growth strategies, including potential acquisitions;</w:t>
      </w:r>
    </w:p>
    <w:p>
      <w:pPr>
        <w:spacing w:after="0" w:line="115" w:lineRule="exact"/>
        <w:rPr>
          <w:rFonts w:ascii="Times New Roman" w:cs="Times New Roman" w:eastAsia="Times New Roman" w:hAnsi="Times New Roman"/>
          <w:sz w:val="18"/>
          <w:szCs w:val="18"/>
          <w:color w:val="auto"/>
        </w:rPr>
      </w:pPr>
    </w:p>
    <w:p>
      <w:pPr>
        <w:ind w:left="880" w:right="20" w:hanging="373"/>
        <w:spacing w:after="0" w:line="28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the security and availability of our technology platform, including our AIMEE (</w:t>
      </w: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8"/>
          <w:szCs w:val="18"/>
          <w:i w:val="1"/>
          <w:iCs w:val="1"/>
          <w:color w:val="auto"/>
        </w:rPr>
        <w:t xml:space="preserve">rtificial </w:t>
      </w:r>
      <w:r>
        <w:rPr>
          <w:rFonts w:ascii="Times New Roman" w:cs="Times New Roman" w:eastAsia="Times New Roman" w:hAnsi="Times New Roman"/>
          <w:sz w:val="18"/>
          <w:szCs w:val="18"/>
          <w:b w:val="1"/>
          <w:bCs w:val="1"/>
          <w:i w:val="1"/>
          <w:iCs w:val="1"/>
          <w:color w:val="auto"/>
        </w:rPr>
        <w:t>I</w:t>
      </w:r>
      <w:r>
        <w:rPr>
          <w:rFonts w:ascii="Times New Roman" w:cs="Times New Roman" w:eastAsia="Times New Roman" w:hAnsi="Times New Roman"/>
          <w:sz w:val="18"/>
          <w:szCs w:val="18"/>
          <w:i w:val="1"/>
          <w:iCs w:val="1"/>
          <w:color w:val="auto"/>
        </w:rPr>
        <w:t xml:space="preserve">ntelligence </w:t>
      </w:r>
      <w:r>
        <w:rPr>
          <w:rFonts w:ascii="Times New Roman" w:cs="Times New Roman" w:eastAsia="Times New Roman" w:hAnsi="Times New Roman"/>
          <w:sz w:val="18"/>
          <w:szCs w:val="18"/>
          <w:b w:val="1"/>
          <w:bCs w:val="1"/>
          <w:i w:val="1"/>
          <w:iCs w:val="1"/>
          <w:color w:val="auto"/>
        </w:rPr>
        <w:t>M</w:t>
      </w:r>
      <w:r>
        <w:rPr>
          <w:rFonts w:ascii="Times New Roman" w:cs="Times New Roman" w:eastAsia="Times New Roman" w:hAnsi="Times New Roman"/>
          <w:sz w:val="18"/>
          <w:szCs w:val="18"/>
          <w:i w:val="1"/>
          <w:iCs w:val="1"/>
          <w:color w:val="auto"/>
        </w:rPr>
        <w:t xml:space="preserve">arketplace </w:t>
      </w:r>
      <w:r>
        <w:rPr>
          <w:rFonts w:ascii="Times New Roman" w:cs="Times New Roman" w:eastAsia="Times New Roman" w:hAnsi="Times New Roman"/>
          <w:sz w:val="18"/>
          <w:szCs w:val="18"/>
          <w:b w:val="1"/>
          <w:bCs w:val="1"/>
          <w:i w:val="1"/>
          <w:iCs w:val="1"/>
          <w:color w:val="auto"/>
        </w:rPr>
        <w:t>e</w:t>
      </w:r>
      <w:r>
        <w:rPr>
          <w:rFonts w:ascii="Times New Roman" w:cs="Times New Roman" w:eastAsia="Times New Roman" w:hAnsi="Times New Roman"/>
          <w:sz w:val="18"/>
          <w:szCs w:val="18"/>
          <w:i w:val="1"/>
          <w:iCs w:val="1"/>
          <w:color w:val="auto"/>
        </w:rPr>
        <w:t xml:space="preserve">-Commerce </w:t>
      </w:r>
      <w:r>
        <w:rPr>
          <w:rFonts w:ascii="Times New Roman" w:cs="Times New Roman" w:eastAsia="Times New Roman" w:hAnsi="Times New Roman"/>
          <w:sz w:val="18"/>
          <w:szCs w:val="18"/>
          <w:b w:val="1"/>
          <w:bCs w:val="1"/>
          <w:i w:val="1"/>
          <w:iCs w:val="1"/>
          <w:color w:val="auto"/>
        </w:rPr>
        <w:t>E</w:t>
      </w:r>
      <w:r>
        <w:rPr>
          <w:rFonts w:ascii="Times New Roman" w:cs="Times New Roman" w:eastAsia="Times New Roman" w:hAnsi="Times New Roman"/>
          <w:sz w:val="18"/>
          <w:szCs w:val="18"/>
          <w:i w:val="1"/>
          <w:iCs w:val="1"/>
          <w:color w:val="auto"/>
        </w:rPr>
        <w:t>ngine) software platform;</w:t>
      </w:r>
    </w:p>
    <w:p>
      <w:pPr>
        <w:spacing w:after="0" w:line="48"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launch new products;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manage supply chain risks and opportunities;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predictions about industry and market trends;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expand internationally;</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effectively manage our growth and future expenses;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identify, acquire, integrate and maintain the financial performance of potential acquisitions;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protect and enhance our intellectual property, including our AIMEE software platform;</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comply with laws and regulations applying to our business, including new or modified laws and regulations;</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attract and retain key personnel;</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successfully defend litigation brought against us or to pursue litigation; and</w:t>
      </w:r>
    </w:p>
    <w:p>
      <w:pPr>
        <w:spacing w:after="0" w:line="117" w:lineRule="exact"/>
        <w:rPr>
          <w:rFonts w:ascii="Times New Roman" w:cs="Times New Roman" w:eastAsia="Times New Roman" w:hAnsi="Times New Roman"/>
          <w:sz w:val="18"/>
          <w:szCs w:val="18"/>
          <w:color w:val="auto"/>
        </w:rPr>
      </w:pPr>
    </w:p>
    <w:p>
      <w:pPr>
        <w:ind w:left="880" w:hanging="373"/>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increased expenses and obligations associated with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caution you that the foregoing list may not contain all the forward-looking statements made in this Quarterly Report on Form 10-Q.</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highly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of this Quarterly Report on Form 10-Q (the “MD&amp;A”), we present certain financial measures that are derived from our consolidated financial data but are not presented in our financial statements that are prepared in accordance with U.S. generally accepted accounting principles (“GAAP”). These measures are considered “non-GAAP financial measures” under the Securities and Exchange Commission’s rules. The reasons we use these non-GAAP financial measures and the reconciliations to their most directly comparable GAAP financial measures are included in the “Non-GAAP Financial Measures” section of the MD&amp;A.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128,786</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GOODWILL—net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313,570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284,647</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Seller notes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par value $0.0001 per share—500,000,000 shares authorized and</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55,090,237 shares outstanding at December 31, 2021; 500,000,000 shares authorized</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69,219,384 shares outstanding at June 30, 2022</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689,955</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(428,959)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(488,044)</w:t>
            </w:r>
          </w:p>
        </w:tc>
      </w:tr>
      <w:tr>
        <w:trPr>
          <w:trHeight w:val="230"/>
        </w:trPr>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224,228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313,570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284,647</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31,351</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64,379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(23,349)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(1,691)</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(7,704)</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28,275</w:t>
            </w: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82,092</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(36,265)</w:t>
            </w: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(118,818)</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63"/>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(118,859</w:t>
            </w:r>
          </w:p>
        </w:tc>
        <w:tc>
          <w:tcPr>
            <w:tcW w:w="240" w:type="dxa"/>
            <w:vAlign w:val="bottom"/>
            <w:tcBorders>
              <w:bottom w:val="single" w:sz="8" w:color="CFF0FC"/>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5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29,547,781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63,947,069</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27,886,582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62,749,520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12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60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(118,859</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100" w:type="dxa"/>
            <w:vAlign w:val="bottom"/>
            <w:shd w:val="clear" w:color="auto" w:fill="CFF0FC"/>
          </w:tcPr>
          <w:p>
            <w:pPr>
              <w:spacing w:after="0"/>
              <w:rPr>
                <w:sz w:val="19"/>
                <w:szCs w:val="19"/>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(431)</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r>
      <w:tr>
        <w:trPr>
          <w:trHeight w:val="223"/>
        </w:trPr>
        <w:tc>
          <w:tcPr>
            <w:tcW w:w="60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FF0FC"/>
            </w:tcBorders>
          </w:tcPr>
          <w:p>
            <w:pPr>
              <w:spacing w:after="0"/>
              <w:rPr>
                <w:sz w:val="19"/>
                <w:szCs w:val="19"/>
                <w:color w:val="auto"/>
              </w:rPr>
            </w:pPr>
          </w:p>
        </w:tc>
      </w:tr>
      <w:tr>
        <w:trPr>
          <w:trHeight w:val="223"/>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(118,905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1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000" w:type="dxa"/>
            <w:vAlign w:val="bottom"/>
            <w:gridSpan w:val="5"/>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2000" w:type="dxa"/>
            <w:vAlign w:val="bottom"/>
            <w:tcBorders>
              <w:bottom w:val="single" w:sz="8" w:color="auto"/>
            </w:tcBorders>
            <w:gridSpan w:val="5"/>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220" w:type="dxa"/>
            <w:vAlign w:val="bottom"/>
            <w:gridSpan w:val="3"/>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BALANCE—April 1, 2021</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30,590,796</w:t>
            </w: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gridSpan w:val="2"/>
            <w:shd w:val="clear" w:color="auto" w:fill="CFF0FC"/>
          </w:tcPr>
          <w:p>
            <w:pPr>
              <w:jc w:val="right"/>
              <w:ind w:right="62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313,911</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(275,488)</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38,465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(36,306)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(36,306)</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warrants to High Trail</w:t>
            </w: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common stock to High Trail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Reclassification of warrants to equity</w:t>
            </w: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2,666,667 shares of common stock net of</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professional fees and offering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2,666,667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704,548 shares of common stock in</w:t>
            </w:r>
          </w:p>
        </w:tc>
        <w:tc>
          <w:tcPr>
            <w:tcW w:w="9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connection with asset purchase agreement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704,548</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1,895,642 shares of restricted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1,895,642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common stock related to exercise of warrants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Forfeiture of 258,971 shares of restricted common stock</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(258,971)</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Cancellation of RSU issued to consultant</w:t>
            </w:r>
          </w:p>
        </w:tc>
        <w:tc>
          <w:tcPr>
            <w:tcW w:w="12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(1,095)</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BALANCE—June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35,734,767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bottom w:val="single" w:sz="8" w:color="auto"/>
            </w:tcBorders>
            <w:gridSpan w:val="2"/>
          </w:tcPr>
          <w:p>
            <w:pPr>
              <w:jc w:val="right"/>
              <w:ind w:right="62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487,605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(311,794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1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000" w:type="dxa"/>
            <w:vAlign w:val="bottom"/>
            <w:gridSpan w:val="5"/>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2000" w:type="dxa"/>
            <w:vAlign w:val="bottom"/>
            <w:tcBorders>
              <w:bottom w:val="single" w:sz="8" w:color="auto"/>
            </w:tcBorders>
            <w:gridSpan w:val="5"/>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220" w:type="dxa"/>
            <w:vAlign w:val="bottom"/>
            <w:gridSpan w:val="3"/>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BALANCE—April 1, 2022</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62,348,318</w:t>
            </w: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669,720</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(471,735)</w:t>
            </w:r>
          </w:p>
        </w:tc>
        <w:tc>
          <w:tcPr>
            <w:tcW w:w="160" w:type="dxa"/>
            <w:vAlign w:val="bottom"/>
            <w:tcBorders>
              <w:top w:val="single" w:sz="8" w:color="CFF0FC"/>
            </w:tcBorders>
            <w:gridSpan w:val="2"/>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197,352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(16,309)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(16,309)</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shares of restricted common stock</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3,865,218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Forfeiture of shares of restricted common stock</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(8,002)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3,013,850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Issuance of warrants to contractors</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BALANCE—June 30, 2022</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69,219,384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689,955</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(488,044)</w:t>
            </w:r>
          </w:p>
        </w:tc>
        <w:tc>
          <w:tcPr>
            <w:tcW w:w="16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200,848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10"/>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gridSpan w:val="5"/>
            <w:vMerge w:val="restart"/>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Borders>
              <w:bottom w:val="single" w:sz="8" w:color="auto"/>
            </w:tcBorders>
            <w:gridSpan w:val="5"/>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3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BALANCE—January 1, 2021</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27,074,791</w:t>
            </w: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6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216,305</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(192,935)</w:t>
            </w: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23,382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(118,859)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(118,859)</w:t>
            </w:r>
          </w:p>
        </w:tc>
        <w:tc>
          <w:tcPr>
            <w:tcW w:w="0" w:type="dxa"/>
            <w:vAlign w:val="bottom"/>
          </w:tcPr>
          <w:p>
            <w:pPr>
              <w:spacing w:after="0"/>
              <w:rPr>
                <w:sz w:val="1"/>
                <w:szCs w:val="1"/>
                <w:color w:val="auto"/>
              </w:rPr>
            </w:pPr>
          </w:p>
        </w:tc>
      </w:tr>
      <w:tr>
        <w:trPr>
          <w:trHeight w:val="205"/>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common stock upon exercise of stock option</w:t>
            </w: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grants</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978,495</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Issuance of common stock related to exercise of warrants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1,047,140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common stock in connection with acquisition</w:t>
            </w: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of Healing Solutions assets</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1,387,759</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39,454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Issuance of restricted stock awards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108,696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warrants to High Trail</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Issuance of common stock to High Trail</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130,000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Reclassification of warrants to equity</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Issuance of 2,666,667 shares of common stock net of</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professional fees and offering costs</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2,666,667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36,735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704,548 shares of common stock in</w:t>
            </w:r>
          </w:p>
        </w:tc>
        <w:tc>
          <w:tcPr>
            <w:tcW w:w="9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connection with asset purchase agreement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704,548</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Issuance of 1,895,642 shares of restricted common stock</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1,895,642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Forfeiture of 258,971 shares of restricted common stock</w:t>
            </w: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(258,971)</w:t>
            </w: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7"/>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BALANCE—June 30, 2021</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35,734,767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w w:val="99"/>
              </w:rPr>
              <w:t>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487,605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(311,794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0"/>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gridSpan w:val="5"/>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3"/>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BALANCE—January 1, 2022</w:t>
            </w:r>
          </w:p>
        </w:tc>
        <w:tc>
          <w:tcPr>
            <w:tcW w:w="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55,090,237</w:t>
            </w: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gridSpan w:val="2"/>
            <w:shd w:val="clear" w:color="auto" w:fill="CFF0FC"/>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653,650</w:t>
            </w: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(428,959)</w:t>
            </w:r>
          </w:p>
        </w:tc>
        <w:tc>
          <w:tcPr>
            <w:tcW w:w="160" w:type="dxa"/>
            <w:vAlign w:val="bottom"/>
            <w:tcBorders>
              <w:top w:val="single" w:sz="8" w:color="CFF0FC"/>
            </w:tcBorders>
            <w:gridSpan w:val="2"/>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224,228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(59,085)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(59,085)</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shares of restricted common stock</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4,020,674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Forfeiture of shares of restricted common stock</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(201,596)</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3,013,850</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Issuance of common stock for settlement of seller note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7,003,332</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Issuance of warrants in connection with offering</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(18,982)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(18,982)</w:t>
            </w: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initial issuance of equity</w:t>
            </w: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Issuance of warrants to contractors</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10"/>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BALANCE—June 30, 2022</w:t>
            </w: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69,219,384</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FF0FC"/>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689,955</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(488,044)</w:t>
            </w:r>
          </w:p>
        </w:tc>
        <w:tc>
          <w:tcPr>
            <w:tcW w:w="16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200,848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ATERIAN,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Six Months Ended June 30,</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2021</w:t>
            </w: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88"/>
              <w:spacing w:after="0" w:line="142"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54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OPERATING ACTIVITIES:</w:t>
            </w:r>
          </w:p>
        </w:tc>
        <w:tc>
          <w:tcPr>
            <w:tcW w:w="1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1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(118,859)</w:t>
            </w:r>
          </w:p>
        </w:tc>
        <w:tc>
          <w:tcPr>
            <w:tcW w:w="620" w:type="dxa"/>
            <w:vAlign w:val="bottom"/>
            <w:gridSpan w:val="2"/>
          </w:tcPr>
          <w:p>
            <w:pPr>
              <w:jc w:val="right"/>
              <w:ind w:right="483"/>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(59,085)</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Provision for sales returns</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deferred financing costs and debt discounts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11,760</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from increase of contingent earn-out liability fair value</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(7,704)</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(4,466)</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Loss in connection with the change in warrant fair value</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from extinguishment of High Trail December 2020 and February 2021 Term Loan</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Loss from embedded derivative related to term loan</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from extinguishment of Credit Facility</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Loss on initial issuance of warrant</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20,147</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in connection with settlement of note payable</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(2,012)</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Loss on initial issuance of equity</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Impairment loss on goodwill</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Allowance for doubtful accounts and other</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Accounts receivable</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(10,736)</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Inventory</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(31,772)</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(13,071)</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(6,545)</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Accounts payable, accrued and other liabilities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(5,010)</w:t>
            </w:r>
          </w:p>
        </w:tc>
        <w:tc>
          <w:tcPr>
            <w:tcW w:w="0" w:type="dxa"/>
            <w:vAlign w:val="bottom"/>
          </w:tcPr>
          <w:p>
            <w:pPr>
              <w:spacing w:after="0"/>
              <w:rPr>
                <w:sz w:val="1"/>
                <w:szCs w:val="1"/>
                <w:color w:val="auto"/>
              </w:rPr>
            </w:pPr>
          </w:p>
        </w:tc>
      </w:tr>
      <w:tr>
        <w:trPr>
          <w:trHeight w:val="155"/>
        </w:trPr>
        <w:tc>
          <w:tcPr>
            <w:tcW w:w="6540" w:type="dxa"/>
            <w:vAlign w:val="bottom"/>
            <w:tcBorders>
              <w:top w:val="single" w:sz="8" w:color="CFF0FC"/>
            </w:tcBorders>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Cash used in operating activities</w:t>
            </w:r>
          </w:p>
        </w:tc>
        <w:tc>
          <w:tcPr>
            <w:tcW w:w="12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(32,836)</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(22,111)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 of fixed assets</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of Healing Solutions assets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(15,280)</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 of Photo Paper Direct, net of cash acquired</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(10,583)</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of Squatty Potty assets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(19,040)</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6540" w:type="dxa"/>
            <w:vAlign w:val="bottom"/>
            <w:tcBorders>
              <w:top w:val="single" w:sz="8" w:color="CFF0FC"/>
            </w:tcBorders>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Cash used in investing activities</w:t>
            </w:r>
          </w:p>
        </w:tc>
        <w:tc>
          <w:tcPr>
            <w:tcW w:w="12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(44,947)</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warrant exercise</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9,051</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cancellation of warrant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equity offering, net of issuance costs</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36,735</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Repayments on note payable to Smash</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(7,503)</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(1,778)</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 of Squatty Potty earn-out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(3,983)</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Borrowings from MidCap credit facility</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Repayments for MidCap credit facility</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(28,274)</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(70,972)</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financing costs from MidCap credit facility</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(151)</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Repayments for High Trail December 2020 Note and February 2021 Note</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(59,500)</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Borrowings from High Trail February 2021 Note</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14,025</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Borrowings from High Trail April 2021 Note</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Debt issuance costs from High Trail February 2021 Note</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(1,462)</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Debt issuance costs from High Trail April 2021 Note</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(2,200)</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Insurance obligation payments</w:t>
            </w:r>
          </w:p>
        </w:tc>
        <w:tc>
          <w:tcPr>
            <w:tcW w:w="1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(1,557)</w:t>
            </w:r>
          </w:p>
        </w:tc>
        <w:tc>
          <w:tcPr>
            <w:tcW w:w="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62"/>
        </w:trPr>
        <w:tc>
          <w:tcPr>
            <w:tcW w:w="6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Insurance financing proceeds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6540" w:type="dxa"/>
            <w:vAlign w:val="bottom"/>
            <w:tcBorders>
              <w:top w:val="single" w:sz="8" w:color="CFF0FC"/>
            </w:tcBorders>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Cash provided by financing activities</w:t>
            </w:r>
          </w:p>
        </w:tc>
        <w:tc>
          <w:tcPr>
            <w:tcW w:w="12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111,924</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21,469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ON CASH</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(175)</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55"/>
        </w:trPr>
        <w:tc>
          <w:tcPr>
            <w:tcW w:w="654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NET CHANGE IN CASH AND RESTRICTED CASH FOR PERIOD</w:t>
            </w:r>
          </w:p>
        </w:tc>
        <w:tc>
          <w:tcPr>
            <w:tcW w:w="12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33,966</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(1,260)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214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64,063</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8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37,055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4"/>
                <w:szCs w:val="14"/>
                <w:color w:val="auto"/>
              </w:rPr>
              <w:t>RECONCILIATION OF CASH AND RESTRICTED CASH</w:t>
            </w:r>
          </w:p>
        </w:tc>
        <w:tc>
          <w:tcPr>
            <w:tcW w:w="12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w:t>
            </w:r>
          </w:p>
        </w:tc>
        <w:tc>
          <w:tcPr>
            <w:tcW w:w="214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61,934</w:t>
            </w:r>
          </w:p>
        </w:tc>
        <w:tc>
          <w:tcPr>
            <w:tcW w:w="28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483"/>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CASH—Prepaid and other assets</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CASH—Other non-current assets</w:t>
            </w:r>
          </w:p>
        </w:tc>
        <w:tc>
          <w:tcPr>
            <w:tcW w:w="124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CASH AND RESTRICTED CASH</w:t>
            </w:r>
          </w:p>
        </w:tc>
        <w:tc>
          <w:tcPr>
            <w:tcW w:w="1240" w:type="dxa"/>
            <w:vAlign w:val="bottom"/>
          </w:tcPr>
          <w:p>
            <w:pPr>
              <w:spacing w:after="0"/>
              <w:rPr>
                <w:sz w:val="13"/>
                <w:szCs w:val="13"/>
                <w:color w:val="auto"/>
              </w:rPr>
            </w:pPr>
          </w:p>
        </w:tc>
        <w:tc>
          <w:tcPr>
            <w:tcW w:w="90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64,063</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37,055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1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7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1,727</w:t>
            </w:r>
          </w:p>
        </w:tc>
        <w:tc>
          <w:tcPr>
            <w:tcW w:w="74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828</w:t>
            </w:r>
          </w:p>
        </w:tc>
      </w:tr>
      <w:tr>
        <w:trPr>
          <w:trHeight w:val="175"/>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Cash paid for taxes</w:t>
            </w:r>
          </w:p>
        </w:tc>
        <w:tc>
          <w:tcPr>
            <w:tcW w:w="138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41</w:t>
            </w:r>
          </w:p>
        </w:tc>
        <w:tc>
          <w:tcPr>
            <w:tcW w:w="74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58</w:t>
            </w:r>
          </w:p>
        </w:tc>
      </w:tr>
      <w:tr>
        <w:trPr>
          <w:trHeight w:val="17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Non-cash consideration paid to contractors</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1,137</w:t>
            </w:r>
          </w:p>
        </w:tc>
      </w:tr>
      <w:tr>
        <w:trPr>
          <w:trHeight w:val="17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NON-CASH INVESTING AND FINANCING ACTIVITIES:</w:t>
            </w:r>
          </w:p>
        </w:tc>
        <w:tc>
          <w:tcPr>
            <w:tcW w:w="1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7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Equity fundraising costs not paid</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125</w:t>
            </w:r>
          </w:p>
        </w:tc>
        <w:tc>
          <w:tcPr>
            <w:tcW w:w="74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Original issue discount</w:t>
            </w:r>
          </w:p>
        </w:tc>
        <w:tc>
          <w:tcPr>
            <w:tcW w:w="138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2,475</w:t>
            </w:r>
          </w:p>
        </w:tc>
        <w:tc>
          <w:tcPr>
            <w:tcW w:w="74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contingent consideration</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20,971</w:t>
            </w:r>
          </w:p>
        </w:tc>
        <w:tc>
          <w:tcPr>
            <w:tcW w:w="74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Discount of debt relating to warrants issuance</w:t>
            </w:r>
          </w:p>
        </w:tc>
        <w:tc>
          <w:tcPr>
            <w:tcW w:w="138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46,756</w:t>
            </w:r>
          </w:p>
        </w:tc>
        <w:tc>
          <w:tcPr>
            <w:tcW w:w="74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Issuance of restricted stock awards</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3,427</w:t>
            </w:r>
          </w:p>
        </w:tc>
        <w:tc>
          <w:tcPr>
            <w:tcW w:w="74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Issuance of common stock in connection with Healing Solutions and Photo Paper Direct acquisitions</w:t>
            </w:r>
          </w:p>
        </w:tc>
        <w:tc>
          <w:tcPr>
            <w:tcW w:w="138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50,529</w:t>
            </w:r>
          </w:p>
        </w:tc>
        <w:tc>
          <w:tcPr>
            <w:tcW w:w="74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issued to High Trail</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4,056</w:t>
            </w:r>
          </w:p>
        </w:tc>
        <w:tc>
          <w:tcPr>
            <w:tcW w:w="74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Issuance of common stock related to exercise of warrants</w:t>
            </w:r>
          </w:p>
        </w:tc>
        <w:tc>
          <w:tcPr>
            <w:tcW w:w="138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767</w:t>
            </w:r>
          </w:p>
        </w:tc>
      </w:tr>
      <w:tr>
        <w:trPr>
          <w:trHeight w:val="176"/>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warrants issued in connection with equity offering</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18,982</w:t>
            </w:r>
          </w:p>
        </w:tc>
      </w:tr>
      <w:tr>
        <w:trPr>
          <w:trHeight w:val="175"/>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Prefunded Warrants</w:t>
            </w:r>
          </w:p>
        </w:tc>
        <w:tc>
          <w:tcPr>
            <w:tcW w:w="138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15,039</w:t>
            </w:r>
          </w:p>
        </w:tc>
      </w:tr>
      <w:tr>
        <w:trPr>
          <w:trHeight w:val="198"/>
        </w:trPr>
        <w:tc>
          <w:tcPr>
            <w:tcW w:w="6980" w:type="dxa"/>
            <w:vAlign w:val="bottom"/>
          </w:tcPr>
          <w:p>
            <w:pPr>
              <w:spacing w:after="0"/>
              <w:rPr>
                <w:sz w:val="20"/>
                <w:szCs w:val="20"/>
                <w:color w:val="auto"/>
              </w:rPr>
            </w:pPr>
            <w:r>
              <w:rPr>
                <w:rFonts w:ascii="Times New Roman" w:cs="Times New Roman" w:eastAsia="Times New Roman" w:hAnsi="Times New Roman"/>
                <w:sz w:val="15"/>
                <w:szCs w:val="15"/>
                <w:color w:val="auto"/>
              </w:rPr>
              <w:t>Reclassification of warrants to equity</w:t>
            </w:r>
          </w:p>
        </w:tc>
        <w:tc>
          <w:tcPr>
            <w:tcW w:w="138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80,022</w:t>
            </w:r>
          </w:p>
        </w:tc>
        <w:tc>
          <w:tcPr>
            <w:tcW w:w="740" w:type="dxa"/>
            <w:vAlign w:val="bottom"/>
          </w:tcPr>
          <w:p>
            <w:pPr>
              <w:jc w:val="right"/>
              <w:ind w:right="4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2021 and 2022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11"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Aterian, Inc., formerly known as Mohawk Group Holdings, Inc., and its subsidiaries (“Aterian” or the “Company”), is a technology-enabled consumer products platform that builds, acquires and partners with e-commerce brands. The Company’s proprietary software and agile supply chain helps create a growing base of consumer products. Aterian predominantly operates through online retail channels such as Amazon and Walmart, Inc. The Company owns and operates fourteen brands, which were either incubated or purchased, selling products in multiple categories, including home and kitchen appliances, kitchenware, heating, cooling and air quality appliances (dehumidifiers, humidifiers and air conditioners), health and beauty products and essentials oils.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New York, Aterian’s offices can also be found in China, Philippines, Israel and Poland.</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Going Concern—</w:t>
      </w:r>
      <w:r>
        <w:rPr>
          <w:rFonts w:ascii="Times New Roman" w:cs="Times New Roman" w:eastAsia="Times New Roman" w:hAnsi="Times New Roman"/>
          <w:sz w:val="18"/>
          <w:szCs w:val="18"/>
          <w:color w:val="auto"/>
        </w:rPr>
        <w:t>As of June 30, 2022, the Company had total cash and cash equivalents of $34.8 million and an accumulated deficit of $488.0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the Company’s net loss and net cash used in operating activities amounted to $59.1 million and $22.1 million, respectively, for the six months ended June 30, 2022.</w:t>
      </w:r>
    </w:p>
    <w:p>
      <w:pPr>
        <w:spacing w:after="0" w:line="175"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As an emerging growth company, the Company has been dependent on outside capital through the issuance of equity to investors and borrowings from lenders (collectively “outside capital”) since its inception to execute its growth strategy of investing in organic growth at the expense of short-term profitably and investing in incremental growth through mergers and acquisitions (“M&amp;A strategy”). In addition, the Company’s recent financial performance has been adversely impacted by the COVID-19 global pandemic and related global shipping disruption, in particular with respect to substantial increases in supply chain costs for shipping containers (See COVID-19 Pandemic and the Supply Chain disclosure below). As a result, the Company has incurred significant losses and will remain dependent on outside capital for the foreseeable future until such time that the Company can realize its strategy of growth by generating profits through its organic growth and M&amp;A strategy, and reduce its reliance on outside capital.</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Given the inherent uncertainties associated with executing the Company’s growth strategy, as well as the uncertainty associated with the ongoing COVID-19 global pandemic, recent record increases in inflation and related global supply chain disruption, management can provide no assurances the Company will be able to obtain sufficient outside capital or generate sufficient cash from operations to fund the Company’s obligations as they become due over the next twelve months from the date these consolidated financial statements were issued.</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as disclosed in Note 6 below, the Company entered into a $50.0 million asset backed credit agreement in December 2021 (the “MidCap Credit Facility”). The MidCap Credit Facility contains a financial covenant that requires the Company to maintain a minimum unrestricted cash balance or minimum borrowing availability of (a) $12.5 million during the period from February 1st through and including May 31st of each calendar year, and (b) $15.0 million at all other times thereafter. At its election, the Company may elect to comply with an alternative financial covenant that would require the Company to maintain a minimum borrowing availability under the MidCap Credit Facility of $10.0 million at all times. The Company does not anticipate electing the alternative financial covenant over the next twelve months and was in compliance with the minimum liquidity covenant as of the date these condensed consolidated financial statements were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its inception, the Company has been able to successfully raise a substantial amount of outside capital to fund the Company’s growth</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strategy. However, as of June 30, 2022, the Company had no firm commitments of additional outside capital from current or prospective investors or lenders. While management believes the Company will be able to secure additional outside capital, no assurances can be provided that such capital will be obtained or on terms that are acceptable to the Company. Furthermore, given the inherent uncertainties associated with the Company’s growth strategy, the Company may be unable to remain in compliance with the financial covenants required by the MidCap Credit Facility over the next twelve months. These uncertainties raise substantial doubt about the Company’s ability to continue as a going concern.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order to alleviate substantial doubt, management plans to continue to closely monitor its operating forecast, pursue additional sources of outside capital, and pursue its M&amp;A strategy. If the Company is (a) unable to improve its operating results, (b) obtain additional outside capital on terms that are acceptable to the Company to fund the Company’s operations and M&amp;A strategy, and/or (c) secure a waiver or forbearance from the lender if the Company is unable to remain in compliance with the financial covenants required by the MidCap Credit Facility, the Company will have to make significant changes to its operating plan, such as delay expenditures, reduce investments in new products, delay the development of its software, reduce its sale and distribution infrastructure, or otherwise significantly reduce the scope of its business. Moreover, if the Company breaches the financial covenants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2" w:name="page13"/>
    <w:bookmarkEnd w:id="12"/>
    <w:p>
      <w:pPr>
        <w:ind w:right="40"/>
        <w:spacing w:after="0" w:line="261" w:lineRule="auto"/>
        <w:rPr>
          <w:sz w:val="20"/>
          <w:szCs w:val="20"/>
          <w:color w:val="auto"/>
        </w:rPr>
      </w:pPr>
      <w:r>
        <w:rPr>
          <w:rFonts w:ascii="Times New Roman" w:cs="Times New Roman" w:eastAsia="Times New Roman" w:hAnsi="Times New Roman"/>
          <w:sz w:val="18"/>
          <w:szCs w:val="18"/>
          <w:color w:val="auto"/>
        </w:rPr>
        <w:t>required by the MidCap Credit Facility and fails to secure a waiver or forbearance from the lender, such breach or failure could accelerate the repayment of the outstanding borrowings under the MidCap Credit Facility or the exercise of other rights or remedies the lender may have under applicable</w:t>
      </w:r>
    </w:p>
    <w:p>
      <w:pPr>
        <w:ind w:right="200"/>
        <w:spacing w:after="0" w:line="260" w:lineRule="auto"/>
        <w:rPr>
          <w:sz w:val="20"/>
          <w:szCs w:val="20"/>
          <w:color w:val="auto"/>
        </w:rPr>
      </w:pPr>
      <w:r>
        <w:rPr>
          <w:rFonts w:ascii="Times New Roman" w:cs="Times New Roman" w:eastAsia="Times New Roman" w:hAnsi="Times New Roman"/>
          <w:sz w:val="18"/>
          <w:szCs w:val="18"/>
          <w:color w:val="auto"/>
        </w:rPr>
        <w:t>law. Management can provide no assurance a waiver or forbearance will be granted or the outstanding borrowings under the MidCap Credit Facility will be successfully refinanced on terms that are acceptable to the Company.</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7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COVID-19 Pandemic and the Supply Chain</w:t>
      </w:r>
      <w:r>
        <w:rPr>
          <w:rFonts w:ascii="Times New Roman" w:cs="Times New Roman" w:eastAsia="Times New Roman" w:hAnsi="Times New Roman"/>
          <w:sz w:val="18"/>
          <w:szCs w:val="18"/>
          <w:color w:val="auto"/>
        </w:rPr>
        <w:t>—The full impact of the COVID-19 pandemic on the Company’s supply chain, including the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preventive and precautionary measures that the Company, other businesses and governments are taking, continues to evolve as of the date of this report.</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2022 to date, the Company has continued to be impacted by the COVID-19 pandemic and related global shipping disruption. Together these have led to substantial increases in supply chain costs, in particular shipping containers, which the Company relies on to import its goods, and costs have increased while the reliability and timely delivery of such shipping containers has been reduced, which has substantially increased the Company’s last mile shipping costs on its oversized goods. These cost increases have been particularly substantial for oversized goods, which is a material part of the Company’s business. The reduced reliability and delivery of such shipping containers is forcing the Company to spend more on premium shipping to ensure goods are delivered, if at all, and the lack of reliability and timely delivery has further down chain impacts as it takes longer for containers to be offloaded and returned. Further, this global shipping disruption is forcing the Company to increase its inventory on-hand, including by advance ordering and taking possession of inventory earlier than expected, negatively impacting its working capital.</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Third party last mile shipping partners, such as UPS and FedEx, have increased the cost of delivering goods to the end consumers as their delivery networks have been impacted by the COVID-19 pandemic. The COVID-19 pandemic continues to bring uncertainty to consumer demand as price increases related to raw materials, the importing of goods, including tariffs, and the cost of delivering goods to consumers has led to inflation across the U.S. As such, the Company has noticed changes to consumer buying habits, which have lead to reduced demand for its products. Further, recent record inflation has added additional pressure to the cost of the Company’s supply chain and has further impacted consumer spending. Furthermore, we have concerns about the impact of Russia’s invasion of Ukraine on our business including its effects on the global economy, the performance and cost of supply chain and financial markets. We will continue to evaluate the impacts of this.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continues to consider the impact of the COVID-19 pandemic on the Company’s supply chain on the assumptions and estimates used when preparing these consolidated financial statements including inventory valuation, and the impairment of long-lived assets. These assumptions and estimates may change as the situation evolves or new events occur, and additional information is obtained. If the economic conditions caused by the COVID-19 pandemic and the negative impact on the Company’s supply chain worsen beyond what is currently estimated by management, such future changes may have an adverse impact on the Company’s results of operations, financial position, and liquidity.</w:t>
      </w:r>
    </w:p>
    <w:p>
      <w:pPr>
        <w:spacing w:after="0" w:line="200" w:lineRule="exact"/>
        <w:rPr>
          <w:sz w:val="20"/>
          <w:szCs w:val="20"/>
          <w:color w:val="auto"/>
        </w:rPr>
      </w:pPr>
    </w:p>
    <w:p>
      <w:pPr>
        <w:spacing w:after="0" w:line="303"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accompanying unaudited condensed consolidated financial statements have been prepared by the Company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generally accepted accounting principles in the United States (“GAAP”) for interim financial reporting and as required by Rule 10-01 of Regulation S-X. Certain information and note disclosures normally included in the annual financial statements prepared in accordance with GAAP have been condensed or omitted pursuant to such rules and regulations. The condensed consolidated balance sheet as of December 31, 2021 included herein was derived from the Company’s audited consolidated financial statements as of that date. As such, the information included in this Quarterly Report on Form 10-Q should be read in conjunction with the audited consolidated financial statements and the related notes thereto as of and for the year ended December 31, 2021, included in the Company’s Annual Report on Form 10-K filed with the Securities and Exchange Commission on March 16, 2022 (the “Annual Report”).</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condensed consolidated financial statements contain all adjustments (consisting of items of a normal and recurring nature) necessary to present fairly the financial position as of June 30, 2022, the results of operations for the three and six months ended June 30, 2021 and 2022, the statements of stockholders’ equity for the three and the six months ended June 30, 2021 and 2022, and cash flows for the six months ended June 30, 2021 and 2022. The results of operations for the three and six months ended June 30, 2022 are not necessarily indicative of the results to be expected for the full fiscal year.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—Preparation of financial statements in conformity with GAAP requires management to make estimates and assumptions that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03"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As of December 31, 2021, the Company has classified the following as restricted cash: $0.1 million related to its Chinese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within “other non-current assets” on the condensed consolidated balance sheets, $2.0 million related to a letter of credit and $5.9 million for cash sweep accounts related to the MidCap Credit Facility within “prepaid and other current assets” on the condensed consolidated balance sheets. As of June 30, 2022, the Company has classified the following as restricted cash: $0.1million related to its Chinese subsidiary within “other non-current assets” on the condensed consolidated balance sheets, $2.0 million related to a letter of credit and $0.1 million for cash sweep accounts related to the MidCap Credit Facility within “prepaid and other current assets” on the condensed </w:t>
      </w:r>
      <w:r>
        <w:rPr>
          <w:rFonts w:ascii="Times New Roman" w:cs="Times New Roman" w:eastAsia="Times New Roman" w:hAnsi="Times New Roman"/>
          <w:sz w:val="18"/>
          <w:szCs w:val="18"/>
          <w:b w:val="1"/>
          <w:bCs w:val="1"/>
          <w:color w:val="auto"/>
        </w:rPr>
        <w:t>consolidated balance sheets.</w:t>
      </w:r>
    </w:p>
    <w:p>
      <w:pPr>
        <w:spacing w:after="0" w:line="18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8"/>
          <w:szCs w:val="18"/>
          <w:color w:val="auto"/>
        </w:rPr>
        <w:t>The Company derives its revenue from the sale of consumer products. The Company sells its products directly to consumers through online retail channels and through wholesale channels.</w:t>
      </w:r>
    </w:p>
    <w:p>
      <w:pPr>
        <w:spacing w:after="0" w:line="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Net Revenue by Category</w:t>
      </w:r>
      <w:r>
        <w:rPr>
          <w:rFonts w:ascii="Times New Roman" w:cs="Times New Roman" w:eastAsia="Times New Roman" w:hAnsi="Times New Roman"/>
          <w:sz w:val="18"/>
          <w:szCs w:val="18"/>
          <w:color w:val="auto"/>
        </w:rPr>
        <w:t>. The following table sets forth the Company’s net revenue disaggregated by sales channel and geographic region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billing addresses of its customers: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6"/>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2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36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2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36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2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36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113,297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12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36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vMerge w:val="continue"/>
          </w:tcPr>
          <w:p>
            <w:pPr>
              <w:spacing w:after="0"/>
              <w:rPr>
                <w:sz w:val="19"/>
                <w:szCs w:val="19"/>
                <w:color w:val="auto"/>
              </w:rPr>
            </w:pPr>
          </w:p>
        </w:tc>
        <w:tc>
          <w:tcPr>
            <w:tcW w:w="330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95,580</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30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Net Revenue by Product Categories</w:t>
      </w:r>
      <w:r>
        <w:rPr>
          <w:rFonts w:ascii="Times New Roman" w:cs="Times New Roman" w:eastAsia="Times New Roman" w:hAnsi="Times New Roman"/>
          <w:sz w:val="18"/>
          <w:szCs w:val="18"/>
          <w:color w:val="auto"/>
        </w:rPr>
        <w:t>. The following table sets forth the Company’s net revenue disaggregated by product categories: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80" w:type="dxa"/>
            <w:vAlign w:val="bottom"/>
            <w:tcBorders>
              <w:bottom w:val="single" w:sz="8" w:color="auto"/>
            </w:tcBorders>
            <w:gridSpan w:val="5"/>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gridSpan w:val="4"/>
          </w:tcPr>
          <w:p>
            <w:pPr>
              <w:jc w:val="center"/>
              <w:ind w:right="30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3480" w:type="dxa"/>
            <w:vAlign w:val="bottom"/>
            <w:gridSpan w:val="2"/>
            <w:shd w:val="clear" w:color="auto" w:fill="CFF0FC"/>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Home office</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Housewares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revenue</w:t>
            </w:r>
          </w:p>
        </w:tc>
        <w:tc>
          <w:tcPr>
            <w:tcW w:w="2560" w:type="dxa"/>
            <w:vAlign w:val="bottom"/>
          </w:tcPr>
          <w:p>
            <w:pPr>
              <w:spacing w:after="0"/>
              <w:rPr>
                <w:sz w:val="19"/>
                <w:szCs w:val="19"/>
                <w:color w:val="auto"/>
              </w:rPr>
            </w:pPr>
          </w:p>
        </w:tc>
        <w:tc>
          <w:tcPr>
            <w:tcW w:w="92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58,268</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80" w:type="dxa"/>
            <w:vAlign w:val="bottom"/>
            <w:tcBorders>
              <w:bottom w:val="single" w:sz="8" w:color="auto"/>
            </w:tcBorders>
            <w:gridSpan w:val="5"/>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gridSpan w:val="4"/>
          </w:tcPr>
          <w:p>
            <w:pPr>
              <w:jc w:val="center"/>
              <w:ind w:right="304"/>
              <w:spacing w:after="0" w:line="151" w:lineRule="exact"/>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3480" w:type="dxa"/>
            <w:vAlign w:val="bottom"/>
            <w:gridSpan w:val="2"/>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32,980</w:t>
            </w:r>
          </w:p>
        </w:tc>
        <w:tc>
          <w:tcPr>
            <w:tcW w:w="280" w:type="dxa"/>
            <w:vAlign w:val="bottom"/>
          </w:tcPr>
          <w:p>
            <w:pPr>
              <w:spacing w:after="0"/>
              <w:rPr>
                <w:sz w:val="20"/>
                <w:szCs w:val="20"/>
                <w:color w:val="auto"/>
              </w:rPr>
            </w:pPr>
          </w:p>
        </w:tc>
        <w:tc>
          <w:tcPr>
            <w:tcW w:w="980" w:type="dxa"/>
            <w:vAlign w:val="bottom"/>
            <w:gridSpan w:val="2"/>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100" w:type="dxa"/>
            <w:vAlign w:val="bottom"/>
          </w:tcPr>
          <w:p>
            <w:pPr>
              <w:spacing w:after="0"/>
              <w:rPr>
                <w:sz w:val="20"/>
                <w:szCs w:val="20"/>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Home office</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Housewares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net revenue</w:t>
            </w:r>
          </w:p>
        </w:tc>
        <w:tc>
          <w:tcPr>
            <w:tcW w:w="25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116,324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—The Company operates under one business component which is the same as its reporting unit based on the guidance in ASC Topic 350-20.</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02124"/>
        </w:rPr>
        <w:t xml:space="preserve">The Company experienced high volatility in the price of its common stock and a reduction in its market capitalization through </w:t>
      </w:r>
      <w:r>
        <w:rPr>
          <w:rFonts w:ascii="Times New Roman" w:cs="Times New Roman" w:eastAsia="Times New Roman" w:hAnsi="Times New Roman"/>
          <w:sz w:val="18"/>
          <w:szCs w:val="18"/>
          <w:color w:val="000000"/>
        </w:rPr>
        <w:t>March 31, 2022</w:t>
      </w:r>
      <w:r>
        <w:rPr>
          <w:rFonts w:ascii="Times New Roman" w:cs="Times New Roman" w:eastAsia="Times New Roman" w:hAnsi="Times New Roman"/>
          <w:sz w:val="18"/>
          <w:szCs w:val="18"/>
          <w:color w:val="202124"/>
        </w:rPr>
        <w:t xml:space="preserve">. This </w:t>
      </w:r>
      <w:r>
        <w:rPr>
          <w:rFonts w:ascii="Times New Roman" w:cs="Times New Roman" w:eastAsia="Times New Roman" w:hAnsi="Times New Roman"/>
          <w:sz w:val="18"/>
          <w:szCs w:val="18"/>
          <w:color w:val="000000"/>
        </w:rPr>
        <w:t>was</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considered an interim triggering event for the three months ended March 31, 2022.</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Company engaged a third-party valuation specialist to assist management in performing an interim goodwill impairment test in March 2022. For goodwill, impairment testing is based upon the best information available using a combination of the discounted cash flow method (a form of the income approach) and the guideline public company method. As a result of the impairment testing, the Company recorded a goodwill impairment </w:t>
      </w:r>
      <w:r>
        <w:rPr>
          <w:rFonts w:ascii="Times New Roman" w:cs="Times New Roman" w:eastAsia="Times New Roman" w:hAnsi="Times New Roman"/>
          <w:sz w:val="18"/>
          <w:szCs w:val="18"/>
          <w:color w:val="202124"/>
        </w:rPr>
        <w:t>charge of $29.0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million in the three months </w:t>
      </w:r>
      <w:r>
        <w:rPr>
          <w:rFonts w:ascii="Times New Roman" w:cs="Times New Roman" w:eastAsia="Times New Roman" w:hAnsi="Times New Roman"/>
          <w:sz w:val="18"/>
          <w:szCs w:val="18"/>
          <w:color w:val="000000"/>
        </w:rPr>
        <w:t>ended March 31, 2022, primarily due to the decrease in its market capitalization.</w:t>
      </w:r>
      <w:r>
        <w:rPr>
          <w:rFonts w:ascii="Times New Roman" w:cs="Times New Roman" w:eastAsia="Times New Roman" w:hAnsi="Times New Roman"/>
          <w:sz w:val="18"/>
          <w:szCs w:val="18"/>
          <w:color w:val="202124"/>
        </w:rPr>
        <w:t xml:space="preserve"> As of March 31, 2022, the carrying value equaled the fair value of the reporting unit. </w:t>
      </w:r>
      <w:r>
        <w:rPr>
          <w:rFonts w:ascii="Times New Roman" w:cs="Times New Roman" w:eastAsia="Times New Roman" w:hAnsi="Times New Roman"/>
          <w:sz w:val="18"/>
          <w:szCs w:val="18"/>
          <w:color w:val="000000"/>
        </w:rPr>
        <w:t>During the three months ended the company did not have an interim triggering event and as such did not</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record any additional impairment of goodwill for the three months ended June 30, 2022.</w:t>
      </w:r>
    </w:p>
    <w:p>
      <w:pPr>
        <w:spacing w:after="0" w:line="22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the Company’s market capitalization.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believes that the assumptions and estimates made are reasonable and appropriate, and changes in the assumptions and estimates could have a material impact on its reported financial results. In addition, sustained declines in the Company’s stock price and related market capitalization could impact key assumptions in the overall estimated fair values of its reporting unit and could result in non-cash impairment charges that could be material to the Company's condensed consolidated balance sheet or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5" w:name="page16"/>
    <w:bookmarkEnd w:id="15"/>
    <w:p>
      <w:pPr>
        <w:spacing w:after="0" w:line="258" w:lineRule="auto"/>
        <w:rPr>
          <w:sz w:val="20"/>
          <w:szCs w:val="20"/>
          <w:color w:val="auto"/>
        </w:rPr>
      </w:pPr>
      <w:r>
        <w:rPr>
          <w:rFonts w:ascii="Times New Roman" w:cs="Times New Roman" w:eastAsia="Times New Roman" w:hAnsi="Times New Roman"/>
          <w:sz w:val="18"/>
          <w:szCs w:val="18"/>
          <w:color w:val="auto"/>
        </w:rPr>
        <w:t>The Company will continue to closely monitor actual results versus expectations as well as whether, and to what extent, any significant changes in current events or conditions, including changes to the impacts of the COVID-19 pandemic on its business, result in corresponding changes to its expectations about future estimated cash flows, discount rates and market multiples. If the Company’s adjusted expectations of the operating results do not materialize, if the discount rate increases (based on increases in interest rates, market rates of return or market volatility) or if market multiples decline, the Company may be required to record additional goodwill impairment charges, which may be material.</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the Company believes its conclusions regarding the estimates of fair value of its reporting unit is appropriate, these estimates are subject to uncertainty and by nature include judgments and estimates regarding various factors. These factors include the rate and extent of growth in the markets that its reporting units serve, the realization of future sales price and volume increases, fluctuations in exchange rates, fluctuations in price and availability of key raw materials, future operating efficiencies and, as it pertains to discount rates, the volatility in interest rates and costs of equity.</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At June 30, 2022, the carrying amounts of these instruments approximated their fair values because of their short-term nature. The Company’s credit facility is carried at amortized cost at December 31, 2021 and June 30, 2022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the </w:t>
      </w:r>
      <w:r>
        <w:rPr>
          <w:rFonts w:ascii="Times New Roman" w:cs="Times New Roman" w:eastAsia="Times New Roman" w:hAnsi="Times New Roman"/>
          <w:sz w:val="18"/>
          <w:szCs w:val="18"/>
          <w:color w:val="222222"/>
        </w:rPr>
        <w:t>prefunded warrants and stock purchase warrants</w:t>
      </w:r>
      <w:r>
        <w:rPr>
          <w:rFonts w:ascii="Times New Roman" w:cs="Times New Roman" w:eastAsia="Times New Roman" w:hAnsi="Times New Roman"/>
          <w:sz w:val="18"/>
          <w:szCs w:val="18"/>
          <w:color w:val="auto"/>
        </w:rPr>
        <w:t xml:space="preserve"> issued in connection with of the Company’s common stock offering on March 1, 2022 were measured using the Black-Scholes model.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w:t>
      </w:r>
      <w:r>
        <w:rPr>
          <w:rFonts w:ascii="Times New Roman" w:cs="Times New Roman" w:eastAsia="Times New Roman" w:hAnsi="Times New Roman"/>
          <w:sz w:val="18"/>
          <w:szCs w:val="18"/>
          <w:color w:val="222222"/>
        </w:rPr>
        <w:t>Upon the issuance of the prefunded warrants and stock purchase warrants, the Company evaluated the terms of each warrant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determine the appropriate accounting and classification pursuant to FASB ASC Topic 480, </w:t>
      </w:r>
      <w:r>
        <w:rPr>
          <w:rFonts w:ascii="Times New Roman" w:cs="Times New Roman" w:eastAsia="Times New Roman" w:hAnsi="Times New Roman"/>
          <w:sz w:val="18"/>
          <w:szCs w:val="18"/>
          <w:i w:val="1"/>
          <w:iCs w:val="1"/>
          <w:color w:val="222222"/>
        </w:rPr>
        <w:t>Distinguishing Liabilities from Equity (“ASC 480”)</w:t>
      </w:r>
      <w:r>
        <w:rPr>
          <w:rFonts w:ascii="Times New Roman" w:cs="Times New Roman" w:eastAsia="Times New Roman" w:hAnsi="Times New Roman"/>
          <w:sz w:val="18"/>
          <w:szCs w:val="18"/>
          <w:color w:val="222222"/>
        </w:rPr>
        <w:t xml:space="preserve">, and FASB Accounting Standards Codification Topic 815, </w:t>
      </w:r>
      <w:r>
        <w:rPr>
          <w:rFonts w:ascii="Times New Roman" w:cs="Times New Roman" w:eastAsia="Times New Roman" w:hAnsi="Times New Roman"/>
          <w:sz w:val="18"/>
          <w:szCs w:val="18"/>
          <w:i w:val="1"/>
          <w:iCs w:val="1"/>
          <w:color w:val="222222"/>
        </w:rPr>
        <w:t>Derivatives and Hedging (“ASC 815”)</w:t>
      </w:r>
      <w:r>
        <w:rPr>
          <w:rFonts w:ascii="Times New Roman" w:cs="Times New Roman" w:eastAsia="Times New Roman" w:hAnsi="Times New Roman"/>
          <w:sz w:val="18"/>
          <w:szCs w:val="18"/>
          <w:color w:val="222222"/>
        </w:rPr>
        <w:t>. Based on the Company’s evaluation and due to certain terms in the warrant agreements, it concluded the prefunded warrants and the stock purchase warrants should be classified as liability with subsequent remeasurement as long as such warrants continue to be classified as liabilities.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“change in fair value of contingent earn-out liabilities” on the statement of operations.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16" w:name="page17"/>
    <w:bookmarkEnd w:id="16"/>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financial assets that are measured at fair value as of December 31, 2021 and June 30, 2022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55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760" w:type="dxa"/>
            <w:vAlign w:val="bottom"/>
            <w:gridSpan w:val="4"/>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tc>
        <w:tc>
          <w:tcPr>
            <w:tcW w:w="900" w:type="dxa"/>
            <w:vAlign w:val="bottom"/>
          </w:tcPr>
          <w:p>
            <w:pPr>
              <w:spacing w:after="0"/>
              <w:rPr>
                <w:sz w:val="21"/>
                <w:szCs w:val="21"/>
                <w:color w:val="auto"/>
              </w:rPr>
            </w:pPr>
          </w:p>
        </w:tc>
      </w:tr>
      <w:tr>
        <w:trPr>
          <w:trHeight w:val="226"/>
        </w:trPr>
        <w:tc>
          <w:tcPr>
            <w:tcW w:w="5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9"/>
                <w:szCs w:val="19"/>
                <w:color w:val="auto"/>
              </w:rPr>
            </w:pP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30,317</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7,998</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Fair value of contingent earn-out considerations</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9,223</w:t>
            </w:r>
          </w:p>
        </w:tc>
      </w:tr>
      <w:tr>
        <w:trPr>
          <w:trHeight w:val="476"/>
        </w:trPr>
        <w:tc>
          <w:tcPr>
            <w:tcW w:w="5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55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760" w:type="dxa"/>
            <w:vAlign w:val="bottom"/>
            <w:gridSpan w:val="4"/>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tc>
        <w:tc>
          <w:tcPr>
            <w:tcW w:w="900" w:type="dxa"/>
            <w:vAlign w:val="bottom"/>
          </w:tcPr>
          <w:p>
            <w:pPr>
              <w:spacing w:after="0"/>
              <w:rPr>
                <w:sz w:val="21"/>
                <w:szCs w:val="21"/>
                <w:color w:val="auto"/>
              </w:rPr>
            </w:pPr>
          </w:p>
        </w:tc>
      </w:tr>
      <w:tr>
        <w:trPr>
          <w:trHeight w:val="226"/>
        </w:trPr>
        <w:tc>
          <w:tcPr>
            <w:tcW w:w="55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9"/>
                <w:szCs w:val="19"/>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9"/>
                <w:szCs w:val="19"/>
                <w:color w:val="auto"/>
              </w:rPr>
            </w:pP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34,781</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2,274</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Fair value of contingent earn-out considerations</w:t>
            </w:r>
          </w:p>
        </w:tc>
        <w:tc>
          <w:tcPr>
            <w:tcW w:w="20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774</w:t>
            </w:r>
          </w:p>
        </w:tc>
      </w:tr>
      <w:tr>
        <w:trPr>
          <w:trHeight w:val="234"/>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of warrant liability</w:t>
            </w:r>
          </w:p>
        </w:tc>
        <w:tc>
          <w:tcPr>
            <w:tcW w:w="204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11,836</w:t>
            </w:r>
          </w:p>
        </w:tc>
      </w:tr>
    </w:tbl>
    <w:p>
      <w:pPr>
        <w:spacing w:after="0" w:line="15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summary of the activity of the Level 3 liabilities carried at fair value on a recurring basis for the six months ended June 30, 2022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2021 - Fair value of contingent earn-out considerations</w:t>
            </w:r>
          </w:p>
        </w:tc>
        <w:tc>
          <w:tcPr>
            <w:tcW w:w="50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20" w:type="dxa"/>
            <w:vAlign w:val="bottom"/>
            <w:shd w:val="clear" w:color="auto" w:fill="CFF0FC"/>
          </w:tcPr>
          <w:p>
            <w:pPr>
              <w:spacing w:after="0"/>
              <w:rPr>
                <w:sz w:val="19"/>
                <w:szCs w:val="19"/>
                <w:color w:val="auto"/>
              </w:rPr>
            </w:pP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(4,466)</w:t>
            </w:r>
          </w:p>
        </w:tc>
      </w:tr>
      <w:tr>
        <w:trPr>
          <w:trHeight w:val="229"/>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contingent earn-out liability</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(3,983)</w:t>
            </w:r>
          </w:p>
        </w:tc>
      </w:tr>
      <w:tr>
        <w:trPr>
          <w:trHeight w:val="263"/>
        </w:trPr>
        <w:tc>
          <w:tcPr>
            <w:tcW w:w="9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30, 2022 - Fair value of contingent earn-out considerations</w:t>
            </w:r>
          </w:p>
        </w:tc>
        <w:tc>
          <w:tcPr>
            <w:tcW w:w="2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bottom w:val="single" w:sz="8" w:color="CFF0FC"/>
            </w:tcBorders>
          </w:tcPr>
          <w:p>
            <w:pPr>
              <w:spacing w:after="0"/>
              <w:rPr>
                <w:sz w:val="22"/>
                <w:szCs w:val="22"/>
                <w:color w:val="auto"/>
              </w:rPr>
            </w:pPr>
          </w:p>
        </w:tc>
      </w:tr>
      <w:tr>
        <w:trPr>
          <w:trHeight w:val="237"/>
        </w:trPr>
        <w:tc>
          <w:tcPr>
            <w:tcW w:w="96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2021 - Fair value of warrant liability</w:t>
            </w:r>
          </w:p>
        </w:tc>
        <w:tc>
          <w:tcPr>
            <w:tcW w:w="500" w:type="dxa"/>
            <w:vAlign w:val="bottom"/>
            <w:gridSpan w:val="2"/>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warrants in connection with offering</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18,982</w:t>
            </w:r>
          </w:p>
        </w:tc>
        <w:tc>
          <w:tcPr>
            <w:tcW w:w="120" w:type="dxa"/>
            <w:vAlign w:val="bottom"/>
            <w:shd w:val="clear" w:color="auto" w:fill="CFF0FC"/>
          </w:tcPr>
          <w:p>
            <w:pPr>
              <w:spacing w:after="0"/>
              <w:rPr>
                <w:sz w:val="19"/>
                <w:szCs w:val="19"/>
                <w:color w:val="auto"/>
              </w:rPr>
            </w:pPr>
          </w:p>
        </w:tc>
      </w:tr>
      <w:tr>
        <w:trPr>
          <w:trHeight w:val="23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20" w:type="dxa"/>
            <w:vAlign w:val="bottom"/>
          </w:tcPr>
          <w:p>
            <w:pPr>
              <w:spacing w:after="0"/>
              <w:rPr>
                <w:sz w:val="19"/>
                <w:szCs w:val="19"/>
                <w:color w:val="auto"/>
              </w:rPr>
            </w:pPr>
          </w:p>
        </w:tc>
      </w:tr>
      <w:tr>
        <w:trPr>
          <w:trHeight w:val="230"/>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(15,039)</w:t>
            </w:r>
          </w:p>
        </w:tc>
      </w:tr>
      <w:tr>
        <w:trPr>
          <w:trHeight w:val="223"/>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2022 - Fair value of warrant liability</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2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Accounting Standards</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w:t>
      </w:r>
      <w:r>
        <w:rPr>
          <w:rFonts w:ascii="Times New Roman" w:cs="Times New Roman" w:eastAsia="Times New Roman" w:hAnsi="Times New Roman"/>
          <w:sz w:val="18"/>
          <w:szCs w:val="18"/>
          <w:i w:val="1"/>
          <w:iCs w:val="1"/>
          <w:color w:val="auto"/>
        </w:rPr>
        <w:t>Accounting Standards Update (“ASU”) No. 2016-02, Leases (Topic 842)</w:t>
      </w:r>
      <w:r>
        <w:rPr>
          <w:rFonts w:ascii="Times New Roman" w:cs="Times New Roman" w:eastAsia="Times New Roman" w:hAnsi="Times New Roman"/>
          <w:sz w:val="18"/>
          <w:szCs w:val="18"/>
          <w:color w:val="auto"/>
        </w:rPr>
        <w:t xml:space="preserve"> (“ASC 842”), which was amended by subsequent ASUs, to enhance the comparability and usefulness of financial reporting around leasing activity. The new standard supersedes the existing authoritative literature for lease accounting under ASC 840, with a focus on applying a “right-of-use model.” The guidance for leases under ASC 842 results in a right-of-use asset (“ROU asset”) and lease liability being reported on the balance sheet for leases with an original lease term greater than twelve months. ASC 842 is effective for the Company for annual reporting periods beginning after December 15, 2021, including interim periods within that fiscal year. The Company elected the standard on January 1, 2022 using the alternative modified retrospective transition approach in accordance with ASU 2018-11, Leases (Topic 842): Targeted Improvements. The cumulative effect of the transition adjustments was recognized as of the date of adoption.</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alternative modified retrospective transition approach, the reported results for 2022 reflect the application of ASC 842 guidance, whereas comparative periods and the respective disclosures prior to the adoption of ASC 842 are presented using the legacy guidance of ASC 840. The Company recorded an aggregate of approximately $0.7 million of right-of-use assets and a corresponding $0.7 million of lease liabilities upon adoption of this standard. Current Right-of-use assets of $0.4 million and corresponding lease liabilities are included in the prepaid and other current assets and accrued and other current liabilities line item respectively on the condensed consolidated balance sheets. Non-current Right-of-Use Assets of $0.1 million and corresponding lease liabilities are included in the prepaid and other non-current assets and accrued and other non-current liabilities line item respectively on the condensed consolidated balance sheets. The adoption of the standard did not have a material impact on the condensed consolidated statements of operations, or condensed consolidated statements of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line="266" w:lineRule="auto"/>
        <w:rPr>
          <w:sz w:val="20"/>
          <w:szCs w:val="20"/>
          <w:color w:val="auto"/>
        </w:rPr>
      </w:pPr>
      <w:r>
        <w:rPr>
          <w:rFonts w:ascii="Times New Roman" w:cs="Times New Roman" w:eastAsia="Times New Roman" w:hAnsi="Times New Roman"/>
          <w:sz w:val="18"/>
          <w:szCs w:val="18"/>
          <w:color w:val="auto"/>
        </w:rPr>
        <w:t>The Company has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 the exclusions of leases considered to be short-term.</w:t>
      </w:r>
    </w:p>
    <w:p>
      <w:pPr>
        <w:spacing w:after="0" w:line="17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w:t>
      </w:r>
      <w:r>
        <w:rPr>
          <w:rFonts w:ascii="Times New Roman" w:cs="Times New Roman" w:eastAsia="Times New Roman" w:hAnsi="Times New Roman"/>
          <w:sz w:val="18"/>
          <w:szCs w:val="18"/>
          <w:i w:val="1"/>
          <w:iCs w:val="1"/>
          <w:color w:val="auto"/>
        </w:rPr>
        <w:t>ASU No. 2018-15, “Customer’s Accounting for Implementation Cost Incurred in a Cloud Computing Arrangement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 a Service Contract”</w:t>
      </w:r>
      <w:r>
        <w:rPr>
          <w:rFonts w:ascii="Times New Roman" w:cs="Times New Roman" w:eastAsia="Times New Roman" w:hAnsi="Times New Roman"/>
          <w:sz w:val="18"/>
          <w:szCs w:val="18"/>
          <w:color w:val="auto"/>
        </w:rPr>
        <w:t>. Under the new guidance, customers apply the same criteria for capitalizing implementation costs as they would for an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w:t>
      </w:r>
      <w:r>
        <w:rPr>
          <w:rFonts w:ascii="Times New Roman" w:cs="Times New Roman" w:eastAsia="Times New Roman" w:hAnsi="Times New Roman"/>
          <w:sz w:val="18"/>
          <w:szCs w:val="18"/>
          <w:color w:val="202124"/>
        </w:rPr>
        <w:t>The new guidance is effective for public business entities in fiscal years beginning after December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15, 2019, and interim periods within those fiscal years. For all other entities, the amendments in this update are effective for annual reporting periods beginning after December 15, 2020, and interim periods within annual periods beginning after December 15, 2021. </w:t>
      </w:r>
      <w:r>
        <w:rPr>
          <w:rFonts w:ascii="Times New Roman" w:cs="Times New Roman" w:eastAsia="Times New Roman" w:hAnsi="Times New Roman"/>
          <w:sz w:val="18"/>
          <w:szCs w:val="18"/>
          <w:color w:val="000000"/>
        </w:rPr>
        <w:t>The new guidance was adopted on</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December 15, 2021 with no material impact on the Company’s condensed consolidated financial statements.</w:t>
      </w:r>
    </w:p>
    <w:p>
      <w:pPr>
        <w:spacing w:after="0" w:line="18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w:t>
      </w:r>
      <w:r>
        <w:rPr>
          <w:rFonts w:ascii="Times New Roman" w:cs="Times New Roman" w:eastAsia="Times New Roman" w:hAnsi="Times New Roman"/>
          <w:sz w:val="18"/>
          <w:szCs w:val="18"/>
          <w:i w:val="1"/>
          <w:iCs w:val="1"/>
          <w:color w:val="auto"/>
        </w:rPr>
        <w:t>ASU No. 2020-06, “Debt—Debt with Conversion and Other Options (Topic 470)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(Topic 814): Accounting for Convertible Instruments and Contracts in an Entity’s Own Equity” </w:t>
      </w:r>
      <w:r>
        <w:rPr>
          <w:rFonts w:ascii="Times New Roman" w:cs="Times New Roman" w:eastAsia="Times New Roman" w:hAnsi="Times New Roman"/>
          <w:sz w:val="18"/>
          <w:szCs w:val="18"/>
          <w:color w:val="auto"/>
        </w:rPr>
        <w:t>(“ASU 2020-06”).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2023, including interim periods within those fiscal years. Early adoption is permitted. The new guidance was early adopted on January 1, 2022 with no material impact on the Company’s condensed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w:t>
      </w:r>
      <w:r>
        <w:rPr>
          <w:rFonts w:ascii="Times New Roman" w:cs="Times New Roman" w:eastAsia="Times New Roman" w:hAnsi="Times New Roman"/>
          <w:sz w:val="18"/>
          <w:szCs w:val="18"/>
          <w:i w:val="1"/>
          <w:iCs w:val="1"/>
          <w:color w:val="auto"/>
        </w:rPr>
        <w:t>ASU 2016-13: Financial Instruments – Credit Losses (Topic 326).</w:t>
      </w:r>
      <w:r>
        <w:rPr>
          <w:rFonts w:ascii="Times New Roman" w:cs="Times New Roman" w:eastAsia="Times New Roman" w:hAnsi="Times New Roman"/>
          <w:sz w:val="18"/>
          <w:szCs w:val="18"/>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 Income Taxes</w:t>
      </w:r>
      <w:r>
        <w:rPr>
          <w:rFonts w:ascii="Times New Roman" w:cs="Times New Roman" w:eastAsia="Times New Roman" w:hAnsi="Times New Roman"/>
          <w:sz w:val="18"/>
          <w:szCs w:val="18"/>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interim periods within fiscal years beginning after December 15, 2022. While the Company has not completed its evaluation of the impact of adoption of this standard, the Company does not expect it to have a material impact on its condensed consolidated financial statements and will adopt it as of December 2022.</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ASU 2020-10, the FASB issued </w:t>
      </w:r>
      <w:r>
        <w:rPr>
          <w:rFonts w:ascii="Times New Roman" w:cs="Times New Roman" w:eastAsia="Times New Roman" w:hAnsi="Times New Roman"/>
          <w:sz w:val="18"/>
          <w:szCs w:val="18"/>
          <w:i w:val="1"/>
          <w:iCs w:val="1"/>
          <w:color w:val="auto"/>
        </w:rPr>
        <w:t>ASU 2020-10, Codification Improvements.</w:t>
      </w:r>
      <w:r>
        <w:rPr>
          <w:rFonts w:ascii="Times New Roman" w:cs="Times New Roman" w:eastAsia="Times New Roman" w:hAnsi="Times New Roman"/>
          <w:sz w:val="18"/>
          <w:szCs w:val="18"/>
          <w:color w:val="auto"/>
        </w:rPr>
        <w:t xml:space="preserve"> The amendments in this Update represent changes to clarify the Codification, correct unintended application of guidance, or make minor improvements to the Codification that are not expected to have a significant effect on current accounting practice or create a significant administrative cost to most entities. The amendments are effective for annual periods beginning after December 15, 2020, for public business entities. For all other entities, the amendments are effective for annual periods beginning after December 15, 2021, and interim periods within annual periods beginning after December 15, 2022. While the Company has not completed its evaluation of the impact of adoption of this standard, the Company does not expect it to have a material impact on its condensed consolidated financial statements and will adopt it as of December 2022.</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2021 and June 30, 2022:</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3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156"/>
        </w:trPr>
        <w:tc>
          <w:tcPr>
            <w:tcW w:w="3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7"/>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2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on-hand</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65,321</w:t>
            </w:r>
          </w:p>
        </w:tc>
        <w:tc>
          <w:tcPr>
            <w:tcW w:w="80" w:type="dxa"/>
            <w:vAlign w:val="bottom"/>
            <w:shd w:val="clear" w:color="auto" w:fill="CFF0FC"/>
          </w:tcPr>
          <w:p>
            <w:pPr>
              <w:spacing w:after="0"/>
              <w:rPr>
                <w:sz w:val="19"/>
                <w:szCs w:val="19"/>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Inventory in-transit</w:t>
            </w:r>
          </w:p>
        </w:tc>
        <w:tc>
          <w:tcPr>
            <w:tcW w:w="2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8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$8.4 million and $14.0 million as of December 31, 2021 and June 30, 2022, respectively.</w:t>
      </w:r>
    </w:p>
    <w:p>
      <w:pPr>
        <w:spacing w:after="0" w:line="280"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Prepaids and other current assets consisted of the following as of December 31, 2021 and June 30, 2022:</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3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7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tcPr>
          <w:p>
            <w:pPr>
              <w:spacing w:after="0"/>
              <w:rPr>
                <w:sz w:val="19"/>
                <w:szCs w:val="19"/>
                <w:color w:val="auto"/>
              </w:rPr>
            </w:pPr>
          </w:p>
        </w:tc>
      </w:tr>
      <w:tr>
        <w:trPr>
          <w:trHeight w:val="23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FF0FC"/>
          </w:tcPr>
          <w:p>
            <w:pPr>
              <w:spacing w:after="0"/>
              <w:rPr>
                <w:sz w:val="19"/>
                <w:szCs w:val="19"/>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logistics costs</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shd w:val="clear" w:color="auto" w:fill="CFF0FC"/>
          </w:tcPr>
          <w:p>
            <w:pPr>
              <w:spacing w:after="0"/>
              <w:rPr>
                <w:sz w:val="19"/>
                <w:szCs w:val="19"/>
                <w:color w:val="auto"/>
              </w:rPr>
            </w:pP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Right-of-Use-Asset (1)</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9"/>
                <w:szCs w:val="19"/>
                <w:color w:val="auto"/>
              </w:rPr>
            </w:pPr>
          </w:p>
        </w:tc>
      </w:tr>
      <w:tr>
        <w:trPr>
          <w:trHeight w:val="229"/>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80" w:type="dxa"/>
            <w:vAlign w:val="bottom"/>
            <w:shd w:val="clear" w:color="auto" w:fill="CFF0FC"/>
          </w:tcPr>
          <w:p>
            <w:pPr>
              <w:spacing w:after="0"/>
              <w:rPr>
                <w:sz w:val="19"/>
                <w:szCs w:val="19"/>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560" w:type="dxa"/>
            <w:vAlign w:val="bottom"/>
          </w:tcPr>
          <w:p>
            <w:pPr>
              <w:spacing w:after="0"/>
              <w:rPr>
                <w:sz w:val="19"/>
                <w:szCs w:val="19"/>
                <w:color w:val="auto"/>
              </w:rPr>
            </w:pPr>
          </w:p>
        </w:tc>
        <w:tc>
          <w:tcPr>
            <w:tcW w:w="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hanging="368"/>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2022, the Company recorded an aggregate of approximately $0.7 million of right-of-use assets and corresponding $0.7 million of lease liabilities upon adoption of ASC 842. Current Right-of-use assets of $0.4 million and corresponding lease liabilities are included in the prepaid and other current assets and accrued and other current liabilities line item respectively on the condensed consolidated balance sheets. See the discussion for the adoption of the lease accounting standard described in Note 2.</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9" w:name="page20"/>
    <w:bookmarkEnd w:id="19"/>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2021 and June 30, 2022:</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5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r>
      <w:tr>
        <w:trPr>
          <w:trHeight w:val="155"/>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right"/>
              <w:ind w:right="772"/>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 and consultants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logistics costs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fulfillment expense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payroll taxes payable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Right-of-Use-Liabilities (1)</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8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hanging="368"/>
        <w:spacing w:after="0" w:line="261"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2022, the Company recorded an aggregate of approximately $0.7 million of right-of-use assets and corresponding $0.7 million of lease liabilities upon adoption of ASC 842. Right-of-Use Liabilities of $0.4 million and corresponding lease liabilities are included in the accrued and other current liabilities line item respectively on the condensed consolidated balance sheets. See the discussion for the adoption of the lease accounting standard described in Note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pacing w:after="0" w:line="311" w:lineRule="exact"/>
        <w:rPr>
          <w:sz w:val="20"/>
          <w:szCs w:val="20"/>
          <w:color w:val="auto"/>
        </w:rPr>
      </w:pPr>
    </w:p>
    <w:p>
      <w:pPr>
        <w:ind w:right="6020" w:firstLine="8"/>
        <w:spacing w:after="0" w:line="378" w:lineRule="auto"/>
        <w:tabs>
          <w:tab w:leader="none" w:pos="78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TERM LOANS AND WARRANTS High Trail Loan - December 2020 Note</w:t>
      </w: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On December 1, 2020, the Company refinanced a $15.0 million term loan with Horizon Technology Finance Corporation through the issuance of a senior secured note with an aggregate principal amount of $43.0 million issued on December 1, 2020 (the “December 2020 Note”) to High Trail Investments SA LLC (“High Trail SA”). The Company received gross proceeds of $38.0 million in exchange for the December 2020 Note. The December 2020 Note was to be repaid over 24 equal monthly cash payments of $1.8 million. The December 2020 Note was extinguished on April 8, 2021 in exchange for an April 2021 Note (see the discussion under the heading High Trail April 2021 of this Note 6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 February 2021 Note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2, 2021, the Company entered into a second, separate transaction with High Trail Investments ON LLC (“High Trail ON” and, together with High Trail SA, “High Trail”), where it issued to High Trail ON a 0% coupon senior secured promissory note in an aggregate principal amount of $16.5 million (as amended, the “February 2021 Note”) that was to mature on February 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 April 2021 Note</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April 8, 2021, the Company refinanced all its existing debt with High Trail and Midcap Funding IV Trust (“MidCap”). As such, the Company entered into a new securities purchase and exchange agreement (the “Securities Purchase Agreement”) with High Trail SA and High Trail ON, pursuant to which, among other things, the Company issued and sold to High Trail, in a private placement transaction (the “2021 Private Placement”), (i) senior secured promissory notes in an aggregate principal amount of $110.0 million (the “April 2021 Notes”) that accrued interest at a rate of 8% per annum and were to mature on April 8, 2024, and (ii) warrants to purchase up to an aggregate of 2,259,166 shares of the Company’s common stock in exchange for: (a) a cash payment by High Trail to the Company of $57.7 million, (b) the cancellation of the December 2020 Note, and (c) the cancellation of the February 2021 Note.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0" w:name="page21"/>
    <w:bookmarkEnd w:id="20"/>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On April 8, 2021, the Company used $14.8 million of the net proceeds from the 2021 Private Placement to repay all amounts owed under the 2018 $25.0 million credit facility with </w:t>
      </w:r>
      <w:r>
        <w:rPr>
          <w:rFonts w:ascii="Times New Roman" w:cs="Times New Roman" w:eastAsia="Times New Roman" w:hAnsi="Times New Roman"/>
          <w:sz w:val="18"/>
          <w:szCs w:val="18"/>
          <w:color w:val="202124"/>
        </w:rPr>
        <w:t>MidCap</w:t>
      </w:r>
      <w:r>
        <w:rPr>
          <w:rFonts w:ascii="Times New Roman" w:cs="Times New Roman" w:eastAsia="Times New Roman" w:hAnsi="Times New Roman"/>
          <w:sz w:val="18"/>
          <w:szCs w:val="18"/>
          <w:color w:val="auto"/>
        </w:rPr>
        <w:t xml:space="preserve"> (the “2018 Credit Facility”). Pursuant to ASC Topic 470, Debt, the Company concluded the High Trail April 2021 Note transaction resulted in the extinguishment of the two prior High Trail December 2020 and February 2021 term loans in the amount of $28.2 million of extinguishment of which has been classified within loss on extinguishment of debt on the condensed consolidated statements of operations. The Company breached its Adjusted EBITDA covenant with its lender, High Trail, and in August 2021, the Company secured a waiver from its lender with the partial repayment of the loan. See the High Trail Letter Agreements and Omnibus Amendment section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April Letter Agreement</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April 8, 2021, the Company entered into a Letter Agreement (the “April Letter Agreement”) with High Trail SA and High Trail ON, pursuant to which, among other things, (i) the Company and High Trail SA agreed to amend the terms of the Letter Agreement to provide that the Company would prepare and file by June 30, 2021 a registration statement (the “Resale Registration Statement”) with the Securities and Exchange Commission for the purposes of registering for resale the December Warrant Shares, the Penny Warrant Shares and the Restricted Shares (as defined below), (ii) the Company issued 130,000 shares of its common stock to High Trail SA (the “Restricted Shares”), and (iii) High Trail SA and High Trail ON agreed to waive any Default or Event of Default (as such terms are defined in the December 2020 Note or the February 2021 Note) caused by the Company’s failure to file a resale registration statement by March 26, 2021. On April 8, 2021, the Company entered into (i) an amendment (the “SPA Amendment”) to that certain Securities Purchase Agreement, dated as of November 30, 2020, by and between the Company and High Trail SA (the “December 2020 SPA”), and to that certain Securities Purchase Agreement, dated as of February 2, 2021, by and between the Company and High Trail ON (the “February 2021 SPA”), (ii) an amendment to the February Warrant (the “February Warrant Amendment”), (iii) an amendment to the Penny Warrant (the “Penny Warrant Amendment”), and (iv) an amendment to the Additional Warrant (the “Additional Warrant Amendment” and, together with the February Warrant Amendment and the Penny Warrant Amendment, the “Warrant Amendments”). The SPA Amendment amended the December 2020 SPA and the February 2021 SPA to, among other things, allow for the issuance of the April 2021 Notes and to waive certain rights of High Trail under the December 2020 SPA and the February 2021 SPA. The Warrant Amendments amended the February Warrant, the Penny Warrant and the Additional Warrant to amend the definition of “Black Scholes Value” in each warrant to provide that the expected volatility used in the Black Scholes Value shall equal 100% instead of the greater of 100% and the 100-day volatility obtained from the HVT function on Bloomberg (determined utilizing a 365-day annualization factor) as of the trading day immediately following the public announcement of a Change of Control (as defined in each of the warrants), or, if the Change of Control is not publicly announced, the date the Change of Control is consummated. The Warrant Amendments to the February Warrant, the Penny Warrant and the Additional Warrant resulted in an $80.0 million reclassification from a liability to a component of equity and resulted in a $21.3 million reclassification from a component of equity to a liability as of December 31, 2021. The Restricted Shares were expensed as part of extinguishment loss, valued based on the fair market value on April 8, 2021 for $4.1 million, with the offset impacting stockholders’ equity.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Letter Agreements and Omnibus Amendment</w:t>
      </w:r>
    </w:p>
    <w:p>
      <w:pPr>
        <w:spacing w:after="0" w:line="12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On August 9, 2021, pursuant to those certain Letter Agreements entered into between the Company and High Trail with respect to each of the April 2021 Notes (collectively, the “August Letter Agreements”), High Trail notified the Company that High Trail declared an event of default under the April 2021 Notes as a result of the Company’s Adjusted EBITDA (as defined in the April 2021 Notes) not being equal to at least $12 million for the 12 month period ended June 30, 2021 and further notified the Company that High Trail immediately accelerated a total of $18.7 million of the principal amount of the April 2021 Notes, requiring the Company to immediately pay $21.5 million (such amount equal to 115% of the principal amount that was accelerated, as required under the terms of the April 2021 Notes, plus $0.3 million of accrued but unpaid interest on the principal amount that was accelerated) (the “Current Event of Default Acceleration Amount”). Pursuant to the August Letter Agreements, the Company agreed, among other things, to pay the Current Event of Default Acceleration Amount in cash by August 9, 2021 and that any portion not paid in cash would be paid in shares of the Company’s common stock under the terms of the April 2021 Notes, with the number of shares issuable equal to the unpaid Current Event of Default Acceleration Amount divided by 80% of the lesser of (i) the Daily VWAP (as defined in the April 2021 Notes) on August 9, 2021 and (ii) the average of the lowest two</w:t>
      </w:r>
    </w:p>
    <w:p>
      <w:pPr>
        <w:spacing w:after="0" w:line="5" w:lineRule="exact"/>
        <w:rPr>
          <w:sz w:val="20"/>
          <w:szCs w:val="20"/>
          <w:color w:val="auto"/>
        </w:rPr>
      </w:pPr>
    </w:p>
    <w:p>
      <w:pPr>
        <w:ind w:firstLine="8"/>
        <w:spacing w:after="0" w:line="25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VWAPs during the ten (10) day VWAP trading period ending on August 9, 2021. Pursuant to the August Letter Agreements, High Trail waived the events of default relating to the Company’s failure to satisfy the Adjusted EBITDA covenant under the April 2021 Notes, effective upon the payment in cash of $10.1 million of the Current Event of Default Acceleration Amount and the issuance of the shares of the Company’s common stock for the remaining $11.7 million of the Current Event of Default Acceleration Amount. The Company paid High Trail an aggregate of $10.1 million in cash on August 9, 2021 and in accordance with the April 2021 Notes and the August Letter Agreements, paid the remaining $11.7 million of the Current Event of Default Acceleration Amount by issuing to High Trail an aggregate of 2,841,251 shares of common stock (with the shares issued at a price of $4.1007 per share, which was, in accordance with the April 2021 Notes, equal to 80% of the Daily VWAP on August 9, 2021). In connection with the August Letter Agreements, on August 9, 2021, the Company also entered into an Omnibus Amendment to Senior Secured Notes Due 2024 and Warrants to Purchase Common Stock with High Trail (the “Omnibus Amendment”), whereby: (i) the Company agreed to increase the minimum cash threshold covenant in the April 2021 Notes from $15.0 million to $30.0 million through October 31, 2021; (ii) the Company agreed to add a liquidity covenant to the April 2021 Notes whereby it must have liquidity, on each day through October 31, 2021, calculated as (A) inventory, net, plus (B) accounts receivable, net (each determined in accordance with GAAP) in an aggregate minimum amount equal to $65.0 million less (C) any amount of cash and cash equivalents in excess of $30 million; (iii) the definition of “Permitted Investment” in the April 2021 Notes was modified such that the consent of High Trail was now required for certain merger and acquisition activity; (iv) the Company agreed that the exercise prices of the following warrants to purchase shares of the Company’s common stock previously issued to High Trail will be modified to be equal to the lesser of: (X) the closing price of the Company’s common stock on August 9, 2021 or (Y) the VWAP of the Company’s common stock on August 9, 2021: (1) the February Warrant; (2) the Additional Warrant; and (3) the Warrants (collectively, the “High Trail Warrants”); (v) High Trail agreed that it would not exercise the High Trail Warrants prior to October 17, 2021 (the day that was 60 days after the registration statement registering for resale the 2,666,667 shares of common stock the Company issued on June 15, 2021 was declared effective); and (vi) if, at any time on or after January 7, 2022, High Trail is unable to exercise the High Trail Warrants due to the agreement described in clause (v), the Company agreed to pay High Trail, as liquidated damages, a cash payment that will be equal to (a) the weighted average price of the Company’s common stock on the date High Trail seeks to exercise any of the High Trail Warrants, minus the then-current exercise price of the High Trail Warrants, multiplied by (b) the number of shares subject to the High Trail Warrants that it then desires to exercise.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High Trail Debt Repayment</w:t>
      </w:r>
    </w:p>
    <w:p>
      <w:pPr>
        <w:spacing w:after="0" w:line="12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On September 22, 2021, the Company entered into letter agreements (the “September Letter Agreements”) with High Trail with respect to the April 2021 Notes. Pursuant to the September Letter Agreements, (i) High Trail notified the Company that High Trail declared events of default under the April 2021 Notes and further notified the Company that High Trail accelerated an aggregate of $66.3 million of the principal amount of the April 2021 Notes, requiring the Company to pay $76.9 million (such amount equal to 115% of the principal amount that was accelerated, as required under the terms of the April 2021 Notes, plus $0.3 million of accrued but unpaid interest on the principal amount that was accelerated) (collectively, the “Acceleration Amount”),</w:t>
      </w:r>
    </w:p>
    <w:p>
      <w:pPr>
        <w:spacing w:after="0" w:line="3" w:lineRule="exact"/>
        <w:rPr>
          <w:sz w:val="20"/>
          <w:szCs w:val="20"/>
          <w:color w:val="auto"/>
        </w:rPr>
      </w:pPr>
    </w:p>
    <w:p>
      <w:pPr>
        <w:ind w:firstLine="8"/>
        <w:spacing w:after="0" w:line="25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Trail agreed, contingent and effective upon the repayment of the Acceleration Amount in shares of the Company’s common stock in accordance with the April 2021 Notes and the September Letter Agreements and the satisfaction of all of the Company’s other obligations under the September Letter Agreements and the Second Omnibus Amendment (as defined below), to waive the events of default, (iii) the Company agreed that until November 1, 2021, the Company would not, subject to certain exceptions, issue, offer, sell or otherwise dispose of any equity security, equity-linked security or related security, and (iv) the Company agreed that, as a result of the occurrence of the events of default, it no longer has the right to require High Trail to exercise the High Trail Warrants if the price of the Company’s common stock exceeds 200% of the exercise price of the High Trail Warrants for 20 consecutive trading days and certain other conditions were satisfied. Under the terms of the April 2021 Notes, High Trail had the right, by delivering a notice to the Company (each, a “Stock Payment Notice”) to require the Company to satisfy its obligation to repay all or any portion of the Acceleration Amount in shares of the Company’s common stock, with the number of shares issuable determined by dividing the portion of the Acceleration Amount that High Trail requests, pursuant to a Stock Payment Notice, to be repaid in shares of the Company’s common stock, by 80% of the lesser of (A) the Daily VWAP (as defined in the April 2021 Notes) on the date of delivery of the Stock Payment Notice, and (B) the average of the lowest two Daily VWAPs during the ten (10) day VWAP trading period ending on the date of delivery of the Stock Payment Notice. Pursuant to the September Letter Agreements, High Trail agreed to deliver Stock Payment Notices as soon as it was practicable to do so without High Trail and its affiliates collectively beneficially owning in the aggregate in excess of 9.99% of the Company’s outstanding common stock. In connection with the September Letter Agreements, on September 22, 2021, the Company also entered into a Second Omnibus Amendment to Senior Secured Notes Due 2024 and Warrants to Purchase Common Stock with High Trail (the “Second Omnibus Amendment”), whereby: (i) the maturity date of the April 2021 Notes was changed from April 8, 2024 to April 1, 2023; (ii) the definition of “Permitted Investment” in the April 2021 Notes was modified to include an exception for certain acquisitions of all or substantially all of the assets of another person or a majority of the equity interests of another person; (iii) the definition of “Target Adjusted EBITDA” was modified to reflect certain updated projections of the Company; (iv) the liquidity requirements as set forth in the Omnibus Amendment were removed; (v) the minimum cash threshold covenant was changed from $30.0 million to $15.0 million; (vi) the definition of “Adjusted EBITDA” in the April 2021 Notes was modified to be equal to not less than the Target Adjusted EBITDA for the three-month period ending on the last day of each applicable fiscal quarter instead of the 12-month period ending on such day; and (vii) the exercise prices of the High Trail Warrants were modified to be equal to $0.01. High Trail reserved the right to void the term of the Second Omnibus Amendment in full or in part in the event that the Company breached any of the terms of the September Letter Agreements or otherwise failed to timely deliver shares of stock of the Company to High Trail as required thereunder. In accordance with the April 2021 Notes and the September Letter Agreements, effective September 22, 2021, the Company issued to High Trail an aggregate of 3,474,814 shares of its common stock, and effective September 23, 2021, the Company issued to High Trail an aggregate of 5,838,096 shares of its common stock, satisfying its obligation to repay the Acceleration Amount in full. Pursuant to ASC Topic 470, Debt, the Company concluded that as a result of the High Trail Letter Agreements and Omnibus Amendment and the High Trail Debt Repayment, the April 2021 Notes were extinguished on September 22, 2021 in exchange for the $25.0 million of Notes due April 2023. The Company paid off the remaining $25.0 million High Trail Term Loan as of December 31, 2021 (see the discussion under the heading MidCap Credit Facility - December 2021 of this Note 6 below). Pursuant to ASC Topic 470, Debt, the Company concluded the High Trail Term Loan transaction resulted in the extinguishment of the High Trail Term Loan in the amount of $2.5 million of extinguishment, which has been classified within loss on extinguishment of debt on the consolidated statements of operations. For the year-ended December 31, 2021, the Company recorded a total of $138.9 million of debt extinguishment loss which includes the $107.0 million from the High Trail Letter Agreements and Omnibus Amendment and the High Trail Debt Repayment, $28.2 million from the High Trail December 2020 and February 2021 term loans as part of the issuance of the April 2021 Notes, of $2.5 million of extinguishment from the remaining $25.0 million of High Trail Term Loan and $1.5 million from the repayment of the 2018 Credit Facility.</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MidCap Credit Facility – December 2021</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December 22, 2021, the Company entered into a Credit and Security Agreement (the “Credit Agreement”) together with certain of its subsidiaries party thereto as borrowers, the entities party thereto as lenders (the “Lenders”), and MidCap, as administrative agent, pursuant to which, among other things,</w:t>
      </w:r>
    </w:p>
    <w:p>
      <w:pPr>
        <w:ind w:firstLine="8"/>
        <w:spacing w:after="0" w:line="250"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agreed to provide a three year revolving credit facility in a principal amount of up to $50.0 million subject to a borrowing base consisting of, among other things, inventory and sales receivables (subject to certain reserves), and (ii) the Company agreed to issue to MidCap Funding XXVII Trust a warrant (the “MidCap Warrant”) to purchase up to an aggregate of 200,000 shares of common stock of the Company, par value $0.0001 per share, in exchange for the Lenders extending loans and other extensions of credit to the Company under the Credit Agreement. On December 22, 2021, the Company used $27.6 million of the net proceeds from the initial loan under the Credit Agreement to repay all remaining amounts owed under those certain senior secured promissory notes issued by the Company to High Trail Investments SA LLC and High Trail Investments ON LLC in an initial principal amount of $110.0 million, as amended (the “Terminated Notes”). The obligations under the Credit Agreement are a senior secured obligation of the Company and rank senior to all indebtedness of the Company. Borrowings under the Credit Agreement bear interest at a rate per annum equal to 5.50%, plus, at the Company’s option, either a base rate or a LIBOR rate.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 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through and including May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each calendar year, $12.5 million and (b) at all other times, $15.0 million of cash on hand. The Credit Agreement includes events of default that are customary for these types of credit facilities, including the occurrence of a change of control. The Company was in compliance with the financial covenants contained within the Credit Agreement as of June 30, 2022. The Company had approximately $0.0 million and $1.9 million of availability on the Midcap Credit Facility as of December 31, 2021 and June 30, 2022, respectively. The MidCap Warrant has an exercise price of $4.70 per share, subject to adjustment for stock splits, reverse stock splits, stock dividends and similar transactions, was immediately exercisable, has a term of ten years from the date of issuance and is exercisable on a cash or cashless basis. The Company </w:t>
      </w:r>
      <w:r>
        <w:rPr>
          <w:rFonts w:ascii="Times New Roman" w:cs="Times New Roman" w:eastAsia="Times New Roman" w:hAnsi="Times New Roman"/>
          <w:sz w:val="18"/>
          <w:szCs w:val="18"/>
          <w:color w:val="222222"/>
        </w:rPr>
        <w:t>evaluated the terms of each warrant to determine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appropriate accounting and classification pursuant to ASC 480 and ASC 815</w:t>
      </w:r>
      <w:r>
        <w:rPr>
          <w:rFonts w:ascii="Times New Roman" w:cs="Times New Roman" w:eastAsia="Times New Roman" w:hAnsi="Times New Roman"/>
          <w:sz w:val="18"/>
          <w:szCs w:val="18"/>
          <w:color w:val="000000"/>
        </w:rPr>
        <w:t>. B</w:t>
      </w:r>
      <w:r>
        <w:rPr>
          <w:rFonts w:ascii="Times New Roman" w:cs="Times New Roman" w:eastAsia="Times New Roman" w:hAnsi="Times New Roman"/>
          <w:sz w:val="18"/>
          <w:szCs w:val="18"/>
          <w:color w:val="222222"/>
        </w:rPr>
        <w:t>ased on the Company’s evaluation, it concluded that the MidCap Warrant should be classified as equity with no subsequent remeasurement at each quarter so long as such warrants remain to be classified as equity.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as of December 31, 2021 and June 30,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5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83"/>
        </w:trPr>
        <w:tc>
          <w:tcPr>
            <w:tcW w:w="5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color w:val="auto"/>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MidCap Credit Facility – December 2021</w:t>
            </w:r>
          </w:p>
        </w:tc>
        <w:tc>
          <w:tcPr>
            <w:tcW w:w="224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34,119</w:t>
            </w:r>
          </w:p>
        </w:tc>
        <w:tc>
          <w:tcPr>
            <w:tcW w:w="2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35,060</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2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MidCap Credit Facility – December 2021</w:t>
            </w:r>
          </w:p>
        </w:tc>
        <w:tc>
          <w:tcPr>
            <w:tcW w:w="2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33,999</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three and six months ended June 30, 2021 and 2022:</w:t>
      </w:r>
    </w:p>
    <w:p>
      <w:pPr>
        <w:sectPr>
          <w:pgSz w:w="11900" w:h="16838" w:orient="portrait"/>
          <w:cols w:equalWidth="0" w:num="1">
            <w:col w:w="11240"/>
          </w:cols>
          <w:pgMar w:left="320" w:top="441" w:right="339" w:bottom="1440" w:gutter="0" w:footer="0" w:header="0"/>
        </w:sectPr>
      </w:pPr>
    </w:p>
    <w:p>
      <w:pPr>
        <w:spacing w:after="0" w:line="25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7620</wp:posOffset>
            </wp:positionV>
            <wp:extent cx="15862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2" w:lineRule="exact"/>
        <w:rPr>
          <w:sz w:val="20"/>
          <w:szCs w:val="20"/>
          <w:color w:val="auto"/>
        </w:rPr>
      </w:pPr>
    </w:p>
    <w:p>
      <w:pPr>
        <w:ind w:left="6400"/>
        <w:spacing w:after="0"/>
        <w:tabs>
          <w:tab w:leader="none" w:pos="7760" w:val="left"/>
        </w:tabs>
        <w:rPr>
          <w:sz w:val="20"/>
          <w:szCs w:val="20"/>
          <w:color w:val="auto"/>
        </w:rPr>
      </w:pPr>
      <w:r>
        <w:rPr>
          <w:rFonts w:ascii="Times New Roman" w:cs="Times New Roman" w:eastAsia="Times New Roman" w:hAnsi="Times New Roman"/>
          <w:sz w:val="14"/>
          <w:szCs w:val="14"/>
          <w:b w:val="1"/>
          <w:bCs w:val="1"/>
          <w:color w:val="auto"/>
        </w:rPr>
        <w:t>June 30, 2021</w:t>
      </w:r>
      <w:r>
        <w:rPr>
          <w:sz w:val="20"/>
          <w:szCs w:val="20"/>
          <w:color w:val="auto"/>
        </w:rPr>
        <w:tab/>
      </w: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7620</wp:posOffset>
            </wp:positionV>
            <wp:extent cx="1586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13373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June 30, 2021</w:t>
      </w:r>
      <w:r>
        <w:rPr>
          <w:sz w:val="20"/>
          <w:szCs w:val="20"/>
          <w:color w:val="auto"/>
        </w:rPr>
        <w:tab/>
      </w: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1337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8600" w:space="440"/>
            <w:col w:w="2200"/>
          </w:cols>
          <w:pgMar w:left="320" w:top="441"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color w:val="auto"/>
              </w:rPr>
              <w:t>(in thousands)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40" w:type="dxa"/>
            <w:vAlign w:val="bottom"/>
            <w:gridSpan w:val="2"/>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5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4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5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5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Warrants</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6,436,322 shares of the Company’s common stock (the “Shares”), and accompanying warrants to purchase an aggregate of 4,827,242 shares of common stock, and (ii) prefunded warrants to purchase up to an aggregate of 3,013,850 shares of common stock (the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$2.9099, for gross proceeds of approximately $27.5 million. In connection with the 2022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30 days following the agreement date. The Company filed such resale registration statement on March 28, 2022, and it was declared effective by the SEC on April 8, 2022.</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Upon the issuance of the Prefunded Warrants and stock purchase warrants, the Company evaluated the terms of each Warrant to determine the appropriate accounting and classification pursuant to ASC 480 and ASC 815.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 million from this conclusion. As of June 30, 2022, the Company has $11.8 million as the liability related to the Warrants.</w:t>
      </w:r>
    </w:p>
    <w:p>
      <w:pPr>
        <w:spacing w:after="0" w:line="304"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equity plans: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June 30, 2022, 81,935 shares were reserved for awards available for future issuance under the Aterian 2014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adopted the Aterian, Inc. 2018 Equity Incentive Plan (the “2018 Plan”) on October 11, 2018. The 2018 Plan was approved by its stockholders on May 24, 2019. As of June 30, 2022, 910,982 shares were reserved for awards available for future issuance under the 2018 Plan.</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Plan</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Board adopted the Aterian, Inc. 2019 Equity Plan (the “2019 Equity Plan”) on March 20, 2019. The 2019 Equity Plan was approved by its stockholders on May 24, 2019. As of June 30, 2022, no shares were reserved for future issuance and there were no longer any awards outstanding under the 2019 Equity Plan.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the vesting date of the shares granted under the 2019 Equity Plan a number of times and the last remaining shares granted under the 2019 Equity Plan vested on March 14, 2022. Awards granted under the 2019 Equity Plan and not previously forfeited upon termination of service carried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 up expense and the remaining expense was recorded under graded vesting. In the event the service of a participant in the 2019 Equity Plan (each, a “Participant”) was terminated due to an “involuntary termination”, then all of such Participant’s unvested shares of restricted common stock were to vest on the date of such involuntary termination unless, within three business days of such termination (1) the Company’s board of directors unanimously determines that such vesting should not occur and (2) the remaining Participants holding restricted share awards covering at least 70% of the shares of restricted common stock issued and outstanding under the 2019 Equity Plan determine that such vesting should not occur. In the event of a forfeiture, voluntary or involuntary, of shares of restricted common stock granted under the 2019 Equity Plan, such shares were automatically reallocated to the remaining Participants in proportion to the number of shares of restricted common stock covered by outstanding awards that each such Participant holds.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Inducement Equity Incentive Plan</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8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2,700,000 shares of the Company’s common stock (subject to adjustment for recapitalizations, stock splits, reorganizations and similar transactions). The Inducement Plan is administered by the Compensation Committee and expires ten years from the date of effectiveness. As of June 30, 2022, 650,000 shares had been granted pursuant to the Inducement Plan and 2,050,000 shares were reserved for awards available for future issuance under the Inducement Plan.</w:t>
      </w:r>
    </w:p>
    <w:p>
      <w:pPr>
        <w:spacing w:after="0" w:line="1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during the six months ended June 30, 2022:</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522,905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(154,309)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Balance—June 30, 2022</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368,596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2022</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368,457</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as of June 30, 2022</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368,596</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June 30, 2022, the total unrecognized compensation expense related to unvested options was less than $0.1 million, which the Company expects to recognize over an estimated weighted-average period of 0.15 years.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222222"/>
        </w:rPr>
        <w:t>A summary of restricted stock award activity within the Company’s equity plans and changes for the six months ended June 30, 2022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2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54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2,106,180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4,020,674</w:t>
            </w:r>
          </w:p>
        </w:tc>
        <w:tc>
          <w:tcPr>
            <w:tcW w:w="20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(1,466,063)</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(201,596)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4,459,195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2022, the total unrecognized compensation expense related to unvested shares of restricted common stock was $24.5 million, which the Company expects to recognize over an estimated weighted-average period of 2.67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22222"/>
        </w:rPr>
        <w:t>Stock-based compensation expense is allocated based on the cost center to which the award holder belongs. The following table summarizes the total stock-based compensation expense by function, including expense related to consultants, for the three and six months ended June 30, 2021 and 2022:</w:t>
      </w:r>
    </w:p>
    <w:p>
      <w:pPr>
        <w:spacing w:after="0" w:line="1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3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3"/>
                <w:szCs w:val="13"/>
                <w:color w:val="auto"/>
              </w:rPr>
            </w:pPr>
          </w:p>
        </w:tc>
      </w:tr>
      <w:tr>
        <w:trPr>
          <w:trHeight w:val="156"/>
        </w:trPr>
        <w:tc>
          <w:tcPr>
            <w:tcW w:w="3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ind w:left="30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center"/>
              <w:ind w:right="1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8"/>
              </w:rPr>
              <w:t>1,569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80" w:type="dxa"/>
            <w:vAlign w:val="bottom"/>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1,221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8"/>
              </w:rPr>
              <w:t>2,072</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80" w:type="dxa"/>
            <w:vAlign w:val="bottom"/>
            <w:shd w:val="clear" w:color="auto" w:fill="CFF0FC"/>
          </w:tcPr>
          <w:p>
            <w:pPr>
              <w:spacing w:after="0"/>
              <w:rPr>
                <w:sz w:val="19"/>
                <w:szCs w:val="19"/>
                <w:color w:val="auto"/>
              </w:rPr>
            </w:pPr>
          </w:p>
        </w:tc>
      </w:t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4,862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18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80" w:type="dxa"/>
            <w:vAlign w:val="bottom"/>
          </w:tcPr>
          <w:p>
            <w:pPr>
              <w:spacing w:after="0"/>
              <w:rPr>
                <w:sz w:val="19"/>
                <w:szCs w:val="19"/>
                <w:color w:val="auto"/>
              </w:rPr>
            </w:pPr>
          </w:p>
        </w:tc>
      </w:tr>
    </w:tbl>
    <w:p>
      <w:pPr>
        <w:spacing w:after="0" w:line="310"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right"/>
              <w:ind w:right="53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4"/>
          </w:tcPr>
          <w:p>
            <w:pPr>
              <w:jc w:val="right"/>
              <w:ind w:right="53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(36,306)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(16,309)</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(118,859)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(59,085)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used in computing net loss per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basic and diluted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29,547,781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63,947,069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27,886,582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62,749,520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computation of net loss per share (in shares)</w:t>
            </w:r>
          </w:p>
        </w:tc>
        <w:tc>
          <w:tcPr>
            <w:tcW w:w="1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8,342,194</w:t>
            </w: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13,292,054</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9,215,709</w:t>
            </w: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11,004,788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2021 and June 30, 2022, the Company estimates that the potential liability, including current sales tax payable is approximately $0.7 million and $1.1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22222"/>
        </w:rPr>
        <w:t>On May 2, 2021, the Company entered into a settlement agreement with one of the Company’s suppliers who agreed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 xml:space="preserve">amount of $3.0 </w:t>
      </w:r>
      <w:r>
        <w:rPr>
          <w:rFonts w:ascii="Times New Roman" w:cs="Times New Roman" w:eastAsia="Times New Roman" w:hAnsi="Times New Roman"/>
          <w:sz w:val="18"/>
          <w:szCs w:val="18"/>
          <w:b w:val="1"/>
          <w:bCs w:val="1"/>
          <w:color w:val="000000"/>
        </w:rPr>
        <w:t>million to the Company in three installments of $1.0 million</w:t>
      </w:r>
      <w:r>
        <w:rPr>
          <w:rFonts w:ascii="Times New Roman" w:cs="Times New Roman" w:eastAsia="Times New Roman" w:hAnsi="Times New Roman"/>
          <w:sz w:val="18"/>
          <w:szCs w:val="18"/>
          <w:color w:val="222222"/>
        </w:rPr>
        <w:t xml:space="preserve"> 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condensed consolidated financial statements, the supplier has not paid in full its required first payment of $1.0 </w:t>
      </w:r>
      <w:r>
        <w:rPr>
          <w:rFonts w:ascii="Times New Roman" w:cs="Times New Roman" w:eastAsia="Times New Roman" w:hAnsi="Times New Roman"/>
          <w:sz w:val="18"/>
          <w:szCs w:val="18"/>
          <w:b w:val="1"/>
          <w:bCs w:val="1"/>
          <w:color w:val="000000"/>
        </w:rPr>
        <w:t>million nor has it delivered the required quantity of goods. As such,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b w:val="1"/>
          <w:bCs w:val="1"/>
          <w:color w:val="000000"/>
        </w:rPr>
        <w:t xml:space="preserve">Company has fully reserved $4.1 million </w:t>
      </w:r>
      <w:r>
        <w:rPr>
          <w:rFonts w:ascii="Times New Roman" w:cs="Times New Roman" w:eastAsia="Times New Roman" w:hAnsi="Times New Roman"/>
          <w:sz w:val="18"/>
          <w:szCs w:val="18"/>
          <w:color w:val="222222"/>
        </w:rPr>
        <w:t>within prepaid and other current assets on its consolidated financial statements during the year-ended</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December</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31</w:t>
      </w:r>
      <w:r>
        <w:rPr>
          <w:rFonts w:ascii="Times New Roman" w:cs="Times New Roman" w:eastAsia="Times New Roman" w:hAnsi="Times New Roman"/>
          <w:sz w:val="18"/>
          <w:szCs w:val="18"/>
          <w:color w:val="222222"/>
        </w:rPr>
        <w:t>, 2021. The Company has commenced legal action against the supplier and continues to reserve its legal options and rights on this matter as of June 30,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2022.</w:t>
      </w:r>
    </w:p>
    <w:p>
      <w:pPr>
        <w:spacing w:after="0" w:line="18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—The Company is party to various actions and claims arising in the normal course of business. The Company does not believe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Securities Class Action</w:t>
      </w:r>
      <w:r>
        <w:rPr>
          <w:rFonts w:ascii="Times New Roman" w:cs="Times New Roman" w:eastAsia="Times New Roman" w:hAnsi="Times New Roman"/>
          <w:sz w:val="18"/>
          <w:szCs w:val="18"/>
          <w:color w:val="auto"/>
        </w:rPr>
        <w:t>—Following a mediation, an initial settlement-in-principle, and further negotiations, on April 22, 2022,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its codefendants Yaniv Sarig, Fabrice Hamaide, and Arturo Rodriguez, entered into a formal settlement agreement to resolve the purported class action lawsuits filed in the U.S. District Court for the Southern District of New York (the “Court”) by Andrew Tate on May 13, 2021, and by Jeff Coon, on June 10, 2021, consolidated under the caption Tate v. Aterian, Inc., et. al., 21-cv-04323-VM (the “Action”).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Action, plaintiffs claimed that defendants made false and materially misleading statements and failed to disclose material adverse facts regarding the Company’s business, operations, and prospects, and that this was revealed on May 4, 2021, in a report issued by Culper Research. The Company and its codefendants denied, and continue to deny, that these allegations have any merit. The settlement agreement contains no admission of wrongdoing and expressly states that the Company and its codefendants have entered into a settlement solely to avoid the uncertainties, burden, and expense of further litigation.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t>The settlement class consists of purchasers of the Company’s securities during the period from August 24, 2020, through May 3, 2021, inclusive (the “Class Period”). Under the terms of the proposed settlement, members of the settlement class release the Company and its codefendants from, among other things, all claims and causes of action of every nature and description, whether known or unknown, that were asserted in the Action; could have been asserted in the Action; relate in any way to transactions in the Company’s securities during the Class Period and any facts, transactions, or occurrences referred to in any of the pleadings or other documents filed in the Action. Under the agreement, the Company was to pay $1.3 million, within 10 business days of the Court’s preliminary approval of the settlement, which would, after final court approval, be distributed to claimants in the settlement class pursuant to the plan of allocation filed with the Court on May 4, 2022. To the extent permitted by the Court, this payment will also fund the legal fees of plaintiffs’ counsel and the costs of administering the settlement.</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proposed settlement was preliminarily approved by the Court on May 6, 2022, and the Company thereafter paid $1.3 million into the designated escrow. The settlement, however, is still subject to final Court approval. The Court has scheduled a hearing regarding final approval for September 6, 2022. Final approval is expected, but could be delayed by appeals, objections, or other proceedings. In addition, the Company has the right to terminate the settlement agreement if more than a certain percentage of class members elect to opt-out of the settlement.</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the settlement, the Company accrued approximately $1.3 million during the year ended December 31, 2021 and paid approximately $1.3 million in the second quarter of 2022.</w:t>
      </w:r>
    </w:p>
    <w:p>
      <w:pPr>
        <w:spacing w:after="0" w:line="1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222222"/>
        </w:rPr>
        <w:t xml:space="preserve">Shareholder Derivative Actions Related to the </w:t>
      </w:r>
      <w:r>
        <w:rPr>
          <w:rFonts w:ascii="Times New Roman" w:cs="Times New Roman" w:eastAsia="Times New Roman" w:hAnsi="Times New Roman"/>
          <w:sz w:val="18"/>
          <w:szCs w:val="18"/>
          <w:b w:val="1"/>
          <w:bCs w:val="1"/>
          <w:color w:val="000000"/>
        </w:rPr>
        <w:t>Securities Class Action</w:t>
      </w:r>
      <w:r>
        <w:rPr>
          <w:rFonts w:ascii="Times New Roman" w:cs="Times New Roman" w:eastAsia="Times New Roman" w:hAnsi="Times New Roman"/>
          <w:sz w:val="18"/>
          <w:szCs w:val="18"/>
          <w:color w:val="000000"/>
        </w:rPr>
        <w:t>—On October 21, October 25 and November 10, 2021, three</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shareholder</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 xml:space="preserve">derivative actions </w:t>
      </w:r>
      <w:r>
        <w:rPr>
          <w:rFonts w:ascii="Times New Roman" w:cs="Times New Roman" w:eastAsia="Times New Roman" w:hAnsi="Times New Roman"/>
          <w:sz w:val="18"/>
          <w:szCs w:val="18"/>
          <w:color w:val="000000"/>
        </w:rPr>
        <w:t>were filed on behalf of the Company by Shaoxuan Zhang,</w:t>
      </w:r>
      <w:r>
        <w:rPr>
          <w:rFonts w:ascii="Times New Roman" w:cs="Times New Roman" w:eastAsia="Times New Roman" w:hAnsi="Times New Roman"/>
          <w:sz w:val="18"/>
          <w:szCs w:val="18"/>
          <w:color w:val="222222"/>
        </w:rPr>
        <w:t xml:space="preserve"> Michael Sheller and Tyler Magnus in the </w:t>
      </w:r>
      <w:r>
        <w:rPr>
          <w:rFonts w:ascii="Times New Roman" w:cs="Times New Roman" w:eastAsia="Times New Roman" w:hAnsi="Times New Roman"/>
          <w:sz w:val="18"/>
          <w:szCs w:val="18"/>
          <w:color w:val="000000"/>
        </w:rPr>
        <w:t>U.S. District Court for the Southern</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District of New York. These actions, collectively, name </w:t>
      </w:r>
      <w:r>
        <w:rPr>
          <w:rFonts w:ascii="Times New Roman" w:cs="Times New Roman" w:eastAsia="Times New Roman" w:hAnsi="Times New Roman"/>
          <w:sz w:val="18"/>
          <w:szCs w:val="18"/>
          <w:color w:val="222222"/>
        </w:rPr>
        <w:t>Yaniv Sarig, Fabrice Hamaide, Arturo Rodriguez, Greg B. Petersen, Bari A. Harlam, Amy von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Walter, William Kurtz, Roi Zion Zahut, Joseph A. Risico, Tomer Pascal and Mihal Chaouat-Fix as individual defendants, and the Company as a nominal defendant. These actions are predicated on substantively the same factual allegations contained in the above-described securities class action, and assert that the individual defendants (i) breached their fiduciary duties, (ii) misused their authority, (iii) were unjustly enriched and (iv) wasted corporate assets. The action filed by Michael Sheller also alleges that individual defendants Sarig and Hamaide are liable for contribution pursuant to Sections 10(b) and 21D of the Exchange Act in the event the Company is held liable in the Securities Class Action. The action filed by Shaoxuan Zhang alleges analogous liability on the part of Sarig, Hamaide and Rodriguez. Finally, the action filed by Shaoxuan Zhang also alleges that individual defendants Sarig, Harlam, Kurtz, Petersen and von Walter are liable for violations of Section 14(a) of the Exchange Act. The Company believes the allegations are without merit and intends to vigorously defend against these actions. </w:t>
      </w:r>
      <w:r>
        <w:rPr>
          <w:rFonts w:ascii="Times New Roman" w:cs="Times New Roman" w:eastAsia="Times New Roman" w:hAnsi="Times New Roman"/>
          <w:sz w:val="18"/>
          <w:szCs w:val="18"/>
          <w:color w:val="000000"/>
        </w:rPr>
        <w:t>The Company and the parties to this action remain in negotiations regarding a possible settlement of this</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matter, however the outcome of these negotiations are still uncertain. If that process does not succeed, the Company is prepared to continue the full defense of this action. </w:t>
      </w:r>
      <w:r>
        <w:rPr>
          <w:rFonts w:ascii="Times New Roman" w:cs="Times New Roman" w:eastAsia="Times New Roman" w:hAnsi="Times New Roman"/>
          <w:sz w:val="18"/>
          <w:szCs w:val="18"/>
          <w:color w:val="222222"/>
        </w:rPr>
        <w:t>Based on information available to the Company at present, the Company cannot reasonably estimate a range of loss or income for these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actions.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Sabby Contract Action</w:t>
      </w:r>
      <w:r>
        <w:rPr>
          <w:rFonts w:ascii="Times New Roman" w:cs="Times New Roman" w:eastAsia="Times New Roman" w:hAnsi="Times New Roman"/>
          <w:sz w:val="18"/>
          <w:szCs w:val="18"/>
          <w:color w:val="222222"/>
        </w:rPr>
        <w:t>—On September 20, 2021, Sabby Volatility Warrant Master Fund Ltd. (“Sabby”) sued the Company in the Supreme Court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 xml:space="preserve">State of New York, New York County, alleging that the Company breached the Securities Purchase Agreement, dated June 10, 2021 (the “Purchase Agreement”), pursuant to which Sabby purchased 400,000 shares of the Company’s common stock, for an aggregate price of approximately $6.0 million. </w:t>
      </w:r>
      <w:r>
        <w:rPr>
          <w:rFonts w:ascii="Times New Roman" w:cs="Times New Roman" w:eastAsia="Times New Roman" w:hAnsi="Times New Roman"/>
          <w:sz w:val="18"/>
          <w:szCs w:val="18"/>
          <w:b w:val="1"/>
          <w:bCs w:val="1"/>
          <w:color w:val="000000"/>
        </w:rPr>
        <w:t xml:space="preserve">Sabby contends that certain of the representations </w:t>
      </w:r>
      <w:r>
        <w:rPr>
          <w:rFonts w:ascii="Times New Roman" w:cs="Times New Roman" w:eastAsia="Times New Roman" w:hAnsi="Times New Roman"/>
          <w:sz w:val="18"/>
          <w:szCs w:val="18"/>
          <w:color w:val="222222"/>
        </w:rPr>
        <w:t>and warranties made by the Company in the Purchase Agreement concerning its financial condition</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222222"/>
        </w:rPr>
        <w:t>and the accuracy of its prior disclosures were untrue and that the Company breached the Purchase Agreement’s anti-dilution and use-of-proceeds covenants on both August 9, 2021 and September 23, 2021, when the Company resolved certain defaults with High Trail. The Company intends to vigorously defend against this action, however, the outcome of this legal proceeding is currently uncertain. Based on information available to the Company at present, the Company cannot reasonably estimate a range of loss for this action.</w:t>
      </w:r>
    </w:p>
    <w:p>
      <w:pPr>
        <w:spacing w:after="0" w:line="1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Mueller Action</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In October 2021, the Company received a class action notification and pre-lawsuit demand letter demanding corrective action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marketing, advertising and labeling of certain products under the Mueller Austria brand (the “Mueller Action”). In April 2022, the parties reached an agreement in principle to resolve this potential action for $0.5 million in cash and $0.3 million worth of coupons, which the Company accrued $0.8 million in the three months ended March 31, 2022, subject to negotiation of a formal memorandum of understanding, the execution of final settlement documents and court approval. If that process does not succeed, the Company is prepared to continue the full defense of this action.</w:t>
      </w:r>
    </w:p>
    <w:p>
      <w:pPr>
        <w:spacing w:after="0" w:line="17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Sentia Wellness Action</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On June 7, 2022, Sentia Welleness Inc. filed an action in Multnomah County, Oregon against Boris Jordan; Measure 8 Ventures,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LP; Gron Ventures Fund I, LP; Zola Global Investors Ltd.; Anson Advisors Inc.; AC Anson Investments Ltd.; Anson Investments Master Fund LP; Anson Opportunities Master Fund LP; Serendipity SPC -Trimble Fund SP; Lapid Us Investments LLC; Hadron Healthcare and Consumer Special Opportunities Master Fund; Alliance Global Partners LLC; Sunny Puri; Juan Martinez; Peter Clateman; Wilder Ramsey; Gregory Crowe; Igor Gimelshtein; Tarik Ouass; Andrea Oriani; Marco D’attanseo; Afzal Hasan; and the Company. Sentia asserts claims for breach of fiduciary duty, breach of duty of good faith and fair dealing,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8" w:name="page29"/>
    <w:bookmarkEnd w:id="28"/>
    <w:p>
      <w:pPr>
        <w:ind w:right="120"/>
        <w:spacing w:after="0" w:line="261" w:lineRule="auto"/>
        <w:rPr>
          <w:sz w:val="20"/>
          <w:szCs w:val="20"/>
          <w:color w:val="auto"/>
        </w:rPr>
      </w:pPr>
      <w:r>
        <w:rPr>
          <w:rFonts w:ascii="Times New Roman" w:cs="Times New Roman" w:eastAsia="Times New Roman" w:hAnsi="Times New Roman"/>
          <w:sz w:val="18"/>
          <w:szCs w:val="18"/>
          <w:color w:val="auto"/>
        </w:rPr>
        <w:t>intentional interference with prospective economic relations, intentional interference with contractual relationship, negligent misrepresentation, and unjust enrichment against various of these defendants, based on the allegation that Sentia’s debt holders conspired to take control of the company and direct its resources and acquisition efforts to the debt holders’ individual financial interests. Sentia alleges that Aterian—then known as Mohawk—contemplated a partial acquisition of Sentia that played some role in these events. No responsive pleadings have been filed or are yet due.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22222"/>
        </w:rPr>
        <w:t>The Company intends to vigorously defend against this action. Never</w:t>
      </w:r>
      <w:r>
        <w:rPr>
          <w:rFonts w:ascii="Times New Roman" w:cs="Times New Roman" w:eastAsia="Times New Roman" w:hAnsi="Times New Roman"/>
          <w:sz w:val="18"/>
          <w:szCs w:val="18"/>
          <w:color w:val="000000"/>
        </w:rPr>
        <w:t>theless, t</w:t>
      </w:r>
      <w:r>
        <w:rPr>
          <w:rFonts w:ascii="Times New Roman" w:cs="Times New Roman" w:eastAsia="Times New Roman" w:hAnsi="Times New Roman"/>
          <w:sz w:val="18"/>
          <w:szCs w:val="18"/>
          <w:color w:val="222222"/>
        </w:rPr>
        <w:t xml:space="preserve">he outcome of this legal proceeding remains uncertain. Based on information available to the Company at present, the Company cannot reasonably estimate a range of loss for this </w:t>
      </w:r>
      <w:r>
        <w:rPr>
          <w:rFonts w:ascii="Times New Roman" w:cs="Times New Roman" w:eastAsia="Times New Roman" w:hAnsi="Times New Roman"/>
          <w:sz w:val="18"/>
          <w:szCs w:val="18"/>
          <w:color w:val="000000"/>
        </w:rPr>
        <w:t>action.</w:t>
      </w:r>
    </w:p>
    <w:p>
      <w:pPr>
        <w:spacing w:after="0" w:line="15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Earn-out Payment Dispute</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On February 24, 2022, the Company received a notice disputing the Company’s calculation of the earn-out payment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Josef Eitan and Ran Nir pursuant to the Stock Purchase Agreement (the “PPD Stock Purchase Agreement”), dated as of May 5, 2021, by and among the Company, Truweo, LLC, Photo Paper Direct Ltd, Josef Eitan and Ran Nir. The Company is in discussions with representatives of Josef Eitan and Ran Nir, who believe they are entitled to the full earnout under the terms of the PPD Stock Purchase Agreement, whereas the Company believe they are not. The parties are proceeding to resolve the matter as required pursuant to the terms of the PPD Stock Purchase Agreement, however the Company believes its calculations are accurate and intends to vigorously defend itself.</w:t>
      </w:r>
    </w:p>
    <w:p>
      <w:pPr>
        <w:spacing w:after="0" w:line="20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There were no new significant leases or embedded leases identified with the adoption of the lease accounting standard described in Note 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minimum lease liabilities has not changed significantly during the six months ended June 30, 2022.</w:t>
      </w:r>
    </w:p>
    <w:p>
      <w:pPr>
        <w:spacing w:after="0" w:line="2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Seller Note</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On March 22, 2022, the Company entered into a settlement agreement with Truweo, pursuant to which the Company satisfied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seller note for 292,887 shares and recorded $2.0 million gain on extinguishment of debt on the condensed consolidated statement of operations.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Healing Solutions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 2021 (the “Closing Date”), the Company entered into and closed the Asset Purchase Agreement with Healing Solutions, LLC (“Healing Solutions”). Pursuant to the Asset Purchase Agreement, the Company purchased and acquired certain assets of Healing Solutions (the “Healing Solutions Assets”) related to Healing Solutions’ retail and e-commerce business under the Healing Solutions’ brands, Tarvol, Sun Essential Oils and Artizen (among others), which primarily sells essential oils through Amazon and other marketplaces (the “Asset Purchase”). The Asset Purchase was accounted for as a business combination using the acquisition method of accounting in accordance with ASC Topic 805, Business Combinations. As consideration for the Asset Purchase, the Company (i) paid to Healing Solutions $15.3 million in cash (the “Cash Purchase Price”), and (ii) issued 1,387,759 shares of common stock to Healing Solutions, the cost basis of which was the closing price per share of the common stock on the Closing Date. At the closing (the “Closing”), the Company withheld $2.0 million of the Cash Purchase Price to serve as collateral for Healing Solutions’ payment of certain overdue trade payables to be released to Healing Solutions in accordance with the terms of the Asset Purchase Agreement. This amount was paid by the Company within 60 days of the Closing Date.</w:t>
      </w:r>
    </w:p>
    <w:p>
      <w:pPr>
        <w:spacing w:after="0" w:line="14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Healing Solutions will be entitled to receive 170,042 shares of common stock (up to a maximum of 280,000 shares pursuant to certain terms and valuation at the measurement date) in respect of certain inventory. The shares will be issued to Healing Solutions following the final determination of inventory values pursuant to the terms of the Asset Purchase Agreement, which determination is expected to occur approximately nine to ten months following the Closing Date and such shares will be subject to vesting restrictions which will lapse on the date that is the one-year anniversary after the Closing Date. Pursuant to the terms of the Asset Purchase Agreement, Healing Solutions was required to use its commercially reasonable efforts to identify one or more suppliers of finished goods inventory of all SKUs that constitute assets acquired in the Asset Purchase (“New Suppliers”) and to initiate discussions with such New Suppliers for the purpose of negotiating new supply agreements between the Company or its affiliates, on the one hand, and the New Supplier, on the other hand, for the purchase of such SKUs following the Closing on terms acceptable to the Company in its sole discretion, acting reasonably. If, on or before the date that is 15 months after the Closing Date, an Earn-Out Consideration Event (as defined in the Asset Purchase Agreement) had occurred, then Healing Solutions was to be entitled to receive up to a maximum of 528,670 shares of common stock, which number of shares was subject to reduction in accordance with the terms of the Asset Purchase Agreement based on the time period within which the Earn-</w:t>
      </w:r>
    </w:p>
    <w:p>
      <w:pPr>
        <w:spacing w:after="0" w:line="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Out Consideration Event occurs. In November 2021, the Company issued 1.4 million shares of common stock in full settlement of the Earn-Out. As of December 31, 2021, there was no remaining earn-out liability related to Healing Solutions. See the discussion below under the heading Contingent Earn-Out Liability Considerations of this Note 10 for additional information.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 estimated fair values at acquisition date: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7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allocated</w:t>
            </w:r>
          </w:p>
        </w:tc>
        <w:tc>
          <w:tcPr>
            <w:tcW w:w="0" w:type="dxa"/>
            <w:vAlign w:val="bottom"/>
          </w:tcPr>
          <w:p>
            <w:pPr>
              <w:spacing w:after="0"/>
              <w:rPr>
                <w:sz w:val="1"/>
                <w:szCs w:val="1"/>
                <w:color w:val="auto"/>
              </w:rPr>
            </w:pPr>
          </w:p>
        </w:tc>
      </w:tr>
      <w:tr>
        <w:trPr>
          <w:trHeight w:val="156"/>
        </w:trPr>
        <w:tc>
          <w:tcPr>
            <w:tcW w:w="7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19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15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1,387,759 shares of Common Stock issued at the Closing</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Seller note for inventory</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Estimated earnout liability</w:t>
            </w:r>
          </w:p>
        </w:tc>
        <w:tc>
          <w:tcPr>
            <w:tcW w:w="1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consideration to be paid</w:t>
            </w:r>
          </w:p>
        </w:tc>
        <w:tc>
          <w:tcPr>
            <w:tcW w:w="1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15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(10 year useful life)</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Goodwill is expected to be deductible for tax purposes. The goodwill is attributable to expected synergies resulting from integrating the Healing Solutions’ products into the Company’s existing sales channels.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Squatty Potty Assets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5, 2021, the Company acquired the business of e-commerce and retail company Squatty Potty, LLC (“Squatty Potty”), a leading online seller of health and wellness products, in an asset purchase transaction. Currently, Squatty Potty products are sold in thousands of retail locations including Bed, Bath &amp; Beyond, Walmart and Target. As consideration for Squatty Potty’s assets, the Company paid approximately $19.0 million in cash. The Company also paid approximately $1.1 million as consideration related to acquired inventory. In addition, and subject to the achievement of contribution margin metrics for the year-ended December 31, 2021, the Company agreed to pay Squatty Potty a maximum earn-out of approximately $4.0 million, payable in shares of common stock or cash at Squatty Potty’s discretion. The Company also agreed to pay Squatty Potty $8.0 million for transition services, payable in shares of common stock or cash at Squatty Potty’s discretion. See the discussion below under the heading Contingent Earn-Out Liability Considerations of this Note 10 for additional information</w:t>
      </w:r>
      <w:r>
        <w:rPr>
          <w:rFonts w:ascii="Times New Roman" w:cs="Times New Roman" w:eastAsia="Times New Roman" w:hAnsi="Times New Roman"/>
          <w:sz w:val="18"/>
          <w:szCs w:val="18"/>
          <w:i w:val="1"/>
          <w:iCs w:val="1"/>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 estimated fair values at acquisition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47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services payments</w:t>
            </w:r>
          </w:p>
        </w:tc>
        <w:tc>
          <w:tcPr>
            <w:tcW w:w="4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earnout liability</w:t>
            </w:r>
          </w:p>
        </w:tc>
        <w:tc>
          <w:tcPr>
            <w:tcW w:w="44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442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20" w:type="dxa"/>
            <w:vAlign w:val="bottom"/>
            <w:vMerge w:val="restart"/>
          </w:tcPr>
          <w:p>
            <w:pPr>
              <w:jc w:val="right"/>
              <w:ind w:right="271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8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(10 year useful life)</w:t>
            </w:r>
          </w:p>
        </w:tc>
        <w:tc>
          <w:tcPr>
            <w:tcW w:w="3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(1)</w:t>
            </w:r>
          </w:p>
        </w:tc>
        <w:tc>
          <w:tcPr>
            <w:tcW w:w="3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2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30,773</w:t>
            </w: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40" w:hanging="372"/>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expected to be deductible for tax purposes. The goodwill is attributable to expected synergies resulting from integrating the Squatty Potty products into the Company’s existing sales channel.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Photo Paper Direct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5, 2021, the Company closed the acquisition of all outstanding stock of e-commerce company Photo Paper Direct Ltd. (“Photo Paper Direct”), a leading online seller of printing supplies. As consideration for Photo Paper Direct’s stock, the Company paid approximately $8.3 million in cash and issued approximately 704,500 shares of the Company’s common stock. The Company also paid approximately $5.4 million in cash as consideration related to Photo Paper Direct’s inventory and other working capital assets, including cash on hand of approximately $3.0 million. In addition, and subject to the achievement of certain Adjusted EBITDA metrics by December 31, 2021, the Company agreed to issue to Photo Paper Direct a maximum earn-out of $6.0 million in cash and $2.0 million in the Company’s common stock. The earn-out was not achieved. See the discussion below under the heading Contingent Earn-Out Liability Considerations of this Note 10 for additional information</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 estimated fair values at acquisition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allocated</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704,548 shares of common stock issued</w:t>
            </w:r>
          </w:p>
        </w:tc>
        <w:tc>
          <w:tcPr>
            <w:tcW w:w="5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52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Estimated earnout liability</w:t>
            </w:r>
          </w:p>
        </w:tc>
        <w:tc>
          <w:tcPr>
            <w:tcW w:w="5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5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4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52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5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(10 year useful life)</w:t>
            </w:r>
          </w:p>
        </w:tc>
        <w:tc>
          <w:tcPr>
            <w:tcW w:w="520" w:type="dxa"/>
            <w:vAlign w:val="bottom"/>
            <w:shd w:val="clear" w:color="auto" w:fill="CFF0FC"/>
          </w:tcPr>
          <w:p>
            <w:pPr>
              <w:spacing w:after="0"/>
              <w:rPr>
                <w:sz w:val="19"/>
                <w:szCs w:val="19"/>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Goodwill (1)</w:t>
            </w:r>
          </w:p>
        </w:tc>
        <w:tc>
          <w:tcPr>
            <w:tcW w:w="5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 (2)</w:t>
            </w:r>
          </w:p>
        </w:tc>
        <w:tc>
          <w:tcPr>
            <w:tcW w:w="520" w:type="dxa"/>
            <w:vAlign w:val="bottom"/>
            <w:shd w:val="clear" w:color="auto" w:fill="CFF0FC"/>
          </w:tcPr>
          <w:p>
            <w:pPr>
              <w:spacing w:after="0"/>
              <w:rPr>
                <w:sz w:val="19"/>
                <w:szCs w:val="19"/>
                <w:color w:val="auto"/>
              </w:rPr>
            </w:pPr>
          </w:p>
        </w:tc>
        <w:tc>
          <w:tcPr>
            <w:tcW w:w="2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right="100" w:hanging="368"/>
        <w:spacing w:after="0" w:line="255"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based on preliminary purchase price and most recent book values of tangible assets and prior to any deferred tax assets/liabilities. Subject to change based on the actual closing balance sheet and any purchase accounting adjustments. Goodwill is expected to be deductible for tax purposes. The goodwill is attributable to expected synergies resulting from integrating the Photo Paper Direct products into the Company’s existing sales channels.</w:t>
      </w:r>
    </w:p>
    <w:p>
      <w:pPr>
        <w:spacing w:after="0" w:line="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measurement period adjustment was recorded that resulted in a deferred tax liability of $1.5 million, and corresponding increase in goodwill.</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Pro Forma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acquisitions for the three and six months ended June 30, 2022.</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information illustrates the impact of the acquisitions on the Company’s net revenue for the three and six months ended June 30, 2021. The acquisitions are reflected in the following pro forma information as if the acquisitions had occurred on January 1,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2021</w:t>
            </w:r>
          </w:p>
        </w:tc>
      </w:tr>
      <w:tr>
        <w:trPr>
          <w:trHeight w:val="156"/>
        </w:trPr>
        <w:tc>
          <w:tcPr>
            <w:tcW w:w="75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as reported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6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116,324</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Healing Solutions net revenue (1)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Squatty Potty net revenue (2)</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FF0FC"/>
          </w:tcPr>
          <w:p>
            <w:pPr>
              <w:spacing w:after="0"/>
              <w:rPr>
                <w:sz w:val="19"/>
                <w:szCs w:val="19"/>
                <w:color w:val="auto"/>
              </w:rPr>
            </w:pPr>
          </w:p>
        </w:tc>
      </w:tr>
      <w:tr>
        <w:trPr>
          <w:trHeight w:val="229"/>
        </w:trPr>
        <w:tc>
          <w:tcPr>
            <w:tcW w:w="7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Photo Paper Direct net revenue (3)</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Borders>
              <w:bottom w:val="single" w:sz="8" w:color="CFF0FC"/>
            </w:tcBorders>
          </w:tcPr>
          <w:p>
            <w:pPr>
              <w:spacing w:after="0"/>
              <w:rPr>
                <w:sz w:val="19"/>
                <w:szCs w:val="19"/>
                <w:color w:val="auto"/>
              </w:rPr>
            </w:pPr>
          </w:p>
        </w:tc>
      </w:tr>
      <w:tr>
        <w:trPr>
          <w:trHeight w:val="223"/>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pro forma</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71,558</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 as reported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60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(23,286)</w:t>
            </w: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Healing Solutions income (1)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r>
      <w:tr>
        <w:trPr>
          <w:trHeight w:val="22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Squatty Potty income (2)</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FF0FC"/>
          </w:tcPr>
          <w:p>
            <w:pPr>
              <w:spacing w:after="0"/>
              <w:rPr>
                <w:sz w:val="19"/>
                <w:szCs w:val="19"/>
                <w:color w:val="auto"/>
              </w:rPr>
            </w:pPr>
          </w:p>
        </w:tc>
      </w:tr>
      <w:tr>
        <w:trPr>
          <w:trHeight w:val="229"/>
        </w:trPr>
        <w:tc>
          <w:tcPr>
            <w:tcW w:w="7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Photo Paper Direct income (3)</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Borders>
              <w:bottom w:val="single" w:sz="8" w:color="CFF0FC"/>
            </w:tcBorders>
          </w:tcPr>
          <w:p>
            <w:pPr>
              <w:spacing w:after="0"/>
              <w:rPr>
                <w:sz w:val="19"/>
                <w:szCs w:val="19"/>
                <w:color w:val="auto"/>
              </w:rPr>
            </w:pPr>
          </w:p>
        </w:tc>
      </w:tr>
      <w:tr>
        <w:trPr>
          <w:trHeight w:val="223"/>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 pro forma</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40" w:right="240" w:hanging="368"/>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accompanying condensed consolidated financial statements for the three and six months-ended June 30, 2021, net revenue, as reported, includes $11.7 million and $20.2 million of net revenue, respectively, from this acquisition. For the three and six months-ended June 30, 2021, operating income, as reported, includes $5.1 million and $6.4 million of operating income, respectively, from this acquisition.</w:t>
      </w:r>
    </w:p>
    <w:p>
      <w:pPr>
        <w:spacing w:after="0" w:line="175" w:lineRule="exact"/>
        <w:rPr>
          <w:rFonts w:ascii="Times New Roman" w:cs="Times New Roman" w:eastAsia="Times New Roman" w:hAnsi="Times New Roman"/>
          <w:sz w:val="18"/>
          <w:szCs w:val="18"/>
          <w:color w:val="auto"/>
        </w:rPr>
      </w:pPr>
    </w:p>
    <w:p>
      <w:pPr>
        <w:ind w:left="740" w:right="40" w:hanging="368"/>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accompanying condensed consolidated financial statements for each of the three and six months-ended June 30, 2021, net revenue, as reported, includes $2.2 million of net revenue from this acquisition. For each of the three and six months-ended June 30, 2021, operating income, as reported, includes $0.7 million of operating income from this acquisition.</w:t>
      </w:r>
    </w:p>
    <w:p>
      <w:pPr>
        <w:spacing w:after="0" w:line="175" w:lineRule="exact"/>
        <w:rPr>
          <w:rFonts w:ascii="Times New Roman" w:cs="Times New Roman" w:eastAsia="Times New Roman" w:hAnsi="Times New Roman"/>
          <w:sz w:val="18"/>
          <w:szCs w:val="18"/>
          <w:color w:val="auto"/>
        </w:rPr>
      </w:pPr>
    </w:p>
    <w:p>
      <w:pPr>
        <w:ind w:left="740" w:right="40" w:hanging="368"/>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accompanying condensed consolidated financial statements for each of the three and six months-ended June 30, 2021, net revenue, as reported, includes $3.1 million of net revenue from this acquisition. For each of the three and six months-ended June 30, 2021, operating income, as reported, includes $0.6 million of operating income from this acquisition.</w:t>
      </w:r>
    </w:p>
    <w:p>
      <w:pPr>
        <w:spacing w:after="0" w:line="17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Company engaged a third-party valuation specialist to perform a valuation of the intangible assets acquired for all acquisitions. In performing the valuation, the Company’s management assessed the reasonableness of the projected financial information (“PFI”) by comparing it to the Company’s historical results and financial information for a peer group of the most similar public companies. Based on this review, the Company’s management determined the PFI is reasonable for business and intangible asset valuation purposes.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Earn-Out Liability Considerations</w:t>
      </w:r>
    </w:p>
    <w:p>
      <w:pPr>
        <w:spacing w:after="0" w:line="1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part of the acquisition of the Smash Assets, the sellers of the Smash Assets are entitled to earn-out payments based on the achievement of certain contribution margin thresholds on certain products of the acquired business. Earn-out payments will be due to the sellers for year one, or calendar year 2021 in the first quarter of 2022, and year two, or calendar year 2022, will be due in the first quarter of 2023. For the year-ended December 31, 2021 (year one of the earn-out), the earn-out payment will be calculated based on the contribution margin generated on certain products for an amount equal to $1.67 for every $1.00 of such contribution margin that 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2" w:name="page33"/>
    <w:bookmarkEnd w:id="32"/>
    <w:p>
      <w:pPr>
        <w:ind w:right="40"/>
        <w:spacing w:after="0" w:line="258" w:lineRule="auto"/>
        <w:rPr>
          <w:sz w:val="20"/>
          <w:szCs w:val="20"/>
          <w:color w:val="auto"/>
        </w:rPr>
      </w:pPr>
      <w:r>
        <w:rPr>
          <w:rFonts w:ascii="Times New Roman" w:cs="Times New Roman" w:eastAsia="Times New Roman" w:hAnsi="Times New Roman"/>
          <w:sz w:val="18"/>
          <w:szCs w:val="18"/>
          <w:color w:val="auto"/>
        </w:rPr>
        <w:t>greater than $15.5 million and less than or equal to $18.5 million. Such earn-out payment cannot exceed $5.0 million. In addition, during the year-ending December 31, 2022 (year two of the earn-out), for each $0.5 million of contribution margin generated on certain products in excess of $15.5 million, subject to a cap of $27.5 million, the sellers shall be entitled to receive an amount in cash equal to the value of 0.1 million shares of the Company’s common stock multiplied by the average of the volume-weighted-average closing price per share of the Company’s common stock, for the 30 consecutive trading days ending on December 31, 2022.</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2021, the fair value amount of the earn-out payment was appropriately $5.2 million. As of June 30, 2022, the fair value amount of the earn-out payment with respect to the Smash Assets was approximately $0.8 million, representing a net change of fair value impact of approximately $4.5 million for six months-ended June 30, 2022.</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part of the acquisition of the Healing Solutions Assets, Healing Solutions was entitled to earn-out payments based on the achievement of certain contribution margin thresholds on certain products of the acquired business. If the earn-out consideration event occurred: (i) prior to the date that is nine months following the Closing Date, the Company will issue 528,670 shares of its common stock to Healing Solutions; (ii) on or after the date that is nine months following the Closing Date but before the date that is 12 months following the Closing Date, the Company was to issue 396,502 shares of common stock to Healing Solutions; or (iii) on or after the date that is 12 months following the Closing Date but before the date that is 15 months following the Closing Date (the date that is 15 months following the Closing Date, the “Earn-Out Termination Date”), the Company was to issue 264,335 shares of common stock to Healing Solutions; or after 15 months, the Company would not have any obligation to issue any shares of its common stock to Healing Solutions.</w:t>
      </w:r>
    </w:p>
    <w:p>
      <w:pPr>
        <w:spacing w:after="0" w:line="192"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As of February 2, 2021, the acquisition date, the initial fair value amount of the earn-out payment with respect to the Healing Solutions Assets was appropriately $16.5 million. In November 2021, the Company issued 1.4 million shares of common stock in full settlement of the earn-out. As of December 31, 2021 there is no remaining earn-out liability related to Healing Solutions.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part of the acquisition of the Squatty Potty Assets, Squatty Potty is entitled to earn-out payments based on the achievement of certain contribution margin thresholds on certain products of the acquired business. If the earn-out consideration event occurs in 12 months ended December 31, 2021, the maximum payment amount is $3.9 million and if the termination of the transition service agreement is prior to the date that is nine months following the Closing Date, an additional $3.9 million.</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May 5, 2021, the acquisition date, the initial fair value amount of the earn-out payment with respect to the Squatty Potty Assets was appropriately $3.5 million. As of June 30, 2022, there is no remaining earn-out liability related to Squatty Potty.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May 5, 2021, the acquisition date of Photo Paper Direct Ltd. (“Photo Paper Direct”), the initial fair value amount of the earn-out payment with respect to the Photo Paper Direct acquisition was appropriately $0.9 million. As of December 31, 2021, the fair value amount of the earn-out payment with respect to the Photo Paper Direct acquisition was approximately $0.0 million as the earnout was not achieved.</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estimated contingent earn-out liabilities (in thousands) as of December 31, 2021 (in thousands):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Smash</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Healing</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Squatty</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Photo Paper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12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Potty</w:t>
            </w:r>
          </w:p>
        </w:tc>
        <w:tc>
          <w:tcPr>
            <w:tcW w:w="16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Balance—January 1, 2021</w:t>
            </w:r>
          </w:p>
        </w:tc>
        <w:tc>
          <w:tcPr>
            <w:tcW w:w="3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22,531</w:t>
            </w:r>
          </w:p>
        </w:tc>
        <w:tc>
          <w:tcPr>
            <w:tcW w:w="100" w:type="dxa"/>
            <w:vAlign w:val="bottom"/>
            <w:shd w:val="clear" w:color="auto" w:fill="CFF0FC"/>
          </w:tcPr>
          <w:p>
            <w:pPr>
              <w:spacing w:after="0"/>
              <w:rPr>
                <w:sz w:val="20"/>
                <w:szCs w:val="20"/>
                <w:color w:val="auto"/>
              </w:rPr>
            </w:pPr>
          </w:p>
        </w:tc>
      </w:tr>
      <w:tr>
        <w:trPr>
          <w:trHeight w:val="21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date fair value of contingent earn-out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and inventory to be settled in 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tcPr>
          <w:p>
            <w:pPr>
              <w:spacing w:after="0"/>
              <w:rPr>
                <w:sz w:val="20"/>
                <w:szCs w:val="20"/>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(17,291)</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(12,808)</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(30,529)</w:t>
            </w: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Payment of contingent earn-out liability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(3,750)</w:t>
            </w: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8"/>
        <w:spacing w:after="0" w:line="266"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$3.8 million payment relating to Healing Solutions earn-out was made with 1.4 million of the Company's common stock in November 2021. This resulted in a settlement charge of $4.2 million due to the difference of fair value of the shares issued on the settlement date versus the fair value of the earn-out on the date of the settlement.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3" w:name="page34"/>
    <w:bookmarkEnd w:id="33"/>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estimated contingent earn-out liabilities (in thousands) as of June 30, 2022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5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Smash</w:t>
            </w:r>
          </w:p>
        </w:tc>
        <w:tc>
          <w:tcPr>
            <w:tcW w:w="12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Healing</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Squatty</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Photo Paper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Potty</w:t>
            </w: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1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2"/>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shd w:val="clear" w:color="auto" w:fill="CFF0FC"/>
          </w:tcPr>
          <w:p>
            <w:pPr>
              <w:spacing w:after="0"/>
              <w:rPr>
                <w:sz w:val="20"/>
                <w:szCs w:val="20"/>
                <w:color w:val="auto"/>
              </w:rPr>
            </w:pP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(4,466)</w:t>
            </w:r>
          </w:p>
        </w:tc>
        <w:tc>
          <w:tcPr>
            <w:tcW w:w="12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(4,466)</w:t>
            </w: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contingent earn-out liability</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(3,983)</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(3,983)</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Balance—June 30, 2022</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 assets as of December 31, 2021 and June 30, 2022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80" w:type="dxa"/>
            <w:vAlign w:val="bottom"/>
            <w:tcBorders>
              <w:top w:val="single" w:sz="8" w:color="auto"/>
            </w:tcBorders>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47,318</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3520" w:type="dxa"/>
            <w:vAlign w:val="bottom"/>
          </w:tcPr>
          <w:p>
            <w:pPr>
              <w:spacing w:after="0"/>
              <w:rPr>
                <w:sz w:val="24"/>
                <w:szCs w:val="24"/>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80" w:type="dxa"/>
            <w:vAlign w:val="bottom"/>
            <w:tcBorders>
              <w:top w:val="single" w:sz="8" w:color="auto"/>
            </w:tcBorders>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Impairments (1)</w:t>
            </w:r>
          </w:p>
        </w:tc>
        <w:tc>
          <w:tcPr>
            <w:tcW w:w="26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40" w:right="20" w:hanging="368"/>
        <w:spacing w:after="0" w:line="258" w:lineRule="auto"/>
        <w:tabs>
          <w:tab w:leader="none" w:pos="785" w:val="left"/>
        </w:tabs>
        <w:numPr>
          <w:ilvl w:val="0"/>
          <w:numId w:val="22"/>
        </w:numPr>
        <w:rPr>
          <w:rFonts w:ascii="Times New Roman" w:cs="Times New Roman" w:eastAsia="Times New Roman" w:hAnsi="Times New Roman"/>
          <w:sz w:val="18"/>
          <w:szCs w:val="18"/>
          <w:color w:val="202124"/>
        </w:rPr>
      </w:pPr>
      <w:r>
        <w:rPr>
          <w:rFonts w:ascii="Times New Roman" w:cs="Times New Roman" w:eastAsia="Times New Roman" w:hAnsi="Times New Roman"/>
          <w:sz w:val="18"/>
          <w:szCs w:val="18"/>
          <w:color w:val="auto"/>
        </w:rPr>
        <w:t xml:space="preserve">The Company engaged a third-party valuation specialist to assist management in performing an interim goodwill impairment test in March 2022. For goodwill, impairment testing is based upon the best information available using a combination of the discounted cash flow method (a form of the income approach) and the guideline public company method. As a result of the impairment testing, the Company recorded a goodwill impairment </w:t>
      </w:r>
      <w:r>
        <w:rPr>
          <w:rFonts w:ascii="Times New Roman" w:cs="Times New Roman" w:eastAsia="Times New Roman" w:hAnsi="Times New Roman"/>
          <w:sz w:val="18"/>
          <w:szCs w:val="18"/>
          <w:color w:val="202124"/>
        </w:rPr>
        <w:t>charge of $29.0 million in the three months</w:t>
      </w:r>
      <w:r>
        <w:rPr>
          <w:rFonts w:ascii="Times New Roman" w:cs="Times New Roman" w:eastAsia="Times New Roman" w:hAnsi="Times New Roman"/>
          <w:sz w:val="18"/>
          <w:szCs w:val="18"/>
          <w:color w:val="auto"/>
        </w:rPr>
        <w:t xml:space="preserve"> ended March 31 2022, primarily due to the decrease in its market capitalization. The Company did not record a goodwill impairment charge for the three months ending June 30,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 assets as of December 31, 2021 and June 30, 2022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80" w:type="dxa"/>
            <w:vAlign w:val="bottom"/>
            <w:tcBorders>
              <w:top w:val="single" w:sz="8" w:color="auto"/>
            </w:tcBorders>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tcBorders>
              <w:top w:val="single" w:sz="8" w:color="auto"/>
            </w:tcBorders>
            <w:gridSpan w:val="3"/>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intangibles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540" w:type="dxa"/>
            <w:vAlign w:val="bottom"/>
          </w:tcPr>
          <w:p>
            <w:pPr>
              <w:spacing w:after="0"/>
              <w:rPr>
                <w:sz w:val="24"/>
                <w:szCs w:val="24"/>
                <w:color w:val="auto"/>
              </w:rPr>
            </w:pP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180" w:type="dxa"/>
            <w:vAlign w:val="bottom"/>
            <w:tcBorders>
              <w:top w:val="single" w:sz="8" w:color="auto"/>
            </w:tcBorders>
            <w:gridSpan w:val="3"/>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240" w:type="dxa"/>
            <w:vAlign w:val="bottom"/>
            <w:tcBorders>
              <w:top w:val="single" w:sz="8" w:color="auto"/>
            </w:tcBorders>
            <w:gridSpan w:val="3"/>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100" w:type="dxa"/>
            <w:vAlign w:val="bottom"/>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intangibles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(11,103)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aggregate amortization of the Company’s in-place intangible assets and favorable intangible assets for the next five years and thereafter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5900" w:type="dxa"/>
            <w:vAlign w:val="bottom"/>
            <w:gridSpan w:val="2"/>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5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5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56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2021 included in our Annual Report on Form 10-K for the year ended December 31, 2021 as filed with the Securities and Exchange Commission (the “SEC”) on March 16, 2022.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spacing w:after="0" w:line="172"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terms “Aterian,” the “Company,” “we,” “us” and “our” in this Quarterly Report on Form 10-Q refer to Aterian, Inc. and our consolidated subsidiaries, including Aterian Group, Inc.</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a technology-enabled consumer products platform that uses “data science” (which includes machine learning, natural language processing, and data analytics) to design, develop, market and sell products. We were founded on the premise that if a company selling consumer packaged goods was founded today, it would apply data science, the synthesis of massive quantities of data and the use of social proof to validate high caliber product offerings as opposed to over-reliance on brand value and other traditional marketing tactics. Today, we predominantly operate through online retail channels such as Amazon.com (“Amazon”) and Walmart, Inc.</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launched and sold hundreds of SKUs on e-commerce platforms. Through the success of a number of those products we have incubated our own brands. We also have purchased brands and products when we believe it is advantageous. Today, we own and operate fourteen brands that sell products in multiple categories, including home and kitchen appliances, kitchenware, heating, cooling and air quality appliances (dehumidifiers, humidifiers and air conditioners), health and beauty products and essential oils. Our fourteen brands include, hOmeLabs; Vremi; Squatty Potty; Xtava; RIF6; Aussie Health; Holonix; Truweo; Mueller; Pursteam; Pohl and Schmitt; Spiralizer; Healing Solutions; and Photo Paper Direct.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 and Product Mix</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our products typically goes through the Launch phase and depending on its level of success is moved to one of the other phases as further described below:</w:t>
      </w:r>
    </w:p>
    <w:p>
      <w:pPr>
        <w:spacing w:after="0" w:line="50" w:lineRule="exact"/>
        <w:rPr>
          <w:sz w:val="20"/>
          <w:szCs w:val="20"/>
          <w:color w:val="auto"/>
        </w:rPr>
      </w:pPr>
    </w:p>
    <w:p>
      <w:pPr>
        <w:ind w:left="880" w:right="20" w:hanging="373"/>
        <w:spacing w:after="0" w:line="259"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phase: During this phase, we leverage our technology to target opportunities identified using AIMEE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rtificial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ntelligence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arketplace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8"/>
          <w:szCs w:val="18"/>
          <w:color w:val="auto"/>
        </w:rPr>
        <w:t>-Commerce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8"/>
          <w:szCs w:val="18"/>
          <w:color w:val="auto"/>
        </w:rPr>
        <w:t>ngine) and other sources. During this period of time, due to the combination of discounts and investment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our net margin for a product could be as low as approximately negative 35%. Net margin is calculated by taking net revenue less the cost of goods sold, less fulfillment, online advertising and selling expenses. These costs primarily reflect the estimated variable costs related to the sale of a product.</w:t>
      </w:r>
    </w:p>
    <w:p>
      <w:pPr>
        <w:spacing w:after="0" w:line="75" w:lineRule="exact"/>
        <w:rPr>
          <w:rFonts w:ascii="Times New Roman" w:cs="Times New Roman" w:eastAsia="Times New Roman" w:hAnsi="Times New Roman"/>
          <w:sz w:val="18"/>
          <w:szCs w:val="18"/>
          <w:color w:val="auto"/>
        </w:rPr>
      </w:pPr>
    </w:p>
    <w:p>
      <w:pPr>
        <w:ind w:left="880" w:right="140" w:hanging="373"/>
        <w:spacing w:after="0" w:line="26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 phase: Our goal is for every product we launch to enter the sustain phase and become profitable, with a target average of positive 15% net margin, within approximately three months of launch on average. Net margin primarily reflects a combination of manual and automated adjustments in price and marketing spend.</w:t>
      </w:r>
    </w:p>
    <w:p>
      <w:pPr>
        <w:spacing w:after="0" w:line="67" w:lineRule="exact"/>
        <w:rPr>
          <w:rFonts w:ascii="Times New Roman" w:cs="Times New Roman" w:eastAsia="Times New Roman" w:hAnsi="Times New Roman"/>
          <w:sz w:val="18"/>
          <w:szCs w:val="18"/>
          <w:color w:val="auto"/>
        </w:rPr>
      </w:pPr>
    </w:p>
    <w:p>
      <w:pPr>
        <w:ind w:left="880" w:right="120" w:hanging="373"/>
        <w:spacing w:after="0" w:line="256"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Milk phase or Liquidate phase: If a product does not enter the sustain phase or if the customer satisfaction of the product (i.e., ratings) is not satisfactory, then it will go to the liquidate phase and we will sell through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 our products have achieved the milk phase and we can provide no assurance that any of our products will do so in the future.</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6" w:name="page37"/>
    <w:bookmarkEnd w:id="36"/>
    <w:p>
      <w:pPr>
        <w:ind w:right="40"/>
        <w:spacing w:after="0" w:line="256" w:lineRule="auto"/>
        <w:rPr>
          <w:sz w:val="20"/>
          <w:szCs w:val="20"/>
          <w:color w:val="auto"/>
        </w:rPr>
      </w:pPr>
      <w:r>
        <w:rPr>
          <w:rFonts w:ascii="Times New Roman" w:cs="Times New Roman" w:eastAsia="Times New Roman" w:hAnsi="Times New Roman"/>
          <w:sz w:val="18"/>
          <w:szCs w:val="18"/>
          <w:color w:val="auto"/>
        </w:rPr>
        <w:t>distribution expenses. Ultimately, we believe that the future cash flow generated by our products in the sustain phase will outpace the amount that we will reinvest into launching new products, driving net revenue and profitability at the company level while we continue to invest in growth and technology. Due to the impact of the COVID-19 pandemic on the global supply chain, we have had to increase our inventory on hand to avoid disruption in sales. The unpredictability of container availability, space on vessels and shipping lead times, as well as associated manufacturing lead time, has caused us to secure more inventory upfront. Having more inventory on hand not only impacts our working capital but also requires us to increase our storage capacity, through our warehouse network, which of itself has a capital impact.</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launches of new products included in our net revenue that have achieved, or are expected to achieve, more than approximately $0.5 million in net revenue per year on average.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5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5400" w:type="dxa"/>
            <w:vAlign w:val="bottom"/>
          </w:tcPr>
          <w:p>
            <w:pPr>
              <w:spacing w:after="0"/>
              <w:rPr>
                <w:sz w:val="13"/>
                <w:szCs w:val="13"/>
                <w:color w:val="auto"/>
              </w:rPr>
            </w:pPr>
          </w:p>
        </w:tc>
        <w:tc>
          <w:tcPr>
            <w:tcW w:w="98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580" w:type="dxa"/>
            <w:vAlign w:val="bottom"/>
            <w:tcBorders>
              <w:top w:val="single" w:sz="8" w:color="auto"/>
            </w:tcBorders>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Borders>
              <w:top w:val="single" w:sz="8" w:color="auto"/>
            </w:tcBorders>
          </w:tcPr>
          <w:p>
            <w:pPr>
              <w:jc w:val="right"/>
              <w:ind w:right="34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Launches of new products</w:t>
            </w:r>
          </w:p>
        </w:tc>
        <w:tc>
          <w:tcPr>
            <w:tcW w:w="9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30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growth in direct revenue can be impacted by the timing and the season in which products are launched and any mergers or acquisitions. There were no new product launches in the six months ended June 30, 2022, as we paused new product launches due to global supply chain unpredictability.</w:t>
      </w:r>
    </w:p>
    <w:p>
      <w:pPr>
        <w:spacing w:after="0" w:line="16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Due to the COVID-19 pandemic’s impact on the global supply chain, we paused the launch of new products at full scale, although we may occasionally launch products if the conditions are right. The sharp increase in shipping costs has made our target competitive pricing difficult to achieve and the current unpredictability of shipping container availability, among other factors, makes it more difficult for us to maintain the required inventory levels, which in turn makes the potential and profitable success of product launches even more difficult to achieve in this current environment. Furthermore, we have concerns about the impact of Russia’s invasion of Ukraine on our business including its effects on the global economy, the performance and cost of supply chain and financial markets. We will continue to evaluate the impacts of this, in addition to the impacts of the COVID-19 pandemic, on our business.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We derive our revenue from the sale of consumer products, primarily in the U.S. We sell products directly to consumers through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Cost of Goods Sold—</w:t>
      </w:r>
      <w:r>
        <w:rPr>
          <w:rFonts w:ascii="Times New Roman" w:cs="Times New Roman" w:eastAsia="Times New Roman" w:hAnsi="Times New Roman"/>
          <w:sz w:val="18"/>
          <w:szCs w:val="18"/>
          <w:color w:val="auto"/>
        </w:rPr>
        <w:t>Cost of goods sold consists of the book value of inventory sold to customers during the reporting period and the amortization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When circumstances dictate that we use net realizable value as the basis for recording inventory, we base our estimates on expected future selling prices, less expected disposal costs. The Office of the U.S. Trade Representative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We can provide no assurances that future tariff increases will not be enacted. These increases may affect the way we order products, as well as the amount of product we order. If tariff increases are enacted in the future, our pricing actions are expected to be intended to offset the full gross margin impact from such tariffs. Further, we have been affected by the COVID-19 pandemic and related global supply chain disruption. Together, these have led to substantial increases in the costs of our supply chain, specifically, increases in the costs of shipping containers, which we rely on to import our goods. We have increased pricing, when possible, to offset the full gross margin impact which at times has led to reduced sales velocity on certain products. There are no assurances that these pricing actions will not reduce customer orders in the future.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Research and development expenses include compensation and employee benefits for technology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travel-related costs and fees paid to outside consultants related to the development of our intellectual property.</w:t>
      </w:r>
    </w:p>
    <w:p>
      <w:pPr>
        <w:spacing w:after="0" w:line="1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Sales and Distribution Expenses— </w:t>
      </w:r>
      <w:r>
        <w:rPr>
          <w:rFonts w:ascii="Times New Roman" w:cs="Times New Roman" w:eastAsia="Times New Roman" w:hAnsi="Times New Roman"/>
          <w:sz w:val="18"/>
          <w:szCs w:val="18"/>
          <w:color w:val="auto"/>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merchant (“FBM”), or through e-commerce platform service providers, i.e., fulfillment by Amazon or fulfilled by Walmart.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approximately 76% of the U.S., within one day and to over 99% of the U.S. within two days, based on our sales history. We continually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9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—General and administrative expenses include compensation and employee benefits for executive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administration, legal, and human resources, facility costs, insurance, travel, professional service fees and other general overhead costs, including the costs of being a public company.</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Interest Expense, Net</w:t>
      </w:r>
      <w:r>
        <w:rPr>
          <w:rFonts w:ascii="Times New Roman" w:cs="Times New Roman" w:eastAsia="Times New Roman" w:hAnsi="Times New Roman"/>
          <w:sz w:val="18"/>
          <w:szCs w:val="18"/>
          <w:color w:val="auto"/>
        </w:rPr>
        <w:t>—Interest expense, net includes the interest cost from our credit facility and term loans, and includes amortization of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costs and debt discounts from our credit facility (the “Credit Facility”) with MidCap Funding IV Trust (“MidCap”) during the year ended December 31, 2021 and the three and six months ended for June 30, 2022, and term loan interest with High Trail Investments SA LLC (“High Trail SA”) and High Trail Investments ON LLC (“High Trail ON” and, together with High Trail SA, “High Trail”) during the year ended December 31, 2021.</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2021 and 2022</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2021 and 2022, together with the changes in those items in dollars and percentages: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168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140" w:type="dxa"/>
            <w:vAlign w:val="bottom"/>
            <w:tcBorders>
              <w:top w:val="single" w:sz="8" w:color="auto"/>
            </w:tcBorders>
            <w:gridSpan w:val="7"/>
          </w:tcPr>
          <w:p>
            <w:pPr>
              <w:jc w:val="right"/>
              <w:ind w:right="11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58,268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(9,920)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 (1)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(7,444)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(23,349)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41,476</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(4,337)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(29,772)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(16,477)</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stock-based compensation expense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52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Borders>
              <w:bottom w:val="single" w:sz="8" w:color="auto"/>
            </w:tcBorders>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0" w:type="dxa"/>
            <w:vAlign w:val="bottom"/>
            <w:gridSpan w:val="3"/>
          </w:tcPr>
          <w:p>
            <w:pPr>
              <w:jc w:val="right"/>
              <w:ind w:right="536"/>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32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120" w:type="dxa"/>
            <w:vAlign w:val="bottom"/>
            <w:gridSpan w:val="2"/>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8"/>
        </w:trPr>
        <w:tc>
          <w:tcPr>
            <w:tcW w:w="5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0" w:type="dxa"/>
            <w:vAlign w:val="bottom"/>
          </w:tcPr>
          <w:p>
            <w:pPr>
              <w:spacing w:after="0"/>
              <w:rPr>
                <w:sz w:val="19"/>
                <w:szCs w:val="19"/>
                <w:color w:val="auto"/>
              </w:rPr>
            </w:pP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20" w:type="dxa"/>
            <w:vAlign w:val="bottom"/>
          </w:tcPr>
          <w:p>
            <w:pPr>
              <w:spacing w:after="0"/>
              <w:rPr>
                <w:sz w:val="19"/>
                <w:szCs w:val="19"/>
                <w:color w:val="auto"/>
              </w:rPr>
            </w:pPr>
          </w:p>
        </w:tc>
        <w:tc>
          <w:tcPr>
            <w:tcW w:w="900" w:type="dxa"/>
            <w:vAlign w:val="bottom"/>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70"/>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300"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7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3740" w:type="dxa"/>
            <w:vAlign w:val="bottom"/>
            <w:gridSpan w:val="3"/>
            <w:vMerge w:val="continue"/>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7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tcPr>
          <w:p>
            <w:pPr>
              <w:spacing w:after="0"/>
              <w:rPr>
                <w:sz w:val="19"/>
                <w:szCs w:val="19"/>
                <w:color w:val="auto"/>
              </w:rPr>
            </w:pPr>
          </w:p>
        </w:tc>
        <w:tc>
          <w:tcPr>
            <w:tcW w:w="3740" w:type="dxa"/>
            <w:vAlign w:val="bottom"/>
            <w:gridSpan w:val="3"/>
            <w:vMerge w:val="continue"/>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our net revenue disaggregated by product categories: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24"/>
                <w:szCs w:val="24"/>
                <w:color w:val="auto"/>
              </w:rPr>
            </w:pPr>
          </w:p>
        </w:tc>
        <w:tc>
          <w:tcPr>
            <w:tcW w:w="168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5"/>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140" w:type="dxa"/>
            <w:vAlign w:val="bottom"/>
            <w:tcBorders>
              <w:top w:val="single" w:sz="8" w:color="auto"/>
            </w:tcBorders>
            <w:gridSpan w:val="8"/>
          </w:tcPr>
          <w:p>
            <w:pPr>
              <w:jc w:val="center"/>
              <w:ind w:left="67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w:t>
            </w:r>
          </w:p>
        </w:tc>
        <w:tc>
          <w:tcPr>
            <w:tcW w:w="3740" w:type="dxa"/>
            <w:vAlign w:val="bottom"/>
            <w:gridSpan w:val="3"/>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68,080</w:t>
            </w: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58,012</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(10,068)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Wholesale/Other</w:t>
            </w:r>
          </w:p>
        </w:tc>
        <w:tc>
          <w:tcPr>
            <w:tcW w:w="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0"/>
        </w:trPr>
        <w:tc>
          <w:tcPr>
            <w:tcW w:w="14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440" w:type="dxa"/>
            <w:vAlign w:val="bottom"/>
            <w:gridSpan w:val="2"/>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tcBorders>
              <w:right w:val="single" w:sz="8" w:color="CFF0FC"/>
            </w:tcBorders>
            <w:gridSpan w:val="2"/>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60" w:type="dxa"/>
            <w:vAlign w:val="bottom"/>
            <w:vMerge w:val="continue"/>
            <w:shd w:val="clear" w:color="auto" w:fill="CFF0FC"/>
          </w:tcPr>
          <w:p>
            <w:pPr>
              <w:spacing w:after="0"/>
              <w:rPr>
                <w:sz w:val="19"/>
                <w:szCs w:val="19"/>
                <w:color w:val="auto"/>
              </w:rPr>
            </w:pPr>
          </w:p>
        </w:tc>
        <w:tc>
          <w:tcPr>
            <w:tcW w:w="3440" w:type="dxa"/>
            <w:vAlign w:val="bottom"/>
            <w:gridSpan w:val="2"/>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80" w:type="dxa"/>
            <w:vAlign w:val="bottom"/>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58,268</w:t>
            </w:r>
          </w:p>
        </w:tc>
        <w:tc>
          <w:tcPr>
            <w:tcW w:w="22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1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1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Net revenue decreased $9.9 million, or 14.5%, during the three months ended June 30, 2022 to $58.3 million, compared to $68.2 million for the three months ended June 30, 2021. The decrease in net revenue was primarily attributable to a decrease in direct net revenue of $10.1 million, or a 14.8% decrease. Direct net revenue consists of both organic net revenue and net revenue from our mergers and acquisitions (“M&amp;A”). For the three months ended June 30, 2022, organic revenue was $56.0 million and revenue from our M&amp;A businesses was $1.9 million. For the three months ended June 30, 2021, organic revenue was $29.1 million and revenue from our M&amp;A businesses was $33.2 million. Our organic revenue increased by $26.9 million, or 92.3%, during the three months June 30, 2022, as compared to the three months ended June 30, 2021, as M&amp;A net revenue has moved into organic net revenue after one year from purchase.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80" w:type="dxa"/>
            <w:vAlign w:val="bottom"/>
            <w:tcBorders>
              <w:bottom w:val="single" w:sz="8" w:color="auto"/>
            </w:tcBorders>
            <w:gridSpan w:val="5"/>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gridSpan w:val="4"/>
          </w:tcPr>
          <w:p>
            <w:pPr>
              <w:jc w:val="right"/>
              <w:ind w:right="644"/>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352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26,842</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Home office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Housewares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net revenue</w:t>
            </w:r>
          </w:p>
        </w:tc>
        <w:tc>
          <w:tcPr>
            <w:tcW w:w="2560" w:type="dxa"/>
            <w:vAlign w:val="bottom"/>
          </w:tcPr>
          <w:p>
            <w:pPr>
              <w:spacing w:after="0"/>
              <w:rPr>
                <w:sz w:val="19"/>
                <w:szCs w:val="19"/>
                <w:color w:val="auto"/>
              </w:rPr>
            </w:pP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58,268</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Heating, cooling and air quality accounted for $23.7 million in net revenue for the three months ended June 30, 2022 versus $26.8 million for the three months ended June 30, 2021, a decrease of $3.1 million primarily driven by reduced sales volume, which we attribute to reduced consumer demand from inflationary pressure on consumer spending, and increased sale prices due to global supply chain disruptions which has reduced our sales velocity.</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Cookware, kitchen tools and gadgets accounted for approximately $4.2 million in net revenue for the three months ended June 30, 2022 compared to $5.5 million in net revenue for the corresponding period in 2021, a decrease of $1.3 million primarily driven by reduced sales volume, which we attribute to reduced consumer demand from inflationary pressure on consumer spending, and increased sale prices due to global supply chain disruptions which has reduced our sales velocity.</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Home office products accounted for $3.3 million in net revenue for the three months ended June 30, 2022 compared to $2.7 million in net revenue for the corresponding period in 2021, an increase of $0.6 million primarily due to growth in our existing products and new products obtained through M&amp;A businesses.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Essential oils and related accessories accounted for $5.8 million in net revenue for the three months ended June 30, 2022 compared to 9.9 million in net revenue for the corresponding period in 2021, a decrease of $4.1 million primarily driven by reduced sales volume, which we attribute to reduced consumer demand from inflationary pressure on consumer spending, increased sale prices due to global supply chain disruptions which has reduced our sales velocity and inventory shorts due to manufacturing delays.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58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96"/>
              </w:rPr>
              <w:t>35,445</w:t>
            </w:r>
          </w:p>
        </w:tc>
        <w:tc>
          <w:tcPr>
            <w:tcW w:w="96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26,917</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(8,528)</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8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96"/>
              </w:rPr>
              <w:t>32,743</w:t>
            </w:r>
          </w:p>
        </w:tc>
        <w:tc>
          <w:tcPr>
            <w:tcW w:w="96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(1,392)</w:t>
            </w: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bl>
    <w:p>
      <w:pPr>
        <w:spacing w:after="0" w:line="19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Cost of goods sold decreased by $8.5 million, from $35.4 million for the three months ended June 30, 2021 to $26.9 million for the three months ended June 30, 2022 primarily from reduced sales volumes. The decrease in cost of goods sold was attributable to a decrease of $11.7 million in cost of goods sold from our M&amp;A businesses partially offset by an increase of $3.1 million in cost of goods sold from our organic business.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Gross profit improved from 48.0% for the three-months ended June 30, 2021 to 53.8% for the three months ended June 30, 2022. The improvement in gross margin was due to a change of product mix as our net revenue increased from our M&amp;A businesses, which tend to have a higher gross margin than our organic business’ gross margin, offset by the impact of increased costs of our supply chain. The majority of our M&amp;A businesses’ net revenue tends to be from smaller products that have higher gross margins versus our organic business’ net revenue, which tends to be oversized goods that have lower gross margins. We expect to see impacts in our gross margin on both our M&amp;A and organic businesses for the rest of 2022, as supply chain disruption drove shipping container costs higher and caused reductions in delivery reliability and other delays, which also increased related shipping container delivery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center"/>
              <w:ind w:left="17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1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96"/>
              </w:rPr>
              <w:t>39,310</w:t>
            </w:r>
          </w:p>
        </w:tc>
        <w:tc>
          <w:tcPr>
            <w:tcW w:w="96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31,866</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(7,444)</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bl>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decreased to $31.9 million for the three months ended June 30, 2022 from $39.3 million for the three months ended June 30, 2021. This decrease of $7.4 million is primarily attributable to the decrease in the volume of products sold in the three months ended June 30, 2022, as our e-commerce platform commissions, online advertising, selling and logistics expenses decreased to $25.8 million in the three months ended June 30, 2022 as compared to $29.3 million in the prior period.</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sales and distribution fixed costs (e.g., salary and office expenses) including stock-based compensation decreased to $6.1 million for the three months ended June 30, 2022 from $10.0 million for the three months ended June 30, 2021 as the prior period contains a $4.1 million bad debt reserve from a dispute with a certain PPE supplier.</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decreased to 54.7% for the three months ended June 30, 2022 from 57.6% for the three months ended June 30, 2021. E-commerce platform commissions, online advertising, selling and logistics expenses included within sales and distribution expenses, as a percentage of net revenue, were 44.1% for the three months ended June 30, 2022 as compared to 43.0% for the three months ended June 30, 2021. This increase in sales and distribution expenses is predominantly due to product mix, an increase in e-commerce platform service providers fulfillment fees, and an increase in last mile shipping costs, specifically for oversized goods, due to the demand on those third-party providers’ delivery networks.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3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5"/>
          </w:tcPr>
          <w:p>
            <w:pPr>
              <w:jc w:val="center"/>
              <w:ind w:left="13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2,324</w:t>
            </w:r>
          </w:p>
        </w:tc>
        <w:tc>
          <w:tcPr>
            <w:tcW w:w="10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was primarily attributable to a decrease of stock-based compensation expense of approximately $0.6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5"/>
          </w:tcPr>
          <w:p>
            <w:pPr>
              <w:jc w:val="center"/>
              <w:ind w:left="13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9,990</w:t>
            </w:r>
          </w:p>
        </w:tc>
        <w:tc>
          <w:tcPr>
            <w:tcW w:w="10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9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of professional fees expenses of $1.8 million related to merger and acquisition costs including legal, audit and internal control related fees in the prior period offset by an increase of $0.5 million of stock compensation expense, an increase of $0.2 million in intangibles amortization and an increase of approximately $0.4 million in office expenses.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liabilities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top w:val="single" w:sz="8" w:color="auto"/>
            </w:tcBorders>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gridSpan w:val="6"/>
          </w:tcPr>
          <w:p>
            <w:pPr>
              <w:jc w:val="center"/>
              <w:ind w:left="704"/>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(23,349)</w:t>
            </w:r>
          </w:p>
        </w:tc>
        <w:tc>
          <w:tcPr>
            <w:tcW w:w="4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5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6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08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6"/>
        </w:trPr>
        <w:tc>
          <w:tcPr>
            <w:tcW w:w="3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5"/>
          </w:tcPr>
          <w:p>
            <w:pPr>
              <w:jc w:val="center"/>
              <w:ind w:left="13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56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4,675</w:t>
            </w:r>
          </w:p>
        </w:tc>
        <w:tc>
          <w:tcPr>
            <w:tcW w:w="108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(4,337)</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net, was primarily related to the payment of the High Trail loan in the prior period which had higher borrowings and interest rates compared to this current period which only includes our MidCap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5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3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40" w:type="dxa"/>
            <w:vAlign w:val="bottom"/>
          </w:tcPr>
          <w:p>
            <w:pPr>
              <w:spacing w:after="0"/>
              <w:rPr>
                <w:sz w:val="13"/>
                <w:szCs w:val="13"/>
                <w:color w:val="auto"/>
              </w:rPr>
            </w:pPr>
          </w:p>
        </w:tc>
        <w:tc>
          <w:tcPr>
            <w:tcW w:w="1120" w:type="dxa"/>
            <w:vAlign w:val="bottom"/>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center"/>
              <w:ind w:left="17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2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1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96"/>
              </w:rPr>
              <w:t>29,772</w:t>
            </w:r>
          </w:p>
        </w:tc>
        <w:tc>
          <w:tcPr>
            <w:tcW w:w="112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(29,772)</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prior period, loss on extinguishment of debt is attributable to the payment and termination of the High Trail December 2020, February 2021 Note loan and the termination of the Credit Facility, which resulted in $25.7 million in loss on extinguishment of debt consisting of unamortized deferred finance costs. Included in the loss on extinguishment of debt is a charge of $4.1 million consisting of fair market value of restricted shares issued on April 8, 2021, which were expensed.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market value of warrant liability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5"/>
          </w:tcPr>
          <w:p>
            <w:pPr>
              <w:jc w:val="center"/>
              <w:ind w:left="13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60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4,387</w:t>
            </w:r>
          </w:p>
        </w:tc>
        <w:tc>
          <w:tcPr>
            <w:tcW w:w="100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increase in change in fair market value of warrant liability during the three months ended June 30, 2022 was related to the change in fair market value of the warrant liabilities from the prefunded warrants and common stock warrants from our March 2022 equity raise as compared to the expense activity during the three months ended June 30, 2021, which was attributable to the issuance of the warrants in connection with the High Trail December 2020 Note and the February 2021 Note and related change in the fair value of warrant liability and loss on initial issuance of warrants for the prior period, which was primarily driven by the extinguishment of the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49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120" w:type="dxa"/>
            <w:vAlign w:val="bottom"/>
          </w:tcPr>
          <w:p>
            <w:pPr>
              <w:jc w:val="right"/>
              <w:ind w:right="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r>
      <w:tr>
        <w:trPr>
          <w:trHeight w:val="155"/>
        </w:trPr>
        <w:tc>
          <w:tcPr>
            <w:tcW w:w="49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5"/>
          </w:tcPr>
          <w:p>
            <w:pPr>
              <w:jc w:val="center"/>
              <w:ind w:left="9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880" w:type="dxa"/>
            <w:vAlign w:val="bottom"/>
            <w:shd w:val="clear" w:color="auto" w:fill="CFF0FC"/>
          </w:tcPr>
          <w:p>
            <w:pPr>
              <w:jc w:val="right"/>
              <w:ind w:right="72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1,894</w:t>
            </w:r>
          </w:p>
        </w:tc>
        <w:tc>
          <w:tcPr>
            <w:tcW w:w="112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(1,894)</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was no change in fair value of derivative liability during the three months ended June 30, 2022. In the prior period, the change in fair value of derivative liability is attributable to the term loan from High Trail as we fair-valued certain embedded derivatives within the term loan, primarily around default interest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2021 and 2022</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2021 and 2022, together with the changes in those items in dollars and percentages: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0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6"/>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tcPr>
          <w:p>
            <w:pPr>
              <w:jc w:val="right"/>
              <w:ind w:right="53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7"/>
          </w:tcPr>
          <w:p>
            <w:pPr>
              <w:jc w:val="right"/>
              <w:ind w:right="36"/>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5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(16,383)</w:t>
            </w:r>
          </w:p>
        </w:tc>
        <w:tc>
          <w:tcPr>
            <w:tcW w:w="2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(12,536)</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26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 (1)</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(9,539)</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(1,853)</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4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4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(7,704)</w:t>
            </w:r>
          </w:p>
        </w:tc>
        <w:tc>
          <w:tcPr>
            <w:tcW w:w="2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(4,466)</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82,092</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101,383</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(23,138)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(7,954)</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4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4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(1,894)</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(29,772)</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(26,696)</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(20,147)</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(118,818)</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(59,253)</w:t>
            </w:r>
          </w:p>
        </w:tc>
        <w:tc>
          <w:tcPr>
            <w:tcW w:w="2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59,565</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(118,859)</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(59,085)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59,774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  Amounts include stock-based compensation expense as follows:</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bottom w:val="single" w:sz="8" w:color="auto"/>
            </w:tcBorders>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6"/>
          </w:tcPr>
          <w:p>
            <w:pPr>
              <w:jc w:val="center"/>
              <w:ind w:right="16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580" w:type="dxa"/>
            <w:vAlign w:val="bottom"/>
            <w:gridSpan w:val="3"/>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2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4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200" w:lineRule="exact"/>
        <w:rPr>
          <w:sz w:val="20"/>
          <w:szCs w:val="20"/>
          <w:color w:val="auto"/>
        </w:rPr>
      </w:pPr>
    </w:p>
    <w:p>
      <w:pPr>
        <w:spacing w:after="0" w:line="20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6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CFF0FC"/>
            </w:tcBorders>
          </w:tcPr>
          <w:p>
            <w:pPr>
              <w:spacing w:after="0"/>
              <w:rPr>
                <w:sz w:val="13"/>
                <w:szCs w:val="13"/>
                <w:color w:val="auto"/>
              </w:rPr>
            </w:pPr>
          </w:p>
        </w:tc>
        <w:tc>
          <w:tcPr>
            <w:tcW w:w="1920" w:type="dxa"/>
            <w:vAlign w:val="bottom"/>
            <w:tcBorders>
              <w:top w:val="single" w:sz="8" w:color="auto"/>
              <w:bottom w:val="single" w:sz="8" w:color="auto"/>
            </w:tcBorders>
          </w:tcPr>
          <w:p>
            <w:pPr>
              <w:jc w:val="right"/>
              <w:ind w:right="7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49.4%</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50.6%</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55.3%</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70.5%</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25.6%</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29.7%</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w:t>
            </w:r>
          </w:p>
        </w:tc>
        <w:tc>
          <w:tcPr>
            <w:tcW w:w="2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2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revenue disaggregated by product categories: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5"/>
                <w:szCs w:val="15"/>
                <w:color w:val="auto"/>
              </w:rPr>
            </w:pPr>
          </w:p>
        </w:tc>
        <w:tc>
          <w:tcPr>
            <w:tcW w:w="168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140" w:type="dxa"/>
            <w:vAlign w:val="bottom"/>
            <w:tcBorders>
              <w:top w:val="single" w:sz="8" w:color="auto"/>
            </w:tcBorders>
            <w:gridSpan w:val="6"/>
          </w:tcPr>
          <w:p>
            <w:pPr>
              <w:jc w:val="right"/>
              <w:ind w:right="11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114,232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(16,175)</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Wholesale/Other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26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revenue decreased $16.4 million, or 14.1%, during the six months ended June 30, 2022 to $99.9 million, compared to $116.3 million for the six months ended June 30, 2021. The decrease in net revenue was primarily attributable to a decrease in direct net revenue of $16.2 million, or a 14.2%. Direct net revenue consists of both organic net revenue and net revenue from our M&amp;A. For the six months ended June 30, 2022, organic revenue was $85.9 million and revenue from our M&amp;A businesses was $11.5 million. For the six months ended June 30, 2021, organic revenue was $46.6 million and revenue from our M&amp;A businesses was $62.0 million. Our organic revenue increased by $39.3 million, or 84.3%, during the six months June 30, 2022, as compared to the six months ended June 30, 2021, as M&amp;A net revenue has moved into organic net revenue after one year from purchase.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60" w:type="dxa"/>
            <w:vAlign w:val="bottom"/>
            <w:gridSpan w:val="3"/>
          </w:tcPr>
          <w:p>
            <w:pPr>
              <w:jc w:val="right"/>
              <w:ind w:right="616"/>
              <w:spacing w:after="0" w:line="151" w:lineRule="exact"/>
              <w:rPr>
                <w:sz w:val="20"/>
                <w:szCs w:val="20"/>
                <w:color w:val="auto"/>
              </w:rPr>
            </w:pPr>
            <w:r>
              <w:rPr>
                <w:rFonts w:ascii="Times New Roman" w:cs="Times New Roman" w:eastAsia="Times New Roman" w:hAnsi="Times New Roman"/>
                <w:sz w:val="14"/>
                <w:szCs w:val="14"/>
                <w:color w:val="auto"/>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3480" w:type="dxa"/>
            <w:vAlign w:val="bottom"/>
            <w:gridSpan w:val="2"/>
          </w:tcPr>
          <w:p>
            <w:pPr>
              <w:jc w:val="right"/>
              <w:ind w:right="76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32,980</w:t>
            </w:r>
          </w:p>
        </w:tc>
        <w:tc>
          <w:tcPr>
            <w:tcW w:w="126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100" w:type="dxa"/>
            <w:vAlign w:val="bottom"/>
          </w:tcPr>
          <w:p>
            <w:pPr>
              <w:spacing w:after="0"/>
              <w:rPr>
                <w:sz w:val="20"/>
                <w:szCs w:val="20"/>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16,934</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Home office</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Housewares</w:t>
            </w:r>
          </w:p>
        </w:tc>
        <w:tc>
          <w:tcPr>
            <w:tcW w:w="2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2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5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net revenue</w:t>
            </w:r>
          </w:p>
        </w:tc>
        <w:tc>
          <w:tcPr>
            <w:tcW w:w="25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116,324</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Heating, cooling and air quality accounted for $29.7 million in net revenue for the six months ended June 30, 2022 versus $33.0 million for the six months ended June 30, 2021, a decrease of $3.3 million primarily driven by reduced sales volume, which we attribute to reduced consumer demand from inflationary pressure on consumer spending, increased sale prices due to global supply chain disruptions which has reduced our sales velocity and inventory shorts due to delayed receipt of goods.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Kitchen appliances accounted for $16.9 million in net revenue for the six months ended June 30, 2022 compared to $21.1 million in net revenue for the corresponding period in 2021, a decrease of $4.2 million primarily driven by reduced sales volume, which we attribute to reduced consumer demand from inflationary pressure on consumer spending, increased sale prices due to global supply chain disruptions which has reduced our sales velocity and inventory shorts due to delayed receipt of goods. Cookware, kitchen tools and gadgets accounted for approximately $9.1 million in net revenue for the six months ended June 30, 2022 compared to $11.6 million in net revenue for the corresponding period in 2021, a decrease of $2.5 million primarily driven by reduced sales volume, which we attribute to reduced consumer demand from inflationary pressure on consumer spending, increased sale prices due to global supply chain disruptions which has reduced our sales velocity and inventory shorts due to delayed receipt of goods.</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Home office products accounted for $7.0 million in net revenue for the six months ended June 30, 2022 compared to $3.5 million in net revenue for the corresponding period in 2021, an increase of $3.5 million primarily due to growth in our existing products and new products obtained through M&amp;A businesses.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Essential oils and related accessories accounted for $10.8 million in net revenue for the six months ended June 30, 2022 compared to 17.3 million in net revenue for the corresponding period in 2021, a decrease of $6.5 million primarily driven by reduced sales volume, which we attribute to reduced consumer demand from inflationary pressure on consumer spending, increased sale prices due to global supply chain disruptions which has reduced our sales velocity, and increased sale prices due to global supply chain disruptions and inventory shorts due to manufacturing delays.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58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96"/>
              </w:rPr>
              <w:t>57,518</w:t>
            </w:r>
          </w:p>
        </w:tc>
        <w:tc>
          <w:tcPr>
            <w:tcW w:w="96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44,982</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(12,536)</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8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96"/>
              </w:rPr>
              <w:t>58,806</w:t>
            </w:r>
          </w:p>
        </w:tc>
        <w:tc>
          <w:tcPr>
            <w:tcW w:w="96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(3,847)</w:t>
            </w: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bl>
    <w:p>
      <w:pPr>
        <w:spacing w:after="0" w:line="1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 of goods sold decreased by $12.5 million, from $57.5 million for the six months ended June 30, 2021 to $45.0 million for the six months ended June 30, 2022 primarily from reduced sales volumes. The decrease in cost of goods sold was primarily attributable to a decrease of $21.8 million in cost of goods sold from our M&amp;A business offset by an increase of $9.1 million in cost of goods sold from our organic businesses.</w:t>
      </w:r>
    </w:p>
    <w:p>
      <w:pPr>
        <w:spacing w:after="0" w:line="17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Gross profit improved from 50.6% for the six months ended June 30, 2021 to 55.0% for the six months ended June 30, 2022. The improvement in gross margin was due to a change of product mix as our net revenue increased from our M&amp;A businesses, which have a higher gross margin than our organic business’ gross margin, offset by the impact of increased costs of our supply chain. The majority of our M&amp;A businesses’ net revenue tends to be from smaller products that have higher gross margins versus our organic business’ net revenue, which tends to be oversized goods that have lower gross margins. We expect to see impacts in our gross margin on both our M&amp;A and organic businesses for the rest of 2022, as supply chain disruption drove shipping container costs higher and caused reductions in delivery reliability and other delays, which also increased related shipping container delivery costs.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6"/>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center"/>
              <w:ind w:left="17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1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96"/>
              </w:rPr>
              <w:t>64,379</w:t>
            </w:r>
          </w:p>
        </w:tc>
        <w:tc>
          <w:tcPr>
            <w:tcW w:w="96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(9,539)</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bl>
    <w:p>
      <w:pPr>
        <w:spacing w:after="0" w:line="19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decreased to $54.8 million for the six months ended June 30, 2022 from $64.4 million for the six months ended June 30, 2021. This decrease of $9.5 million is primarily attributable to the decrease in the volume of products sold in the six months ended June 30, 2022, as our e-commerce platform commissions, online advertising, selling and logistics expenses decreased to $45.5 million in the six months ended June 30, 2022 as compared to $51.1 million in the prior period.</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sales and distribution fixed costs (e.g., salary and office expenses) including stock-based compensation decreased to $9.3 million for the six months ended June 30, 2022 from $13.3 million for the six months ended June 30, 2021 as the prior period contains a $4.1 million bad debt reserve from a dispute with a certain PPE supplier.</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decreased slightly to 54.9% for the six months ended June 30, 2022 from 55.3% for the six months ended June 30, 2021. E-commerce platform commissions, online advertising, selling and logistics expenses included within sales and distribution expenses, as a percentage of net revenue, were 45.5% for the six months ended June 30, 2022 as compared to 43.9% for the six months ended June 30, 2021. This increase in sales and distribution expenses is predominantly due to product mix, an increase in e-commerce platform service providers fulfillment fees, and an increase in last mile shipping costs, specifically for oversized goods, due to the demand on those third-party providers’ delivery networks. We expect to see these cost increases continue in the near-term.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5"/>
          </w:tcPr>
          <w:p>
            <w:pPr>
              <w:jc w:val="center"/>
              <w:ind w:left="11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4,452</w:t>
            </w:r>
          </w:p>
        </w:tc>
        <w:tc>
          <w:tcPr>
            <w:tcW w:w="10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(1,575)</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was primarily attributable to a decrease of stock-based compensation expense of approximately $1.2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5"/>
          </w:tcPr>
          <w:p>
            <w:pPr>
              <w:jc w:val="center"/>
              <w:ind w:left="15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96"/>
              </w:rPr>
              <w:t>20,965</w:t>
            </w:r>
          </w:p>
        </w:tc>
        <w:tc>
          <w:tcPr>
            <w:tcW w:w="9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19,112</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(1,853)</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of $3.5 million related to merger and acquisition costs including legal, audit and internal control related fees in the prior period offset by an increase of $0.5 million in depreciation expenses and an increase of $0.8 million related to the legal settlement of the Mueller Action (see Note 9 of our condensed consolidated financial statements in this Quarterly Report on Form 10-Q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goodwill</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3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34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3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We engaged a third-party valuation specialist to assist management in performing an interim goodwill impairment test in March 2022. For goodwill, impairment testing is based upon the best information available using a combination of the discounted cash flow method (a form of the income approach) and the guideline public company method. As a result of the impairment testing, we recorded a goodwill impairment </w:t>
      </w:r>
      <w:r>
        <w:rPr>
          <w:rFonts w:ascii="Times New Roman" w:cs="Times New Roman" w:eastAsia="Times New Roman" w:hAnsi="Times New Roman"/>
          <w:sz w:val="18"/>
          <w:szCs w:val="18"/>
          <w:color w:val="202124"/>
        </w:rPr>
        <w:t>charge of $29.0 million in the 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months </w:t>
      </w:r>
      <w:r>
        <w:rPr>
          <w:rFonts w:ascii="Times New Roman" w:cs="Times New Roman" w:eastAsia="Times New Roman" w:hAnsi="Times New Roman"/>
          <w:sz w:val="18"/>
          <w:szCs w:val="18"/>
          <w:color w:val="000000"/>
        </w:rPr>
        <w:t>ended March 31, 2022, primarily due to the decrease in our market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7" w:name="page48"/>
    <w:bookmarkEnd w:id="47"/>
    <w:p>
      <w:pPr>
        <w:ind w:right="740"/>
        <w:spacing w:after="0" w:line="282" w:lineRule="auto"/>
        <w:rPr>
          <w:sz w:val="20"/>
          <w:szCs w:val="20"/>
          <w:color w:val="auto"/>
        </w:rPr>
      </w:pPr>
      <w:r>
        <w:rPr>
          <w:rFonts w:ascii="Times New Roman" w:cs="Times New Roman" w:eastAsia="Times New Roman" w:hAnsi="Times New Roman"/>
          <w:sz w:val="18"/>
          <w:szCs w:val="18"/>
          <w:color w:val="auto"/>
        </w:rPr>
        <w:t>capitalization. During the three months ended the company did not have an interim triggering event and as such did not record any additional impairment of goodwill for the three months ended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5"/>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gridSpan w:val="6"/>
          </w:tcPr>
          <w:p>
            <w:pPr>
              <w:jc w:val="center"/>
              <w:ind w:left="15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3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(7,704)</w:t>
            </w:r>
          </w:p>
        </w:tc>
        <w:tc>
          <w:tcPr>
            <w:tcW w:w="94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(4,466)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bl>
    <w:p>
      <w:pPr>
        <w:spacing w:after="0" w:line="19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6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3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r>
      <w:tr>
        <w:trPr>
          <w:trHeight w:val="155"/>
        </w:trPr>
        <w:tc>
          <w:tcPr>
            <w:tcW w:w="3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5"/>
          </w:tcPr>
          <w:p>
            <w:pPr>
              <w:jc w:val="center"/>
              <w:ind w:left="13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5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9,092</w:t>
            </w:r>
          </w:p>
        </w:tc>
        <w:tc>
          <w:tcPr>
            <w:tcW w:w="10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(7,954)</w:t>
            </w: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(87.5)%</w:t>
            </w: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was primarily related to the payment in the High Trail loan in the prior period which had higher borrowings and interest rates compared to this current period which only includes our MidCap credit facility.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seller note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56"/>
        </w:trPr>
        <w:tc>
          <w:tcPr>
            <w:tcW w:w="3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6"/>
        </w:trPr>
        <w:tc>
          <w:tcPr>
            <w:tcW w:w="3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6"/>
          </w:tcPr>
          <w:p>
            <w:pPr>
              <w:jc w:val="center"/>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2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(2,012)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(2,012)</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gain on extinguishment of seller note in the six months ended June 30, 2022 was attributable to the settlement of the Truweo seller note, which resulted in a $2.0 million in gain on extinguishment of seller note upon the extinguishment of the debt.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initial issuance of equity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55"/>
        </w:trPr>
        <w:tc>
          <w:tcPr>
            <w:tcW w:w="3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right"/>
              <w:ind w:right="51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r>
      <w:tr>
        <w:trPr>
          <w:trHeight w:val="156"/>
        </w:trPr>
        <w:tc>
          <w:tcPr>
            <w:tcW w:w="3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229"/>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21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loss on initial issuance of equity is attributable to the issuance of common shares and initial valuation of the prefunded warrants and common stock warrants from our March 2022 equity raise.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market value of warrant liability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5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right"/>
              <w:ind w:right="13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5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34,589</w:t>
            </w:r>
          </w:p>
        </w:tc>
        <w:tc>
          <w:tcPr>
            <w:tcW w:w="10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(26,696)</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158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20,147</w:t>
            </w:r>
          </w:p>
        </w:tc>
        <w:tc>
          <w:tcPr>
            <w:tcW w:w="10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(20,147)</w:t>
            </w:r>
          </w:p>
        </w:tc>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change in fair market value of warrant liability during the six months ended June 30, 2022 was related to the change in fair market value of the warrant liabilities from the prefunded warrants and common stock warrants from our March 2022 equity raise as compared to the expense activity in six months ended June 30, 2021 was attributable to the issuance of the warrants in connection with the December 2020 Note and the February 2021 Note and related change in the fair value of warrant liability and loss on initial issuance of warrants for the six months ended June 30, 2021, which was primarily driven by the extinguishment of the warrants.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3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3"/>
                <w:szCs w:val="13"/>
                <w:color w:val="auto"/>
              </w:rPr>
            </w:pPr>
          </w:p>
        </w:tc>
        <w:tc>
          <w:tcPr>
            <w:tcW w:w="1120" w:type="dxa"/>
            <w:vAlign w:val="bottom"/>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r>
      <w:tr>
        <w:trPr>
          <w:trHeight w:val="156"/>
        </w:trPr>
        <w:tc>
          <w:tcPr>
            <w:tcW w:w="3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5"/>
          </w:tcPr>
          <w:p>
            <w:pPr>
              <w:jc w:val="center"/>
              <w:ind w:left="13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7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1,894</w:t>
            </w:r>
          </w:p>
        </w:tc>
        <w:tc>
          <w:tcPr>
            <w:tcW w:w="112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(1,894)</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was no change in fair value of derivative liability during the six months ended June 30, 2022. In the prior period, the change in fair value of derivative liability is attributable to the term loan from High Trail as we fair-valued certain embedded derivatives within the term loan, primarily around default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5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3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3"/>
                <w:szCs w:val="13"/>
                <w:color w:val="auto"/>
              </w:rPr>
            </w:pPr>
          </w:p>
        </w:tc>
        <w:tc>
          <w:tcPr>
            <w:tcW w:w="1120" w:type="dxa"/>
            <w:vAlign w:val="bottom"/>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r>
      <w:tr>
        <w:trPr>
          <w:trHeight w:val="155"/>
        </w:trPr>
        <w:tc>
          <w:tcPr>
            <w:tcW w:w="3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center"/>
              <w:ind w:left="179"/>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2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1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96"/>
              </w:rPr>
              <w:t>29,772</w:t>
            </w:r>
          </w:p>
        </w:tc>
        <w:tc>
          <w:tcPr>
            <w:tcW w:w="112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(29,772)</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prior period, loss on extinguishment of debt is attributable to the payment and termination of the High Trail December 2020 Note loan, the February 2021 Note loan and the termination of the Credit Facility, which resulted in $25.7 million in loss on extinguishment of debt consisting of unamortized deferred finance costs. Also included in the loss on extinguishment of debt is a charge of $4.1 million consisting of the fair market value of restricted shares issued on April 8, 2021, which were expensed.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2021 and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2021 and 2022, respectively:</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5"/>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right"/>
              <w:ind w:right="3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6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(32,836)</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(22,111)</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(44,947)</w:t>
            </w: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restricted cash for period</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$32.8 million for the six months ended June 30, 2021, resulting from our net cash losses from operations of $13.9 million and cash usage from working capital of $18.9 million from changes in accounts receivable, purchases of inventory and insurance and payments of accounts payable.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$22.1 million for the six months ended June 30, 2022, resulting from our net cash losses from operations of $9.4 million and cash usage from working capital of $12.7 million primarily from the build-up of inventory.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9"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7"/>
          <w:szCs w:val="17"/>
          <w:color w:val="auto"/>
        </w:rPr>
        <w:t>For the six months ended June 30, 2021, net cash used in investing activities of $44.9 million was primarily from the acquisition of the assets of Healing Solutions, LLC for $15.3 million and the assets of Squatty Potty, LLC for $19.0 million and the acquisition of Photo Paper Direct Ltd. of $10.6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less than $0.1 million.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2021, cash provided by financing activities of $111.9 million was primarily from proceeds from borrowings from the High Trail April 2022 Notes of $110.0 million, proceeds from cancellation of a warrant of $17.0 million, proceeds from equity offering of $36.7 million offset by repayments of the High Trail December 2021 Note and February 2022 Note of $59.5 million, repayments of the Credit Facility of $28.2 million and $7.5 million seller note repayments.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cash provided by financing activities of $21.3 million was primarily from proceeds from an equity offering of</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$27.0 million and borrowings from the Credit Facility of $71.9 million offset by $1.8 million of repayments of notes issued to certain sellers in connection with our M&amp;A activity, repayments of the Credit Facility of $70.9 million and payment of the Squatty Potty assets of $4.0 million.</w:t>
      </w:r>
    </w:p>
    <w:p>
      <w:pPr>
        <w:spacing w:after="0" w:line="28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Sources of Liquidity and Going Concern—</w:t>
      </w:r>
      <w:r>
        <w:rPr>
          <w:rFonts w:ascii="Times New Roman" w:cs="Times New Roman" w:eastAsia="Times New Roman" w:hAnsi="Times New Roman"/>
          <w:sz w:val="18"/>
          <w:szCs w:val="18"/>
          <w:color w:val="auto"/>
        </w:rPr>
        <w:t>As of June 30, 2022, we had total cash and cash equivalents of $34.8 million and an accumulated deficit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$488.0 million. In addition, our net loss and net cash used in operating activities amounted to $59.1 million and $22.1 million, respectively, for the six months ended June 30, 2022.</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have been dependent on outside capital through the issuance of equity to investors and borrowings from lenders (collectively “outside capital”) since our inception to execute our growth strategy of investing in organic growth at the expense of short-term profitably and investing in incremental growth through M&amp;A (“M&amp;A strategy”). In addition, our recent financial performance has been adversely impacted by the COVID-19 global pandemic and related global shipping disruption, in particular with respect to substantial increases in supply chain costs for shipping containers (See COVID-19 Pandemic and the Supply Chain below for additional details). As a result, we have incurred significant losses and will remain dependent on outside capital for the foreseeable future until such time that we can realize our strategy of growth by generating profits through our organic growth and M&amp;A strategy, and reduce our reliance on outside capital.</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Given the inherent uncertainties associated with executing our growth strategy, as well as the uncertainty associated with the ongoing COVID-19 global pandemic, recent record increases in inflation and related global supply chain disruption, we can provide no assurances that we will be able to obtain sufficient outside capital or generate sufficient cash from operations to fund our obligations as they become due over the next twelve months from the date these condensed consolidated financial statements were issued.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been able to successfully raise a substantial amount of outside capital to fund our growth strategy. However, as of June 30, 2022, we have had no firm commitments of additional outside capital from current or prospective investors or lenders. Furthermore, given the inherent uncertainties associated with our growth strategy, we may be unable to remain in compliance with the financial covenants required by the agreement governing our Credit Facility with MidCap (the “Midcap Credit Facility”) over the next twelve months. These uncertainties raise substantial doubt about our ability to continue as a going concern.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alleviate substantial doubt, we plan to continue to closely monitor our operating forecast, pursue additional sources of outside capital, and pursue our M&amp;A strategy. If we are (a) unable to improve our operating results, (b) obtain additional outside capital on terms that are acceptable to us to fund our operations and M&amp;A strategy, and/or (c) secure a waiver or forbearance from the Lender if we are unable to remain in compliance with the financial covenants required by the MidCap Credit Facility, we may make significant changes to our operating plan, such as delaying expenditures, reducing investments in new products, delaying the development of our software, reducing our sale and distribution infrastructure or otherwise significantly reducing the scope of our business. Moreover, if we breach the financial covenants under the MidCap Credit Facility and fail to secure a waiver or forbearance from the lender, such breach or failure could accelerate the repayment of the outstanding borrowings under the MidCap Credit Facility or the exercise of other rights or remedies the lender may have under applicable law. We can provide no assurance a waiver or forbearance will be granted or the outstanding borrowings under the MidCap Credit Facility will be successfully refinanced on terms that are acceptable to us.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COVID-19 Pandemic and the Supply Chain— </w:t>
      </w:r>
      <w:r>
        <w:rPr>
          <w:rFonts w:ascii="Times New Roman" w:cs="Times New Roman" w:eastAsia="Times New Roman" w:hAnsi="Times New Roman"/>
          <w:sz w:val="18"/>
          <w:szCs w:val="18"/>
          <w:color w:val="auto"/>
        </w:rPr>
        <w:t>The full impact of the COVID-19 pandemic on our supply chain, including the impact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preventive and precautionary measures that we, other businesses and governments are taking, continues to evolve.</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2022 to date, we continue to be impacted by the COVID-19 pandemic and related global shipping disruption. Together these have led to substantial increases in supply chain costs, in particular for shipping containers, which we rely on to import our goods, as reduced reliability and timely delivery of shipping containers and have substantially increased our last mile shipping costs on our oversized goods. These cost increases have been particularly substantial for oversized goods, which is a material part of our business. The reduced reliability and delivery of such shipping containers is forcing us to spend more on premium shipping to ensure goods are delivered, if at all, and the lack of reliability and timely delivery has further down chain impacts as it takes longer for containers to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0" w:name="page51"/>
    <w:bookmarkEnd w:id="50"/>
    <w:p>
      <w:pPr>
        <w:ind w:right="120"/>
        <w:spacing w:after="0" w:line="282" w:lineRule="auto"/>
        <w:rPr>
          <w:sz w:val="20"/>
          <w:szCs w:val="20"/>
          <w:color w:val="auto"/>
        </w:rPr>
      </w:pPr>
      <w:r>
        <w:rPr>
          <w:rFonts w:ascii="Times New Roman" w:cs="Times New Roman" w:eastAsia="Times New Roman" w:hAnsi="Times New Roman"/>
          <w:sz w:val="18"/>
          <w:szCs w:val="18"/>
          <w:color w:val="auto"/>
        </w:rPr>
        <w:t>offloaded and returned. Further, this global shipping disruption is forcing us to increase our inventory on-hand, including by advance ordering and taking possession of inventory earlier than expected, negatively impacting our working capital.</w:t>
      </w:r>
    </w:p>
    <w:p>
      <w:pPr>
        <w:spacing w:after="0" w:line="16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Third party last mile shipping partners, such as UPS and FedEx, continue to increase the cost of delivering goods to the end consumers as their delivery networks continue to be impacted by the COVID-19 pandemic. The COVID-19 pandemic continues to bring uncertainty to consumer demand as price increases related to raw materials, the importing of goods, including tariffs, and the cost of delivering goods to consumers has led to inflation across the U.S. As such, we have noticed changes in consumer buying habits, which may lead to reduced demand for our products. Further, recent record inflation has added additional pressure to the cost of our supply chain. Furthermore, we have concerns about the impact of Russia’s invasion of Ukraine on our business including its effects on the global economy, the performance and cost of supply chain and financial markets. We will continue to evaluate the impacts of this.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continue to consider the impact of the COVID-19 pandemic on our supply chain on the assumptions and estimates used when preparing our consolidated financial statements including inventory valuation, and the impairment of long-lived assets. These assumptions and estimates may change as the current situation evolves or new events occur, and additional information is obtained. If the economic conditions caused by the COVID-19 pandemic and the negative impact on our supply chain worsen beyond what is currently estimated by management, such future changes may have an adverse impact on our results of operations, financial position, and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MidCap Credit Facility – December 2021—</w:t>
      </w:r>
      <w:r>
        <w:rPr>
          <w:rFonts w:ascii="Times New Roman" w:cs="Times New Roman" w:eastAsia="Times New Roman" w:hAnsi="Times New Roman"/>
          <w:sz w:val="18"/>
          <w:szCs w:val="18"/>
          <w:color w:val="auto"/>
        </w:rPr>
        <w:t>On December 22, 2021, we entered into the MidCap Credit Facility pursuant to which, among other things,</w:t>
      </w:r>
    </w:p>
    <w:p>
      <w:pPr>
        <w:spacing w:after="0" w:line="31" w:lineRule="exact"/>
        <w:rPr>
          <w:sz w:val="20"/>
          <w:szCs w:val="20"/>
          <w:color w:val="auto"/>
        </w:rPr>
      </w:pPr>
    </w:p>
    <w:p>
      <w:pPr>
        <w:ind w:right="100" w:firstLine="8"/>
        <w:spacing w:after="0" w:line="253" w:lineRule="auto"/>
        <w:tabs>
          <w:tab w:leader="none" w:pos="2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200,000 shares of our common stock, in exchange for the Lenders extending loans and other extensions of credit to us under the MidCap Credit Facility.</w:t>
      </w:r>
    </w:p>
    <w:p>
      <w:pPr>
        <w:spacing w:after="0" w:line="29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December 22, 2021, we used $27.6 million of the net proceeds from the initial borrowing under the MidCap Credit Facility to repay all amounts owed under those certain senior secured promissory notes issued by us to High Trail in an initial principal amount of $110.0 million, as amended. We expect to use the remaining proceeds of any loans under the MidCap Credit Facility for working capital and general corporate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MidCap Credit Facility contains a financial covenant that requires that we maintain a minimum unrestricted cash balance or minimum borrowing availability of (a) $12.5 million during the period from February 1st through and including May 31st of each calendar year, and (b) $15.0 million of cash on hand at all other times thereafter. At our election, we may elect to comply with an alternative financial covenant that would require us to maintain a minimum borrowing availability under the MidCap Credit Facility of $10.0 million at all times. We are in compliance with the minimum liquidity covenant as of the date these condensed consolidated financial statements were issued and currently do not anticipate electing the alternative financial covenant over the next twelve months.</w:t>
      </w:r>
    </w:p>
    <w:p>
      <w:pPr>
        <w:spacing w:after="0" w:line="29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June 30, 2022, we had approximately $34.0 million outstanding on the MidCap Credit Facility and $1.9 million of availability on the MidCap Credit Facility.</w:t>
      </w:r>
    </w:p>
    <w:p>
      <w:pPr>
        <w:spacing w:after="0" w:line="1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Securities Purchase Agreement and Warrants—</w:t>
      </w:r>
      <w:r>
        <w:rPr>
          <w:rFonts w:ascii="Times New Roman" w:cs="Times New Roman" w:eastAsia="Times New Roman" w:hAnsi="Times New Roman"/>
          <w:sz w:val="18"/>
          <w:szCs w:val="18"/>
          <w:color w:val="auto"/>
        </w:rPr>
        <w:t>On March 1, 2022, we entered into Securities Purchase Agreements (the “Purchase Agreements”)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accredited investors identified on the signature pages to the Purchase Agreements (collectively, the “Purchasers”) pursuant to which, among other things, we issued and sold to the Purchasers, in a private placement transaction, (i) 6,436,322 shares of our common stock (the “Shares”), par value $0.0001 per share (the “Common Stock”), and accompanying warrants to purchase an aggregate of 4,827,242 shares of common stock,</w:t>
      </w:r>
    </w:p>
    <w:p>
      <w:pPr>
        <w:spacing w:after="0" w:line="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and (ii) prefunded warrants to purchase up to an aggregate of 3,013,850 shares of common stock (the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w:t>
      </w:r>
    </w:p>
    <w:p>
      <w:pPr>
        <w:spacing w:after="0" w:line="2" w:lineRule="exact"/>
        <w:rPr>
          <w:sz w:val="20"/>
          <w:szCs w:val="20"/>
          <w:color w:val="auto"/>
        </w:rPr>
      </w:pPr>
    </w:p>
    <w:p>
      <w:pPr>
        <w:ind w:right="1060"/>
        <w:spacing w:after="0" w:line="260" w:lineRule="auto"/>
        <w:rPr>
          <w:sz w:val="20"/>
          <w:szCs w:val="20"/>
          <w:color w:val="auto"/>
        </w:rPr>
      </w:pPr>
      <w:r>
        <w:rPr>
          <w:rFonts w:ascii="Times New Roman" w:cs="Times New Roman" w:eastAsia="Times New Roman" w:hAnsi="Times New Roman"/>
          <w:sz w:val="18"/>
          <w:szCs w:val="18"/>
          <w:color w:val="auto"/>
        </w:rPr>
        <w:t>each Prefunded Warrant and accompanying Common Stock Warrant were sold together at a combined price of $2.9099, for gross proceeds of approximately $27.5 million.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U.S. (“GAAP”). However, for the reasons discussed below, we have presented certain non-GAAP measures herein.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spacing w:after="0" w:line="261" w:lineRule="auto"/>
        <w:rPr>
          <w:sz w:val="20"/>
          <w:szCs w:val="20"/>
          <w:color w:val="auto"/>
        </w:rPr>
      </w:pPr>
      <w:r>
        <w:rPr>
          <w:rFonts w:ascii="Times New Roman" w:cs="Times New Roman" w:eastAsia="Times New Roman" w:hAnsi="Times New Roman"/>
          <w:sz w:val="18"/>
          <w:szCs w:val="18"/>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used herein, Contribution margin represents gross profit less amortization of inventory step-up from acquisitions (included in cost of goods sold) and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and benefit from income taxes. As used herein, Adjusted EBITDA represents EBITDA plus stock-based compensation expense, changes in fair-market value of earn-outs, amortization of inventory step-up from acquisitions (included in cost of goods sold), changes in fair-market value of warrant liability, professional fees and transition costs related to acquisitions, loss from extinguishment of debt, impairment of goodwill, loss on initial issuance of equity, litigation reserve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Contribution margin and Contribution margin as a percentage of net revenue are two of our key metrics in running our business. All product decisions made by us, from the approval of launching a new product and to the liquidation of a product at the end of its life cycle, are based on measurements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reconciliation to calculate contribution margin, we add e-commerce platform commissions, online advertising, selling and logistics expenses (“sales and distribution variable expense”), to gross margin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18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that EBITDA, Adjusted EBITDA and Adjusted EBITDA as a percentage of net revenue, have limitations as analytical financial measures.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neither EBITDA nor Adjusted EBITDA reflects:</w:t>
      </w:r>
    </w:p>
    <w:p>
      <w:pPr>
        <w:spacing w:after="0" w:line="207" w:lineRule="exact"/>
        <w:rPr>
          <w:sz w:val="20"/>
          <w:szCs w:val="20"/>
          <w:color w:val="auto"/>
        </w:rPr>
      </w:pPr>
    </w:p>
    <w:p>
      <w:pPr>
        <w:ind w:left="740" w:hanging="368"/>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or future requirements for capital expenditures or mergers and acquisitions;</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or the cash requirements necessary to service interest expense or principal payments, associated with indebtedness;</w:t>
      </w:r>
    </w:p>
    <w:p>
      <w:pPr>
        <w:spacing w:after="0" w:line="9" w:lineRule="exact"/>
        <w:rPr>
          <w:rFonts w:ascii="Times New Roman" w:cs="Times New Roman" w:eastAsia="Times New Roman" w:hAnsi="Times New Roman"/>
          <w:sz w:val="18"/>
          <w:szCs w:val="18"/>
          <w:color w:val="auto"/>
        </w:rPr>
      </w:pPr>
    </w:p>
    <w:p>
      <w:pPr>
        <w:ind w:left="740" w:right="40" w:hanging="368"/>
        <w:spacing w:after="0" w:line="260" w:lineRule="auto"/>
        <w:tabs>
          <w:tab w:leader="none" w:pos="7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cash requirements for our working capital needs; or</w:t>
      </w:r>
    </w:p>
    <w:p>
      <w:pPr>
        <w:spacing w:after="0" w:line="27" w:lineRule="exact"/>
        <w:rPr>
          <w:rFonts w:ascii="Times New Roman" w:cs="Times New Roman" w:eastAsia="Times New Roman" w:hAnsi="Times New Roman"/>
          <w:sz w:val="18"/>
          <w:szCs w:val="18"/>
          <w:color w:val="auto"/>
        </w:rPr>
      </w:pPr>
    </w:p>
    <w:p>
      <w:pPr>
        <w:ind w:left="740" w:right="280" w:hanging="368"/>
        <w:spacing w:after="0" w:line="260"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contingent earn-out liabilities, warrant liabilities, and amortization of inventory step-up from acquisitions (included in cost of goods sold).</w:t>
      </w:r>
    </w:p>
    <w:p>
      <w:pPr>
        <w:spacing w:after="0" w:line="1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Adjusted EBITDA excludes non-cash expense for stock-based compensation, which is and is expected to remain a key element of our overall long-term incentive compensation package.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62" w:lineRule="exact"/>
        <w:rPr>
          <w:sz w:val="20"/>
          <w:szCs w:val="20"/>
          <w:color w:val="auto"/>
        </w:rPr>
      </w:pPr>
    </w:p>
    <w:p>
      <w:pPr>
        <w:ind w:left="740" w:hanging="368"/>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necessary to operate our business;</w:t>
      </w:r>
    </w:p>
    <w:p>
      <w:pPr>
        <w:spacing w:after="0" w:line="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necessary for the development, operation and support of our software platform;</w:t>
      </w:r>
    </w:p>
    <w:p>
      <w:pPr>
        <w:spacing w:after="0" w:line="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costs portion of our sales and distribution expenses including stock-based compensation expense; or</w:t>
      </w:r>
    </w:p>
    <w:p>
      <w:pPr>
        <w:spacing w:after="0" w:line="9" w:lineRule="exact"/>
        <w:rPr>
          <w:rFonts w:ascii="Times New Roman" w:cs="Times New Roman" w:eastAsia="Times New Roman" w:hAnsi="Times New Roman"/>
          <w:sz w:val="18"/>
          <w:szCs w:val="18"/>
          <w:color w:val="auto"/>
        </w:rPr>
      </w:pPr>
    </w:p>
    <w:p>
      <w:pPr>
        <w:ind w:left="740" w:right="280" w:hanging="368"/>
        <w:spacing w:after="0" w:line="260"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contingent earn-out liabilities, warrant liabilities, and amortization of inventory step-up from acquisitions (included in cost of goods sold).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Contribution Margin Summary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50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5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8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220" w:type="dxa"/>
            <w:vAlign w:val="bottom"/>
          </w:tcPr>
          <w:p>
            <w:pPr>
              <w:spacing w:after="0"/>
              <w:rPr>
                <w:sz w:val="13"/>
                <w:szCs w:val="13"/>
                <w:color w:val="auto"/>
              </w:rPr>
            </w:pPr>
          </w:p>
        </w:tc>
      </w:tr>
      <w:tr>
        <w:trPr>
          <w:trHeight w:val="156"/>
        </w:trPr>
        <w:tc>
          <w:tcPr>
            <w:tcW w:w="5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60" w:type="dxa"/>
            <w:vAlign w:val="bottom"/>
            <w:gridSpan w:val="5"/>
          </w:tcPr>
          <w:p>
            <w:pPr>
              <w:jc w:val="right"/>
              <w:ind w:right="913"/>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8"/>
                <w:szCs w:val="18"/>
                <w:color w:val="auto"/>
              </w:rPr>
              <w:t>32,743</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31,351</w:t>
            </w:r>
          </w:p>
        </w:tc>
        <w:tc>
          <w:tcPr>
            <w:tcW w:w="3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8"/>
                <w:szCs w:val="18"/>
                <w:color w:val="auto"/>
              </w:rPr>
              <w:t>58,806</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54,959</w:t>
            </w:r>
          </w:p>
        </w:tc>
        <w:tc>
          <w:tcPr>
            <w:tcW w:w="220" w:type="dxa"/>
            <w:vAlign w:val="bottom"/>
            <w:shd w:val="clear" w:color="auto" w:fill="CFF0FC"/>
          </w:tcPr>
          <w:p>
            <w:pPr>
              <w:spacing w:after="0"/>
              <w:rPr>
                <w:sz w:val="19"/>
                <w:szCs w:val="19"/>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5,661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30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11,795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22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as a percentage of net revenue</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48.0%</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50.6%</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 as a percentage of net revenue</w:t>
            </w:r>
          </w:p>
        </w:tc>
        <w:tc>
          <w:tcPr>
            <w:tcW w:w="260" w:type="dxa"/>
            <w:vAlign w:val="bottom"/>
          </w:tcPr>
          <w:p>
            <w:pPr>
              <w:spacing w:after="0"/>
              <w:rPr>
                <w:sz w:val="19"/>
                <w:szCs w:val="19"/>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(36,306)</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(16,309)</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(118,859)</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(59,085)</w:t>
            </w: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(29,909)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(14,091)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(106,841)</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(54,221)</w:t>
            </w: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8"/>
                <w:szCs w:val="18"/>
                <w:color w:val="auto"/>
              </w:rPr>
              <w:t>(3,739)</w:t>
            </w:r>
          </w:p>
        </w:tc>
        <w:tc>
          <w:tcPr>
            <w:tcW w:w="3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(3,720)</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8"/>
                <w:szCs w:val="18"/>
                <w:color w:val="auto"/>
              </w:rPr>
              <w:t>(5,003)</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(8,263)</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loss as a percentage of net revenue</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40" w:type="dxa"/>
            <w:vAlign w:val="bottom"/>
          </w:tcPr>
          <w:p>
            <w:pPr>
              <w:spacing w:after="0"/>
              <w:rPr>
                <w:sz w:val="22"/>
                <w:szCs w:val="22"/>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(102.2)%</w:t>
            </w:r>
          </w:p>
        </w:tc>
        <w:tc>
          <w:tcPr>
            <w:tcW w:w="4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EBITDA represents net loss plus depreciation and amortization, interest expense, net and provision for and benefit from income taxes. Adjusted EBITDA represents EBITDA plus stock-based compensation expense, changes in fair-market value of earn-outs, amortization of inventory step-up from acquisitions (included in cost of goods sold), change in fair-market value of warrant liability, professional fees and transition costs related to acquisitions, loss from extinguishment of debt, impairment of goodwill, loss on initial issuance of equity, litigation reserve and other expenses, net. As used herein, Adjusted EBITDA as a percentage of net revenue represents Adjusted EBITDA divided by net revenue.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EBITDA and Adjusted EBITDA to net loss, which is the most directly comparable financial measure presented in accordance with GAAP:</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5"/>
                <w:szCs w:val="15"/>
                <w:color w:val="auto"/>
              </w:rPr>
            </w:pPr>
          </w:p>
        </w:tc>
        <w:tc>
          <w:tcPr>
            <w:tcW w:w="27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0" w:type="dxa"/>
            <w:vAlign w:val="bottom"/>
            <w:gridSpan w:val="5"/>
          </w:tcPr>
          <w:p>
            <w:pPr>
              <w:jc w:val="right"/>
              <w:ind w:right="100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(36,306)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(16,309)</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(118,859)</w:t>
            </w: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(59,085)</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3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(29,909)</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(106,841)</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(54,221)</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6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(23,349)</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(1,691)</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11"/>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inventory step-up from acquisitions (included in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26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34,589</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26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 related to acquisitions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260" w:type="dxa"/>
            <w:vAlign w:val="bottom"/>
          </w:tcPr>
          <w:p>
            <w:pPr>
              <w:spacing w:after="0"/>
              <w:rPr>
                <w:sz w:val="19"/>
                <w:szCs w:val="19"/>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Transition cost from acquisitions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related to Photo Paper Direct acquisition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on dispute with PPE supplier</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3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4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as a percentage of net revenue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Margin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Contribution margin represents gross profit less amortization of inventory step-up from acquisitions (included in cost of goods sold) and e-commerce platform commissions, online advertising, selling and logistics expenses (included in sales and distribution expenses). Contribution margin as a percentage of net revenue represents Contribution margin divided by net revenue. 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r>
      <w:tr>
        <w:trPr>
          <w:trHeight w:val="155"/>
        </w:trPr>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20" w:type="dxa"/>
            <w:vAlign w:val="bottom"/>
            <w:gridSpan w:val="6"/>
          </w:tcPr>
          <w:p>
            <w:pPr>
              <w:jc w:val="right"/>
              <w:ind w:right="1040"/>
              <w:spacing w:after="0" w:line="155" w:lineRule="exact"/>
              <w:rPr>
                <w:sz w:val="20"/>
                <w:szCs w:val="20"/>
                <w:color w:val="auto"/>
              </w:rPr>
            </w:pPr>
            <w:r>
              <w:rPr>
                <w:rFonts w:ascii="Times New Roman" w:cs="Times New Roman" w:eastAsia="Times New Roman" w:hAnsi="Times New Roman"/>
                <w:sz w:val="14"/>
                <w:szCs w:val="14"/>
                <w:color w:val="auto"/>
              </w:rPr>
              <w:t>(in thousands, except percentages)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31,351</w:t>
            </w:r>
          </w:p>
        </w:tc>
        <w:tc>
          <w:tcPr>
            <w:tcW w:w="2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58,806</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54,959</w:t>
            </w:r>
          </w:p>
        </w:tc>
        <w:tc>
          <w:tcPr>
            <w:tcW w:w="180" w:type="dxa"/>
            <w:vAlign w:val="bottom"/>
            <w:shd w:val="clear" w:color="auto" w:fill="CFF0FC"/>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inventory step-up from acquisitions (included in</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E-commerce platform commissions, online advertising, selling and</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logistics expenses</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(29,315)</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(25,703)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(51,052)</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(45,479)</w:t>
            </w:r>
          </w:p>
        </w:tc>
      </w:tr>
      <w:tr>
        <w:trPr>
          <w:trHeight w:val="263"/>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1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3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3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80" w:type="dxa"/>
            <w:vAlign w:val="bottom"/>
            <w:tcBorders>
              <w:bottom w:val="single" w:sz="8" w:color="CFF0FC"/>
            </w:tcBorders>
          </w:tcPr>
          <w:p>
            <w:pPr>
              <w:spacing w:after="0"/>
              <w:rPr>
                <w:sz w:val="22"/>
                <w:szCs w:val="22"/>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as a percentage of net revenue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 as a percentage of net revenue</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643"/>
        </w:trPr>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generally accepted accounting principles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compared to the critical accounting policies and significant judgments and estimates as disclosed in our Annual Report on Form 10-K for fiscal year ended December 31, 2021, as filed with the SEC on March 16, 2022 (our “Annual Report”). For additional information, please refer to Note 2 of our condensed consolidated financial statements in this Quarterly Report on Form 10-Q.</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Subsequent Measurement of Goodwill</w:t>
      </w:r>
      <w:r>
        <w:rPr>
          <w:rFonts w:ascii="Times New Roman" w:cs="Times New Roman" w:eastAsia="Times New Roman" w:hAnsi="Times New Roman"/>
          <w:sz w:val="18"/>
          <w:szCs w:val="18"/>
          <w:color w:val="auto"/>
        </w:rPr>
        <w:t>— We operate under one business component which is the same as our reporting unit based on the guidance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Topic 350-20.</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We engaged a third-party valuation specialist to assist management in performing an interim goodwill impairment test in March 2022. For goodwill, impairment testing is based upon the best information available using a combination of the discounted cash flow method (a form of the income approach) and the guideline public company method. As a result of the impairment testing, we recorded a goodwill impairment </w:t>
      </w:r>
      <w:r>
        <w:rPr>
          <w:rFonts w:ascii="Times New Roman" w:cs="Times New Roman" w:eastAsia="Times New Roman" w:hAnsi="Times New Roman"/>
          <w:sz w:val="18"/>
          <w:szCs w:val="18"/>
          <w:color w:val="202124"/>
        </w:rPr>
        <w:t>charge of $29.0 million in the 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months </w:t>
      </w:r>
      <w:r>
        <w:rPr>
          <w:rFonts w:ascii="Times New Roman" w:cs="Times New Roman" w:eastAsia="Times New Roman" w:hAnsi="Times New Roman"/>
          <w:sz w:val="18"/>
          <w:szCs w:val="18"/>
          <w:color w:val="000000"/>
        </w:rPr>
        <w:t>ended March 31 2022, primarily due to the decrease in our market capitalization. During the three months ended the company did not have an</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interim triggering event and as such did not record any additional impairment of goodwill for the three months ended June 30, 2022.</w:t>
      </w:r>
    </w:p>
    <w:p>
      <w:pPr>
        <w:spacing w:after="0" w:line="2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our market capitalization.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$120.0 million and $90.9 million, at December 31, 2021 and June 30, 2022, respectively.</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the assumptions and estimates made are reasonable and appropriate, and changes in the assumptions and estimates could have a material impact on our reported financial results.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fair value of our reporting unit is appropriate, these estimates are subject to uncertainty and by nature include judgments and estimates regarding various factors. These factors include the rate and extent of growth in the markets that our reporting unit serves, the realization of future sales price and volume increases, fluctuations in price and availability of key raw materials, future operating efficiencies and, as it pertains to discount rates, the volatility in interest rates and costs of equity. There was no triggering event in three months ended June 30, 2022, and we will continue to monitor all of these items which could result in a future impairment.</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Some of the inherent estimates and assumptions used in determining fair value of our reporting unit are outside the control of management, including interest rates, tax rates, credit ratings and industry growth. Given the current COVID-19 global pandemic and the uncertainties regarding the financial potential impact on our business, there can be no assurance that our estimates and assumptions regarding the impact of COVID-19 and the recovery period made for purposes of the goodwill impairment testing performed will prove to be accurate predictions of the future. While we believe we have made reasonable estimates and assumptions to calculate the fair values of our reporting unit, it is possible changes could occur. As for our reporting unit, if in future years, the reporting unit’s actual results are not consistent with our estimates and assumptions used to calculate fair value, we may be required to recognize material impairments to goodwill. We will continue to monitor its reporting unit for any triggering events or other signs of impairment. We may be required to perform additional impairment testing based on changes in the economic environment, disruptions to our business, significant declines in operating results of our reporting unit, further sustained deterioration of our market capitalization, and other factors, which could result in impairment charges in the future. Although management cannot predict when improvements in macroeconomic conditions will occur, if consumer confidence and consumer spending decline significantly in the future or the market capitalization deteriorates significantly from current levels, it is reasonably likely we will be required to record impairment charges in the future that could be material to our consolidated balance sheet or results of operations.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8"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we have outstanding debt under the MidCap Credit Facility that bears interest. As of June 30, 2022, our outstanding indebtedness under the MidCap Credit Facility was $34.0 million, which bears interest at a rate of LIBOR plus 5.50%. We do not believe that an immediate 10% increase in interest rates would have a material effect on interest expense for the MidCap Credit Facility, and therefore we do not expect our operating results or cash flows to be materially affected to any degree by a sudden change in market interest.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U.S. represented approximately 1% of our net revenue for the three months ended June 30, 2021 and approximately 2% of our net revenue for the three months ended June 30, 2022.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U.S. To date, our foreign currency risk has been minimal, and we have not historically hedged our foreign currency risk; however, we may consider doing so in the future.</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Inflation would generally directly affect us by increasing our cost of labor and overhead costs. We do not believe that inflation had a material effect on our business, financial condition or results of operations for the three and six months ended June 30, 2021 and 2022, other than with respect to the general impact that inflation has on the supply chain and consumer buying habits.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2022, our Chief Executive Officer and Chief Financial Officer concluded that our disclosure controls and procedures were effective as of June 30,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2022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the headings “Securities Class Action”, “Shareholder Derivative Actions Related to the Securities Class Action”, “Sabby Contract Action” and “Mueller Action” in Note 9 of our condensed consolidated financial statements in this Quarterly Report on Form 10-Q is incorporated herein by reference.</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party to various actions and claims arising in the normal course of business. We do not believe that the final outcome of these matters will have a material adverse effect on our financial position or results of operations. In addition, we maintain what we believe are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w:t>
      </w:r>
      <w:r>
        <w:rPr>
          <w:rFonts w:ascii="Times New Roman" w:cs="Times New Roman" w:eastAsia="Times New Roman" w:hAnsi="Times New Roman"/>
          <w:sz w:val="18"/>
          <w:szCs w:val="18"/>
          <w:color w:val="212529"/>
        </w:rPr>
        <w:t>Except as presented below, there have been no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changes from the risk factors associated with our business previously disclosed in our Annual Report.</w:t>
      </w:r>
    </w:p>
    <w:p>
      <w:pPr>
        <w:spacing w:after="0" w:line="179"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is capital dependent and due to the impact of the COVID-19 pandemic and related global supply chain disruption, our management has expressed substantial doubt about our ability to continue as a going concern.</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2022, we had total cash and cash equivalents of $34.8 million and an accumulated deficit of $488.0 million. In addition, our net loss and net cash used in operating activities amounted to $59.1 million and $22.1 million, respectively, for the six months ended June 30, 2022.</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have been dependent on outside capital through the issuance of equity to investors and borrowings from lenders (collectively “outside capital”) since our inception to execute our growth strategy of investing in organic growth at the expense of short-term profitably and investing in incremental growth through mergers and acquisitions (“M&amp;A strategy”). In addition, our financial performance has been adversely impacted by the COVID-19 global pandemic and related global shipping disruption, in particular with respect to substantial increases in supply chain costs for shipping containers (See COVID-19 Pandemic and Supply Chain disclosure below). As a result, we have incurred significant losses and will remain dependent on outside capital for the foreseeable future until such time that we can realize our strategy of growth by generating profits through our organic growth and M&amp;A strategy, and reduce our reliance on outside capital.</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Given the inherent uncertainties associated with executing our growth strategy, as well as the uncertainty associated with the ongoing COVID-19 global pandemic, recent record inflation increases and related global supply chain disruption, management can provide no assurance we will be able to obtain sufficient outside capital or generate sufficient cash from operations to fund our obligations as they become due over the next twelve months from the date these consolidated financial statements were issued.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as disclosed in Note 6 to our condensed consolidated financial statements in this Quarterly Report on Form 10-Q, we entered into a $50.0 million asset backed credit agreement in December 2021 (the “MidCap Credit Facility”). The MidCap Credit Facility contains a financial covenant that requires that we maintain a minimum unrestricted cash balance or minimum borrowing availability of (a) $12.5 million during the period from February 1st through and including May 31st of each calendar year, and (b) $15.0 million at all other times thereafter. At our election, we may elect to comply with an alternative financial covenant that would require us to maintain a minimum borrowing availability under the MidCap Credit Facility of $10.0 million at all times. We do not anticipate electing the alternative financial covenant over the next twelve months and were in compliance with the minimum liquidity covenant as of the date that our condensed consolidated financial statements were issued.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Since our inception, we have been able to successfully raise a substantial amount of outside capital to fund our growth strategy. However, as of June 30, 2022, we have no firm commitments of additional outside capital from current or prospective investors or lenders. While management believes we will be able to secure additional outside capital, no assurance can be provided that such capital will be obtained or on terms that are acceptable to us. Furthermore, given the inherent uncertainties associated with our growth strategy, we may be unable to remain in compliance with the financial covenants required by the MidCap Credit Facility over the next twelve months. These uncertainties raise substantial doubt about our ability to continue as a going concern.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7" w:name="page58"/>
    <w:bookmarkEnd w:id="57"/>
    <w:p>
      <w:pPr>
        <w:ind w:right="20"/>
        <w:spacing w:after="0" w:line="254" w:lineRule="auto"/>
        <w:rPr>
          <w:sz w:val="20"/>
          <w:szCs w:val="20"/>
          <w:color w:val="auto"/>
        </w:rPr>
      </w:pPr>
      <w:r>
        <w:rPr>
          <w:rFonts w:ascii="Times New Roman" w:cs="Times New Roman" w:eastAsia="Times New Roman" w:hAnsi="Times New Roman"/>
          <w:sz w:val="18"/>
          <w:szCs w:val="18"/>
          <w:color w:val="auto"/>
        </w:rPr>
        <w:t>In order to alleviate substantial doubt, management plans to continue to closely monitor our operating forecast, pursue additional sources of outside capital, and pursue our M&amp;A strategy. If we are (a) unable to improve our operating results, (b) obtain additional outside capital on terms that are acceptable to us to fund our operations and M&amp;A strategy, and/or (c) secure a waiver or forbearance from our lender if we are unable to remain in compliance with the financial covenants required by the MidCap Credit Facility, we will have to make significant changes to our operating plan, such as delay expenditures, reduce investments in new products, delay the development of our software, reduce our sale and distribution infrastructure, or otherwise significantly reduce the scope of our business. Moreover, if we breach the financial covenants required by the MidCap Credit Facility and fail to secure a waiver or forbearance from the lender, such breach or failure could accelerate the repayment of the outstanding borrowings under the MidCap Credit Facility or the exercise of other rights or remedies the lender may have under applicable law. Management can provide no assurance a waiver or forbearance will be granted or the outstanding borrowings under the MidCap Credit Facility will be successfully refinanced on terms that are acceptable to us.</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operational exposure relating to the COVID-19 pandemic and related supply chain issues and the impact from this could have a material adverse impact on our business, financial condition, operating results and prospects.</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COVID-19 pandemic has impacted us in numerous ways since the first quarter of 2020 and we believe it will continue to affect our business moving forward.</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Amongst other things, it has affected our efficiency and ability to launch new products, replenish inventory for existing products, forecast demand for our products, ship into or receive inventory in our third-party warehouses, and to ship or sell products to customers. In addition, many of our personnel are currently working remotely, which creates challenges in the way we operate our business, including with respect to the manner in which we monitor the quality of our products.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any of our key personnel or key personnel at our manufacturing or logistics partners contracts COVID-19, this could affect our ability to execute our operations. In addition, our operations rely on third parties to manufacture our products, to provide logistics and warehousing services and to facilitate sales of our products, and accordingly we rely on the business continuity plans of these third parties to continue to operate during the pandemic and have limited to no ability to influence their plans.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Due to the uncertainty as to the severity and duration of the pandemic, the impact on our future revenues, profitability, liquidity, financial condition, business and results of operations is uncertain at this time. We continue to take steps to preserve our liquidity and capital resources through various actions which include delaying and negotiating the delay of payments to certain vendors. The effect of such actions could have an adverse impact on our business, including our relationships with these vendors. For example, payment delays to certain of our manufacturing vendors in China during April 2020 had resulted in a temporary loss of availability of export credit insurance from the China Export &amp; Credit Insurance Corporation (“Sinosure”), a Chinese state-owned enterprise, that provides export credit insurance to our manufacturing vendors. As of the date of this Quarterly Report, Sinosure has reinstated this insurance to levels that we believe are sufficient to fund our operations.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Currently a significant portion of China requires proof of negative COVID-19 test results within the last 24 hours in order to travel. The early part of Q2 saw significant lockdowns in China due to COVID-19. This includes areas with a material percentage of our manufacturers. This has made it more difficult in getting our inventory to and through the ports in these areas.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Sales and operating results have become more difficult to forecast due to the pandemic and we may suffer from future inventory shortages. This makes it more difficult for us to appropriately plan our expenses. We base our current and future expense levels primarily on our operating forecasts and estimates of sales. We may be unable to adjust our spending in a timely manner to compensate for any unexpected shortfall in sales, whether due to lack of inventory or otherwise, and if actual results differ from our estimates, our operating results and financial condition could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historic revenue growth rate.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we grow our business, our revenue growth rates may slow in future periods due to a number of reasons, which may include our inability to successfully launch new products that reach our sustain phase and to keep those products in the sustain phase, as well as the maturation of our business. In fact, we have paused the launch of new products. Our revenue growth rates may also slow in future periods to the extent we are unable to identify and complete acquisitions, or are unable to maintain or grow revenues from such businesses after closing an acquisition. We can provide no assurance that we will continue to be able to maintain or sustain the same levels of historic revenue growth.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8" w:name="page59"/>
    <w:bookmarkEnd w:id="58"/>
    <w:p>
      <w:pPr>
        <w:ind w:right="160"/>
        <w:spacing w:after="0" w:line="261" w:lineRule="auto"/>
        <w:rPr>
          <w:sz w:val="20"/>
          <w:szCs w:val="20"/>
          <w:color w:val="auto"/>
        </w:rPr>
      </w:pPr>
      <w:r>
        <w:rPr>
          <w:rFonts w:ascii="Times New Roman" w:cs="Times New Roman" w:eastAsia="Times New Roman" w:hAnsi="Times New Roman"/>
          <w:sz w:val="18"/>
          <w:szCs w:val="18"/>
          <w:color w:val="auto"/>
        </w:rPr>
        <w:t>We may decide to delay certain investments in order to more quickly achieve profitability, and while such decisions may accelerate net revenue and profitability on a short-term basis, we can provide no assurance that we will continue to be able to maintain or sustain the same levels of historic revenue growth. In addition, we may focus on product opportunities that have larger addressable markets but require increased levels of marketing investment and we can provide no assurances that such a shift will be successful.</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for the year ended December 31, 2021, we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 Furthermore, while Managed PaaS has in the past generated revenue, we do not anticipate any material revenue being earned through our Managed PaaS business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inventory effectively, our operating results and financial condition could be adversely affected.</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ensure timely delivery of products, we generally issue purchase orders to contract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excess inventory write offs and lower gross margins. We rely on our procurement team to order products and we rely on our data analytics to decide on the levels and timing of inventory we purchase, including when to reorder items that are selling well and when to write off items that are not selling well. We rely on our contract manufacturers who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Q2 one of our material suppliers recently notified us about a production issue with certain batches of a dehumidifier product we sell. After working with the supplier to identify which products were affected by the issue we were largely able to remedy the situation. Our team is working to manage our inventory situation however we may be faced with limited inventory for certain versions of this dehumidifier which we would anticipate to occur during the third quarter of this year. If this were to occur, our financial performance would be adversely affected.</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our sales and procurement teams do not accurately predict demand or if our algorithms do not help us reorder the right products or write off the products timely, we may not effectively manage our inventory, which could result in inventory excess or shortages, and our operating results and financial condition could be adversely affected. We expect during the remainder of 2022 to sell off excess inventory which could have a material impact on our operating results.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Given the long lasting effects of the COVID-19 pandemic, we expect to continue experiencing inventory shortages and our operating results and financial condition could be adversely affected.</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the Russian invasion of Ukraine on the global economy, energy supplies and raw materials is uncertain, but may prove to negatively impact our business and operations.</w:t>
      </w:r>
    </w:p>
    <w:p>
      <w:pPr>
        <w:spacing w:after="0" w:line="15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short and long-term implications of Russia’s invasion of Ukraine are difficult to predict at this time. We continue to monitor any adverse impact that the outbreak of war in Ukraine and the subsequent institution of sanctions against Russia by the United States and several European and Asian countries may have on the global economy in general, on our business and operations and on the businesses and operations of our suppliers and customers. For example, a prolonged conflict may result in increased inflation, escalating energy prices and constrained availability, and thus increasing costs of raw materials. To the extent the war in Ukraine may adversely affect our business as discussed above, it may also have the effect of heightening many of the other risks described herein. Such risks include, but are not limited to, adverse effects on macroeconomic conditions, including inflation; disruptions to our global technology infrastructure, including through cyberattack, ransom attack, or cyber-intrusion; adverse changes in international trade policies and relations; our ability to maintain or increase our product prices; disruptions in global supply chains; our exposure to foreign currency fluctuations; and constraints, volatility, or disruption in the capital markets, any of which could negatively affect our business, financial performance and financial condition.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manufacturers, most of which are located in China.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products are manufactured by unaffiliated companies that are located in China. This concentration of manufacturers in a single country exposes us to risks associated with doing business globally, including: changing international political relations; labor availability and cost; changes in laws, including tax laws, regulations and treaties; changes in labor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ind w:right="140"/>
        <w:spacing w:after="0" w:line="255" w:lineRule="auto"/>
        <w:rPr>
          <w:sz w:val="20"/>
          <w:szCs w:val="20"/>
          <w:color w:val="auto"/>
        </w:rPr>
      </w:pPr>
      <w:r>
        <w:rPr>
          <w:rFonts w:ascii="Times New Roman" w:cs="Times New Roman" w:eastAsia="Times New Roman" w:hAnsi="Times New Roman"/>
          <w:sz w:val="18"/>
          <w:szCs w:val="18"/>
          <w:color w:val="auto"/>
        </w:rPr>
        <w:t>regulations and policies; changes in customs duties, additional tariffs and other trade barriers; changes in shipping costs; currency exchange fluctuations; local political unrest; an extended and complex transportation cycle; the impact of changing economic conditions; and the availability and cost of raw materials and merchandise. The political, legal and cultural environment in China and other nations is continuously evolving, and any change that impairs our ability to obtain products from manufacturers in that region, or to obtain products at marketable rates, could have a material adverse effect on our business, operating results and financial condition. We rely on one large manufacturer for the manufacture of several of our products, including our dehumidifiers. If we were no longer able to maintain that relationship for any reason, we may not be able to timely find another manufacturer, specifically one that provides the same quality, which would negatively affect our business, sales and results of operations.</w:t>
      </w:r>
    </w:p>
    <w:p>
      <w:pPr>
        <w:spacing w:after="0" w:line="18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Furthermore, currently a significant portion of China requires proof of negative COVID-19 test results within the last 24 hours in order to travel due to COVID-19. The early part of Q2 saw significant lockdowns in China due to COVID-19. This includes areas with a material percentage of our manufacturers. This has made it more difficult in getting our inventory to and through the ports in these areas.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understanding with most of our suppliers do not provide for the long-term availability of merchandise or the continuation of particular pricing practices, nor do they usually restrict such suppliers from selling products to other buyers or directly to consumers themselves. There can be no assurance that our current suppliers will continue to sell us products on current terms or that we will be able to establish new or otherwise extend current supply relationships to ensure product acquisitions in a timely and efficient manner and on acceptable commercial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Cyber Security</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and may allow transaction data or other confidential and sensitive information to be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malwares, malicious software, break-ins, phishing attacks, social engineering, security breaches or other attacks or disruptions that may jeopardize the security of information stored in or transmitted by our websites, networks and systems that we or such third party service providers otherwise maintain, including payment card systems, which may subject us to fines or higher transaction fees or limit or terminate our access to certain payment methods. We and such third party service providers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 can occur as a result of non-technical issues, including intentional or unintentional breaches by our employees or by third parties. These risks may increase over time as the complexity and number of technical systems and applications we use also increases.</w:t>
      </w:r>
    </w:p>
    <w:p>
      <w:pPr>
        <w:spacing w:after="0" w:line="1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Breaches of our security measures or those of our third-party service providers or other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been the target of social engineering, phishing, malware and similar attacks and threats of denial-of-service attacks. While we have yet to experience any material adverse effects from these attempted attacks, such attacks in the future could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increased costs, including costs to deploy additional personnel and protection technologies, train employees and engage third-party experts and consultants.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right="100"/>
        <w:spacing w:after="0" w:line="253" w:lineRule="auto"/>
        <w:rPr>
          <w:sz w:val="20"/>
          <w:szCs w:val="20"/>
          <w:color w:val="auto"/>
        </w:rPr>
      </w:pPr>
      <w:r>
        <w:rPr>
          <w:rFonts w:ascii="Times New Roman" w:cs="Times New Roman" w:eastAsia="Times New Roman" w:hAnsi="Times New Roman"/>
          <w:sz w:val="18"/>
          <w:szCs w:val="18"/>
          <w:color w:val="auto"/>
        </w:rPr>
        <w:t>We may experience periodic system interruptions from time to time. In addition, continued growth in our transaction volume, and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assurances that we will be able to accurately project the rate or timing of such increases, if any, in the use of our sites and expand and upgrade our systems and infrastructure to accommodate such increases on a timely basis. In order to remain competitive, we must continue to enhance and improve the responsiveness, functionality and features of our sites, which is particularly challenging given the rapid rate at which new technologies, customer preferences and expectations and industry standards and practices are evolving in the e-commerce industry. Accordingly, we redesign and enhance various functions on our sites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may divert resources from the growth and expansion of our business. On April 25, 2022, we were alerted by a payment processor of a potential data security incident regarding one of our UK websites. We have notified the appropriate parties, however the outcome of this incident is still uncertain and we may incur substantial costs and experience other negative consequences that could be material to our business, financial results and/or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Litigation and Government Regulation</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general litigation, regulatory disputes and government inquiries. Any failure to comply with current laws, rules and regulations or changes to such laws, rules and regulations and other legal uncertainties may adversely affect our business, financial performance, results of operations or business growth.</w:t>
      </w:r>
    </w:p>
    <w:p>
      <w:pPr>
        <w:spacing w:after="0" w:line="17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As a growing company with expanding operations, we have in the past and may in the future increasingly face the risk of claims, lawsuits, government investigations and other proceedings involving competition and antitrust, intellectual property, privacy, consumer protection, accessibility claims, securities, tax, labor and employment, commercial disputes, services and other matters. The number and significance of these disputes and inquiries have increased as the political and regulatory landscape changes, and as we have grown larger and expanded in scope and geographic reach, and our services have increased in complexity.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we are a party to various actions and claims arising in the normal course of business, certain of which are indicated below:</w:t>
      </w:r>
    </w:p>
    <w:p>
      <w:pPr>
        <w:spacing w:after="0" w:line="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On May 13, 2021, a securities class action complaint was filed in the U.S. District Court for the Southern District of New York by Andrew Tate naming our company, Yaniv Sarig and Fabrice Hamaide as defendants. On June 10, 2021, a substantially similar securities class action complaint was filed in the same court by Jeff Coon against the same defendants. Thereafter, other stockholders asserted similar claims. On August 10, 2021, the court appointed Joseph Nolff as the lead plaintiff of the putative class action, and on October 12, 2021, he filed an amended complaint, (i) adding Arturo Rodriguez as a defendant,</w:t>
      </w:r>
    </w:p>
    <w:p>
      <w:pPr>
        <w:spacing w:after="0" w:line="1" w:lineRule="exact"/>
        <w:rPr>
          <w:sz w:val="20"/>
          <w:szCs w:val="20"/>
          <w:color w:val="auto"/>
        </w:rPr>
      </w:pPr>
    </w:p>
    <w:p>
      <w:pPr>
        <w:ind w:right="20" w:firstLine="8"/>
        <w:spacing w:after="0" w:line="251"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violations of Sections 10(b) and 20(a) of the Securities Exchange Act of 1934, as amended (the “Exchange Act”), and Rule 10b-5 promulgated thereunder and (iii) claiming that the defendants made false and materially misleading statements and failed to disclose material adverse facts regarding our business, operations, and prospects and that this was revealed on May 4, 2021, when Culper Research published a report allegedly exposing these alleged misrepresentations and omissions. The lead plaintiff has since filed two further amended complaints repeating substantively the same allegations. The Company reached an agreement in principle to resolve this action on March 10, 2022 for $1.3 million. Following a mediation, an initial settlement-in-principle, and further negotiations, on April 22, 2022, we, in conjunction with our codefendants Yaniv Sarig, Fabrice Hamaide, and Arturo Rodriguez, entered into a formal settlement agreement to resolve this class action. The settlement agreement contains no admission of wrongdoing and expressly states that we and our codefendants have entered into a settlement solely to avoid the uncertainties, burden, and expense of further litigation. The settlement class consists of purchasers of our securities during the period from August 24, 2020 through May 3, 2021, inclusive (the “Class Period”). Under the terms of the proposed settlement, members of the settlement class release us and our codefendants from, among other things, all claims and causes of action of every nature and description, whether known or unknown, that were asserted in the class action; could have been asserted in the class action; relate in any way to transactions in our securities during the Class Period and any facts, transactions, or occurrences referred to in any of the pleadings or other documents filed in the class action.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ind w:right="20"/>
        <w:spacing w:after="0" w:line="254" w:lineRule="auto"/>
        <w:rPr>
          <w:sz w:val="20"/>
          <w:szCs w:val="20"/>
          <w:color w:val="auto"/>
        </w:rPr>
      </w:pPr>
      <w:r>
        <w:rPr>
          <w:rFonts w:ascii="Times New Roman" w:cs="Times New Roman" w:eastAsia="Times New Roman" w:hAnsi="Times New Roman"/>
          <w:sz w:val="18"/>
          <w:szCs w:val="18"/>
          <w:color w:val="auto"/>
        </w:rPr>
        <w:t>Following a mediation, an initial settlement-in-principle, and further negotiations, on April 22, 2022, we, in conjunction with our codefendants Yaniv Sarig, Fabrice Hamaide, and Arturo Rodriguez, entered into a formal settlement agreement to resolve this class action. The settlement agreement contains no admission of wrongdoing and expressly states that we and our codefendants have entered into a settlement solely to avoid the uncertainties, burden, and expense of further litigation. The settlement class consists of purchasers of our securities during the period from August 24, 2020 through May 3, 2021, inclusive (the “Class Period”). Under the terms of the proposed settlement, members of the settlement class release us and our codefendants from, among other things, all claims and causes of action of every nature and description, whether known or unknown, that were asserted in the class action; could have been asserted in the class action; relate in any way to transactions in our securities during the Class Period and any facts, transactions, or occurrences referred to in any of the pleadings or other documents filed in the class action.</w:t>
      </w: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the agreement, we were obligated to pay $1.3 million into escrow, within 10 business days of the court’s preliminary approval of the settlement, to be distributed to claimants in the settlement class pursuant to the plan of allocation filed with the court on May 4,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permitted by the court, this payment will also fund the legal fees of plaintiffs’ counsel and the costs of administering the</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settlement. The proposed settlement was preliminarily approved by the Court on May 6, 2022, but is still subject to final court approval. The court has scheduled a hearing regarding final approval for September 9, 2022. Final approval is expected, but could be delayed by appeals, objections, or other proceedings. In addition, we have the right to terminate the settlement agreement if more than a certain percentage of class members elect to opt-out of the settlement.</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October 21, October 25 and November 10, 2021, three shareholder derivative actions were filed on behalf of our company by Shaoxuan Zhang, Michael Sheller and Tyler Magnus in the U.S. District Court for the Southern District of New York. These actions, collectively, name Yaniv Sarig, Fabrice Hamaide, Arturo Rodriguez, Greg B. Petersen, Bari A. Harlam, Amy von Walter, William Kurtz, Roi Zion Zahut, Joseph A. Risico, Tomer Pascal and Mihal Chaouat-Fix as individual defendants, and our company as a nominal defendant. These actions are predicated on substantively the same factual allegations contained in the above-described securities class action and assert that the individual defendants (i) breached their fiduciary duties, (ii) misused their authority, (iii) were unjustly enriched and (iv) wasted corporate assets. The action filed by Michael Sheller also alleges that individual defendants Sarig and Hamaide are liable for contribution pursuant to Sections 10(b) and 21D of the Exchange Act in the event we are held liable in the shareholder derivative action. The action filed by Shaoxuan Zhang alleges analogous liability on the part of Sarig, Hamaide and Rodriguez. Finally, the action filed by Shaoxuan Zhang also alleges that individual defendants Sarig, Harlam, Kurtz, Petersen and von Walter are liable for violations of Section 14(a) of the Exchange Act. We believe the allegations are without merit and intend to vigorously defend against these actions. We are in negotiations with the Plaintiffs regarding a possible settlement of this matter, however the outcome of these negotiations are still uncertain. If that process does not succeed, we are prepared to continue the full defense of this action.</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20, 2021, Sabby Volatility Warrant Master Fund Ltd. (“Sabby”) sued our company in the Supreme Court of the State of New York, New York County, alleging that we breached the Securities Purchase Agreement, dated June 10, 2021 (the “Purchase Agreement”), pursuant to which Sabby purchased 400,000 shares of our common stock, for an aggregate price of approximately $6 million. Sabby contends that certain of the representations and warranties made by us in the Purchase Agreement concerning our financial condition and the accuracy of our prior disclosures were untrue and that we breached the Purchase Agreement’s anti-dilution and use-of-proceeds covenants on both August 9, 2021 and September 23, 2021, when we resolved certain defaults with High Trail. We intend to vigorously defend against this action.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October 2021, the Company received a class action notification and pre-lawsuit demand letter demanding corrective action with respect to the marketing, advertising and labeling of certain products under the Mueller Austria brand. The letter claims that Aterian marketed, advertised, and labeled the products with representations that create the false impression they are made in Austria. The Company reached an agreement in principle to resolve this action on April 13, 2022 for $500,000 in cash and $300,000 worth of coupons, which the Company accrued for, subject to court approval. If that process does not succeed, we are prepared to continue the full defense of this action.</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24, 2022, the Company received a notice disputing the Company’s calculation of the earn-out payment to be paid to Josef Eitan and Ran Nir pursuant to the Stock Purchase Agreement (the “PPD Stock Purchase Agreement”), dated as of May 5, 2021, by and among the Company, Truweo, LLC, Photo Paper Direct Ltd, Josef Eitan and Ran Nir. The Company is in discussions with representatives of Josef Eitan and Ran Nir, who believe they are entitled to the full earnout under the terms of the PPD Stock Purchase Agreement, whereas the Company believe they are not. The parties are proceeding to resolve the matter as required pursuant to the terms of the PPD Stock Purchase Agreement, however the Company believes its calculations are accurate and intends to vigorously defend itself.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right="40"/>
        <w:spacing w:after="0" w:line="257" w:lineRule="auto"/>
        <w:rPr>
          <w:sz w:val="20"/>
          <w:szCs w:val="20"/>
          <w:color w:val="auto"/>
        </w:rPr>
      </w:pPr>
      <w:r>
        <w:rPr>
          <w:rFonts w:ascii="Times New Roman" w:cs="Times New Roman" w:eastAsia="Times New Roman" w:hAnsi="Times New Roman"/>
          <w:sz w:val="18"/>
          <w:szCs w:val="18"/>
          <w:color w:val="auto"/>
        </w:rPr>
        <w:t>On June 7, 2022, Sentia Wellness, Inc. filed an action in Multnomah County, Oregon against Boris Jordan; Measure 8 Ventures, LP; Gron Ventures Fund I, LP; Zola Global Investors Ltd.; Anson Advisors Inc.; AC Anson Investments Ltd.; Anson Investments Master Fund LP; Anson Opportunities Master Fund LP; Serendipity SPC -Trimble Fund SP; Lapid Us Investments LLC; Hadron Healthcare and Consumer Special Opportunities Master Fund; Alliance Global Partners LLC; Sunny Puri; Juan Martinez; Peter Clateman; Wilder Ramsey; Gregory Crowe; Igor Gimelshtein; Tarik Ouass; Andrea Oriani; Marco D’attanseo; Afzal Hasan; and the Company. Sentia asserts claims for breach of fiduciary duty, breach of duty of good faith and fair dealing, intentional interference with prospective economic relations, intentional interference with contractual relationship, negligent misrepresentation, and unjust enrichment against various of these defendants, based on the allegation that Sentia’s debt holders conspired to take control of the company and direct its resources and acquisition efforts to the debt holders’ individual financial interests. Sentia alleges that Aterian—then known as Mohawk—contemplated a partial acquisition of Sentia that played some role in these events. No responsive pleadings have been filed or are yet due, however we intend to vigorously defend against this action.</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These proceedings could also result in reputational harm, criminal sanctions, consent decrees or orders preventing us from offering certain products or services or requiring a change in our business practices in costly ways or requiring development of non-infringing or otherwise altered products or technologies. Litigation and other claims and regulatory proceedings against us could result in unexpected expenses and liabilities, which could have a material adverse effect on our business, results of operations, financial condition and prospects.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further tariffs or other restrictions are placed on imports from China or any negative trade measures are taken by China, our business, financial condition and results of operations could be materially and adversely affected.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purchase a substantial portion of our products from unaffiliated manufacturers that are located in China. This concentration exposes us to risks associated with doing business globally, including changes in tariffs. The Office of the United States Trade Representative previously identified certain Chinese imported goods for additional tariffs to address China’s trade policies and practices. These tariffs could have a material adverse effect on our business and results of operations. Additionally, the Biden administration has canceled tariff exclusions that provided tariff relief to certain products and has yet to signal whether it will reinstate such exclusions or further alter existing trade agreements and terms between China and the U.S., including limiting trade with China, adjusting the current tariffs on imports from China and potentially imposing other restrictions on exports from China to the U.S. Consequently, it is possible that tariffs may be imposed on products imported from foreign countries, including China, or that our business will be affected by retaliatory trade measures taken by China or other countries in response to existing or future tariffs. This may cause us to raise prices or make changes to our operations, any of which could have a material adverse effect on our business and results of operations.</w:t>
      </w:r>
    </w:p>
    <w:p>
      <w:pPr>
        <w:spacing w:after="0" w:line="184"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regulators and other stakeholders concerning corporate responsibility, specifically related to environmental, social and governance (“ESG”) factors. Some investors and investor advocacy groups may use these factors to guide investment strategies and, in some cases, investors may choose not to invest in our company if they believe our policies relating to corporate responsibility are inadequate. Third-party providers of corporate responsibility ratings and reports on companies have increased to meet growing investor demand for measurement of corporate responsibility performance, and a variety of organizations currently measure the performance of companies on such ESG topics, and the results of these assessments are widely publicized. Investors, particularly institutional investors, use these ratings to benchmark companies against their peers and if we are perceived as lagging with respect to ESG initiatives, certain investors may engage with us to improve ESG disclosures or performance and may also make voting decisions, or take other actions, to hold us and our board of directors accountable. In addition, the criteria by which our corporate responsibility practices are assessed may change, which could result in greater expectations of us and cause us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ind w:right="460"/>
        <w:spacing w:after="0" w:line="282" w:lineRule="auto"/>
        <w:rPr>
          <w:sz w:val="20"/>
          <w:szCs w:val="20"/>
          <w:color w:val="auto"/>
        </w:rPr>
      </w:pPr>
      <w:r>
        <w:rPr>
          <w:rFonts w:ascii="Times New Roman" w:cs="Times New Roman" w:eastAsia="Times New Roman" w:hAnsi="Times New Roman"/>
          <w:sz w:val="18"/>
          <w:szCs w:val="18"/>
          <w:color w:val="auto"/>
        </w:rPr>
        <w:t>to undertake costly initiatives to satisfy such new criteria. If we elect not to or are unable to satisfy such new criteria, investors may conclude that our policies with respect to corporate responsibility are inadequate.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face reputational damage in the event our corporate responsibility initiatives or objectives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addition, the SEC has announced proposed rules that, among other matters, will establish a framework for reporting of climate-related risks. To the extent the proposed rules impose additional reporting obligations, we could face increased costs. Separately, the SEC has also announced that it is scrutinizing existing climate-change related disclosures in public filings, increasing the potential for enforcement if the SEC were to allege our existing climate disclosures are misleading or deficient.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very volatile. Market volatility may affect the value of an investment in our common stock and could subject us to litigation.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There has been and could continue to be significant volatility in the market price and trading volume of equity securities. For example, our closing stock price ranged from approximately $2.14 to $47.66 per share from January 1, 2021 to August 5, 2022. The market price of our common stock could be subject to wide fluctuations in response to many risk factors listed in this section, and others beyond our control, including:</w:t>
      </w:r>
    </w:p>
    <w:p>
      <w:pPr>
        <w:spacing w:after="0" w:line="396" w:lineRule="exact"/>
        <w:rPr>
          <w:sz w:val="20"/>
          <w:szCs w:val="20"/>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 and related “short squeezes”;</w:t>
      </w:r>
    </w:p>
    <w:p>
      <w:pPr>
        <w:spacing w:after="0" w:line="27"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impact on our business due to the COVID-19 pandemic;</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and any changes in projected operational and financial results;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customers;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offerings by us or our competitors;</w:t>
      </w:r>
    </w:p>
    <w:p>
      <w:pPr>
        <w:spacing w:after="0" w:line="9" w:lineRule="exact"/>
        <w:rPr>
          <w:rFonts w:ascii="Times New Roman" w:cs="Times New Roman" w:eastAsia="Times New Roman" w:hAnsi="Times New Roman"/>
          <w:sz w:val="18"/>
          <w:szCs w:val="18"/>
          <w:color w:val="auto"/>
        </w:rPr>
      </w:pPr>
    </w:p>
    <w:p>
      <w:pPr>
        <w:ind w:left="760" w:right="780" w:hanging="361"/>
        <w:spacing w:after="0" w:line="25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press and in online investor communities;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 to our press releases and filings with the SEC;</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performance and the valuation of companies perceived by investors to be comparable to us;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contractual lock-up periods;</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pandemics, war, incidents of terrorism or responses to these events; and</w:t>
      </w:r>
    </w:p>
    <w:p>
      <w:pPr>
        <w:spacing w:after="0" w:line="9" w:lineRule="exact"/>
        <w:rPr>
          <w:rFonts w:ascii="Times New Roman" w:cs="Times New Roman" w:eastAsia="Times New Roman" w:hAnsi="Times New Roman"/>
          <w:sz w:val="18"/>
          <w:szCs w:val="18"/>
          <w:color w:val="auto"/>
        </w:rPr>
      </w:pPr>
    </w:p>
    <w:p>
      <w:pPr>
        <w:ind w:left="760" w:hanging="361"/>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4" w:name="page65"/>
    <w:bookmarkEnd w:id="64"/>
    <w:p>
      <w:pPr>
        <w:ind w:right="40"/>
        <w:spacing w:after="0" w:line="255" w:lineRule="auto"/>
        <w:rPr>
          <w:sz w:val="20"/>
          <w:szCs w:val="20"/>
          <w:color w:val="auto"/>
        </w:rPr>
      </w:pPr>
      <w:r>
        <w:rPr>
          <w:rFonts w:ascii="Times New Roman" w:cs="Times New Roman" w:eastAsia="Times New Roman" w:hAnsi="Times New Roman"/>
          <w:sz w:val="18"/>
          <w:szCs w:val="18"/>
          <w:color w:val="auto"/>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harm our business.</w:t>
      </w:r>
    </w:p>
    <w:p>
      <w:pPr>
        <w:spacing w:after="0" w:line="33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 squeeze” due to a sudden increase in demand for shares of our common stock that largely exceeds supply has led to, and may continue to lead to, extreme price volatility in shares of our common stock.</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Investors may purchase shares of our common stock to hedge existing exposure or to speculate on the price of our common stock. Speculation on the price of our common stock may involve long and short exposures. To the extent aggregate short exposure exceeds the number of shares of our common stock available for purchase on the open market, investors with short exposure may have to pay a premium to repurchase shares of our common stock for delivery to lenders of our common stock. Those repurchases may, in turn, dramatically increase the price of shares of our common stock until additional shares of our common stock are available for trading or borrowing. This is often referred to as a “short squeeze.”</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 large proportion of our common stock has been and may continue to be traded by short sellers which may increase the likelihood that our common stock will be the target of a short squeeze. A short squeeze has previously led and could in the future lead to volatile price movements in shares of our common stock that are unrelated or disproportionate to our operating performance or prospects. Stockholders that purchase shares of our common stock during a short squeeze may lose a significant portion of their investment.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may appear on the Regulation SHO Threshold Security list, and this could lead to increased volatility in our common stock.</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From time to time, we may appear on the Regulation SHO Threshold Security list, and this could lead to increased volatility in our common stock. As defined in Rule 203(c)(6) of Regulation SHO, a “threshold security” is any equity security of any issuer that is registered under Section 12 of the Exchange Act, or that is required to file reports under Section 15(d) of the Exchange Act (commonly referred to as reporting securities), where, for five consecutive settlement days:</w:t>
      </w:r>
    </w:p>
    <w:p>
      <w:pPr>
        <w:spacing w:after="0" w:line="72" w:lineRule="exact"/>
        <w:rPr>
          <w:sz w:val="20"/>
          <w:szCs w:val="20"/>
          <w:color w:val="auto"/>
        </w:rPr>
      </w:pPr>
    </w:p>
    <w:p>
      <w:pPr>
        <w:ind w:left="1040" w:hanging="357"/>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aggregate fails to deliver at a registered clearing agency of 10,000 shares or more per security;</w:t>
      </w:r>
    </w:p>
    <w:p>
      <w:pPr>
        <w:spacing w:after="0" w:line="27" w:lineRule="exact"/>
        <w:rPr>
          <w:rFonts w:ascii="Times New Roman" w:cs="Times New Roman" w:eastAsia="Times New Roman" w:hAnsi="Times New Roman"/>
          <w:sz w:val="18"/>
          <w:szCs w:val="18"/>
          <w:color w:val="auto"/>
        </w:rPr>
      </w:pPr>
    </w:p>
    <w:p>
      <w:pPr>
        <w:ind w:left="1040" w:hanging="357"/>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fails is equal to at least one-half of one percent of the issuer’s total shares outstanding; and</w:t>
      </w:r>
    </w:p>
    <w:p>
      <w:pPr>
        <w:spacing w:after="0" w:line="9" w:lineRule="exact"/>
        <w:rPr>
          <w:rFonts w:ascii="Times New Roman" w:cs="Times New Roman" w:eastAsia="Times New Roman" w:hAnsi="Times New Roman"/>
          <w:sz w:val="18"/>
          <w:szCs w:val="18"/>
          <w:color w:val="auto"/>
        </w:rPr>
      </w:pPr>
    </w:p>
    <w:p>
      <w:pPr>
        <w:ind w:left="1040" w:hanging="357"/>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is included on a list published by a self-regulatory organization (SRO).</w:t>
      </w:r>
    </w:p>
    <w:p>
      <w:pPr>
        <w:spacing w:after="0" w:line="2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markets by our insiders, or the perception that these sales may occur, may cause the market price of our common stock to decline.</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employees, directors and officers, and their affiliates, hold substantial amounts of shares of our common stock. Sales of a substantial number of such shares by these stockholders, or the perception that such sales will occur, may cause the market price of our common stock to decline. Other than our stock ownership guidelines and our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the perception that such sales may occur, could cause our stock price to decline.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issue additional securities following the date of this quarterly report on Form 10-Q. Our amended and restated certificate of incorporation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If our existing stockholders sell a large number of shares of our common stock, or the public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market perceives that those existing stockholders might sell shares of common stock, the market price of our common stock could decline significantly.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stockholder sales might also make it more difficult for us to sell additional equity securities at a time and price that we deem appropriate, or at all.</w:t>
      </w:r>
    </w:p>
    <w:p>
      <w:pPr>
        <w:spacing w:after="0" w:line="9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of June 30, 2022, 3,411,513 shares of our common stock were reserved for issuance under our equity incentive plans, of which 368,596 shares of our common stock were subject to options outstanding at such date at a weighted-average exercise price of $9.26 per share, 81,935 shares of common stock were reserved for future issuance under the 2014 Amended and Restated Equity Incentive Plan, 910,982 shares of our common stock were reserved for future issuance pursuant to our 2018 Equity Incentive Plan and 2,050,000 shares of our common stock were reserved for future issuance pursuant to our 2022 Inducement Plan. To the extent outstanding options are exercised or we issue additional equity awards under our equity incentive plans, our existing stockholders may incur dilution.</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Accounting adjustments due to changes in circumstances or estimates may require us to write down intangible assets, such as goodwill and may have a material impact on our financial reporting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one business component which is the same as our reporting unit based on the guidance in ASC Topic 350-20.</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02124"/>
        </w:rPr>
        <w:t xml:space="preserve">We have experienced high volatility in the price of our common stock and a reduction in our market capitalization through March 31, 2022. This </w:t>
      </w:r>
      <w:r>
        <w:rPr>
          <w:rFonts w:ascii="Times New Roman" w:cs="Times New Roman" w:eastAsia="Times New Roman" w:hAnsi="Times New Roman"/>
          <w:sz w:val="18"/>
          <w:szCs w:val="18"/>
          <w:color w:val="000000"/>
        </w:rPr>
        <w:t>was</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considered an interim triggering event for the three months ended March 31, 2022.</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engaged a third-party valuation specialist to assist management in performing an interim goodwill impairment test in March 2022. For goodwill, impairment testing is based upon the best information available using a combination of the discounted cash flow method (a form of the income approach) and the guideline public company method.</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As a result, we recorded a goodwill impairment </w:t>
      </w:r>
      <w:r>
        <w:rPr>
          <w:rFonts w:ascii="Times New Roman" w:cs="Times New Roman" w:eastAsia="Times New Roman" w:hAnsi="Times New Roman"/>
          <w:sz w:val="18"/>
          <w:szCs w:val="18"/>
          <w:color w:val="202124"/>
        </w:rPr>
        <w:t>charge of $29.0 million in the six months</w:t>
      </w:r>
      <w:r>
        <w:rPr>
          <w:rFonts w:ascii="Times New Roman" w:cs="Times New Roman" w:eastAsia="Times New Roman" w:hAnsi="Times New Roman"/>
          <w:sz w:val="18"/>
          <w:szCs w:val="18"/>
          <w:color w:val="auto"/>
        </w:rPr>
        <w:t xml:space="preserve"> ended June 30, 2022, primarily due to the decrease in our market capitalization. We did not record a goodwill impairment charge for the three months ended June 30, 2022.</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our market capitalization.</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that the assumptions and estimates made are reasonable and appropriate, and changes in the assumptions and estimates could have a material impact on our reported financial results. In addition, sustained declines in our stock price and related market capitalization could impact key assumptions in the overall estimated fair values of our reporting unit and could result in non-cash impairment charges that could be material to our condensed consolidated balance sheet or results of operations.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continue to closely monitor actual results versus expectations as well as whether, and to what extent, any significant changes in current events or conditions, including changes to the impacts of the COVID-19 pandemic on our business, result in corresponding changes to our expectations about future estimated cash flows, discount rates and market multiples. If our adjusted expectations of the operating results do not materialize, if the discount rate increases (based on increases in interest rates, market rates of return or market volatility) or if market multiples decline, we may be required to record additional goodwill impairment charges, which may be material.</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fair value of our reporting unit is appropriate, these estimates are subject to uncertainty and by nature include judgments and estimates regarding various factors. These factors include the rate and extent of growth in the markets that our reporting units serve, the realization of future sales price and volume increases, fluctuations in exchange rates, fluctuations in price and availability of key raw materials, future operating efficiencies and, as it pertains to discount rates, the volatility in interest rates and costs of equity.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Unregistered Sales of Equity Securities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21, 2022, we issued a warrant to purchase an aggregate of 300,000 shares of our common stock at an exercise price of $4.65 to Recurrent Ventures, Inc., pursuant to a co-branding agreement. The issuance of the warrant and the shares of common stock underlying the warrant was not registered under the Securities Act in reliance upon the exemption from registration provided by Section 4(a)(2) of the Securities Act and Rule 506 of Regulation D promulgated by the SEC, and in reliance on similar exemptions under applicable state laws.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Proceeds from 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6. Exhibits.</w:t>
      </w:r>
    </w:p>
    <w:p>
      <w:pPr>
        <w:spacing w:after="0" w:line="200" w:lineRule="exact"/>
        <w:rPr>
          <w:sz w:val="20"/>
          <w:szCs w:val="20"/>
          <w:color w:val="auto"/>
        </w:rPr>
      </w:pPr>
    </w:p>
    <w:p>
      <w:pPr>
        <w:spacing w:after="0" w:line="267"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8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880" w:type="dxa"/>
            <w:vAlign w:val="bottom"/>
          </w:tcPr>
          <w:p>
            <w:pPr>
              <w:jc w:val="center"/>
              <w:ind w:right="13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1833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80" w:lineRule="exact"/>
        <w:rPr>
          <w:sz w:val="20"/>
          <w:szCs w:val="20"/>
          <w:color w:val="auto"/>
        </w:rPr>
      </w:pPr>
    </w:p>
    <w:p>
      <w:pPr>
        <w:ind w:left="280"/>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95">
        <w:r>
          <w:rPr>
            <w:rFonts w:ascii="Times New Roman" w:cs="Times New Roman" w:eastAsia="Times New Roman" w:hAnsi="Times New Roman"/>
            <w:sz w:val="18"/>
            <w:szCs w:val="18"/>
            <w:u w:val="single" w:color="auto"/>
            <w:color w:val="0000EE"/>
          </w:rPr>
          <w:t>Asset Purchase Agreement, dated December 1, 2020, by and among</w:t>
        </w:r>
      </w:hyperlink>
    </w:p>
    <w:p>
      <w:pPr>
        <w:spacing w:after="0" w:line="27" w:lineRule="exact"/>
        <w:rPr>
          <w:sz w:val="20"/>
          <w:szCs w:val="20"/>
          <w:color w:val="auto"/>
        </w:rPr>
      </w:pPr>
    </w:p>
    <w:p>
      <w:pPr>
        <w:ind w:left="960" w:right="60" w:firstLine="6"/>
        <w:spacing w:after="0" w:line="255" w:lineRule="auto"/>
        <w:tabs>
          <w:tab w:leader="none" w:pos="1210" w:val="left"/>
        </w:tabs>
        <w:numPr>
          <w:ilvl w:val="0"/>
          <w:numId w:val="32"/>
        </w:numPr>
        <w:rPr>
          <w:rFonts w:ascii="Times New Roman" w:cs="Times New Roman" w:eastAsia="Times New Roman" w:hAnsi="Times New Roman"/>
          <w:sz w:val="18"/>
          <w:szCs w:val="18"/>
          <w:u w:val="single" w:color="auto"/>
          <w:color w:val="0000EE"/>
        </w:rPr>
      </w:pPr>
      <w:hyperlink r:id="rId95">
        <w:r>
          <w:rPr>
            <w:rFonts w:ascii="Times New Roman" w:cs="Times New Roman" w:eastAsia="Times New Roman" w:hAnsi="Times New Roman"/>
            <w:sz w:val="18"/>
            <w:szCs w:val="18"/>
            <w:u w:val="single" w:color="auto"/>
            <w:color w:val="0000EE"/>
          </w:rPr>
          <w:t>Aterian, Inc. and Truweo, LLC, as Purchaser, (ii) 9830 Macarthur LLC,</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Reliance Equities Group, LLC and ZN Direct LLC, as Sellers and (iii) Jelena</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Puzovic, as Founder.</w:t>
        </w:r>
      </w:hyperlink>
    </w:p>
    <w:p>
      <w:pPr>
        <w:spacing w:after="0" w:line="91" w:lineRule="exact"/>
        <w:rPr>
          <w:rFonts w:ascii="Times New Roman" w:cs="Times New Roman" w:eastAsia="Times New Roman" w:hAnsi="Times New Roman"/>
          <w:sz w:val="18"/>
          <w:szCs w:val="18"/>
          <w:u w:val="single" w:color="auto"/>
          <w:color w:val="0000EE"/>
        </w:rPr>
      </w:pPr>
    </w:p>
    <w:p>
      <w:pPr>
        <w:ind w:left="960" w:right="260" w:hanging="690"/>
        <w:spacing w:after="0" w:line="276" w:lineRule="auto"/>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96">
        <w:r>
          <w:rPr>
            <w:rFonts w:ascii="Times New Roman" w:cs="Times New Roman" w:eastAsia="Times New Roman" w:hAnsi="Times New Roman"/>
            <w:sz w:val="17"/>
            <w:szCs w:val="17"/>
            <w:u w:val="single" w:color="auto"/>
            <w:color w:val="0000EE"/>
          </w:rPr>
          <w:t>Asset Purchase Agreement, dated February 2, 2021, by and among (i)</w:t>
        </w:r>
      </w:hyperlink>
      <w:r>
        <w:rPr>
          <w:rFonts w:ascii="Times New Roman" w:cs="Times New Roman" w:eastAsia="Times New Roman" w:hAnsi="Times New Roman"/>
          <w:sz w:val="17"/>
          <w:szCs w:val="17"/>
          <w:u w:val="single" w:color="auto"/>
          <w:color w:val="0000EE"/>
        </w:rPr>
        <w:t xml:space="preserve"> </w:t>
      </w:r>
      <w:hyperlink r:id="rId96">
        <w:r>
          <w:rPr>
            <w:rFonts w:ascii="Times New Roman" w:cs="Times New Roman" w:eastAsia="Times New Roman" w:hAnsi="Times New Roman"/>
            <w:sz w:val="17"/>
            <w:szCs w:val="17"/>
            <w:u w:val="single" w:color="auto"/>
            <w:color w:val="0000EE"/>
          </w:rPr>
          <w:t>Aterian, Inc. and Truweo, LLC, as Purchaser, (ii) Healing Solutions, LLC,</w:t>
        </w:r>
      </w:hyperlink>
    </w:p>
    <w:p>
      <w:pPr>
        <w:spacing w:after="0" w:line="1" w:lineRule="exact"/>
        <w:rPr>
          <w:sz w:val="20"/>
          <w:szCs w:val="20"/>
          <w:color w:val="auto"/>
        </w:rPr>
      </w:pPr>
    </w:p>
    <w:p>
      <w:pPr>
        <w:ind w:left="960" w:right="80" w:firstLine="6"/>
        <w:spacing w:after="0" w:line="260" w:lineRule="auto"/>
        <w:tabs>
          <w:tab w:leader="none" w:pos="1275" w:val="left"/>
        </w:tabs>
        <w:numPr>
          <w:ilvl w:val="0"/>
          <w:numId w:val="33"/>
        </w:numPr>
        <w:rPr>
          <w:rFonts w:ascii="Times New Roman" w:cs="Times New Roman" w:eastAsia="Times New Roman" w:hAnsi="Times New Roman"/>
          <w:sz w:val="18"/>
          <w:szCs w:val="18"/>
          <w:u w:val="single" w:color="auto"/>
          <w:color w:val="0000EE"/>
        </w:rPr>
      </w:pPr>
      <w:hyperlink r:id="rId96">
        <w:r>
          <w:rPr>
            <w:rFonts w:ascii="Times New Roman" w:cs="Times New Roman" w:eastAsia="Times New Roman" w:hAnsi="Times New Roman"/>
            <w:sz w:val="18"/>
            <w:szCs w:val="18"/>
            <w:u w:val="single" w:color="auto"/>
            <w:color w:val="0000EE"/>
          </w:rPr>
          <w:t>Jason R. Hope, and (iv) for the purposes of Section 5.11 and Article VII,</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Super Transcontinental Holdings LLC.</w:t>
        </w:r>
      </w:hyperlink>
    </w:p>
    <w:p>
      <w:pPr>
        <w:spacing w:after="0" w:line="87" w:lineRule="exact"/>
        <w:rPr>
          <w:rFonts w:ascii="Times New Roman" w:cs="Times New Roman" w:eastAsia="Times New Roman" w:hAnsi="Times New Roman"/>
          <w:sz w:val="18"/>
          <w:szCs w:val="18"/>
          <w:u w:val="single" w:color="auto"/>
          <w:color w:val="0000EE"/>
        </w:rPr>
      </w:pPr>
    </w:p>
    <w:p>
      <w:pPr>
        <w:ind w:left="960" w:right="120" w:hanging="690"/>
        <w:spacing w:after="0" w:line="256"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w:t>
      </w:r>
      <w:r>
        <w:rPr>
          <w:sz w:val="20"/>
          <w:szCs w:val="20"/>
          <w:color w:val="auto"/>
        </w:rPr>
        <w:tab/>
      </w:r>
      <w:hyperlink r:id="rId97">
        <w:r>
          <w:rPr>
            <w:rFonts w:ascii="Times New Roman" w:cs="Times New Roman" w:eastAsia="Times New Roman" w:hAnsi="Times New Roman"/>
            <w:sz w:val="18"/>
            <w:szCs w:val="18"/>
            <w:u w:val="single" w:color="auto"/>
            <w:color w:val="0000EE"/>
          </w:rPr>
          <w:t>Asset Purchase Agreement, dated May 5, 2021, by and among (i) the</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Company and Truweo, LLC, as Purchaser, (ii) Squatty Potty, LLC, and (iii)</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for the purposes of Section 5.7, Section 5.8, Section 5.11, Section 5.13 and</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Article VII, Edwards SP Holdings, LLC, Team Lindsey, LLC, SLEKT</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Investments, LLC, Sachs Capital Fund II, LLC, Sachs Capital-Squatty, LLC</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and Bevel Acquisition II, LLC.</w:t>
        </w:r>
      </w:hyperlink>
    </w:p>
    <w:p>
      <w:pPr>
        <w:spacing w:after="0" w:line="93" w:lineRule="exact"/>
        <w:rPr>
          <w:rFonts w:ascii="Times New Roman" w:cs="Times New Roman" w:eastAsia="Times New Roman" w:hAnsi="Times New Roman"/>
          <w:sz w:val="18"/>
          <w:szCs w:val="18"/>
          <w:u w:val="single" w:color="auto"/>
          <w:color w:val="0000EE"/>
        </w:rPr>
      </w:pPr>
    </w:p>
    <w:p>
      <w:pPr>
        <w:ind w:left="960" w:right="220" w:hanging="690"/>
        <w:spacing w:after="0" w:line="266"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w:t>
      </w:r>
      <w:r>
        <w:rPr>
          <w:sz w:val="20"/>
          <w:szCs w:val="20"/>
          <w:color w:val="auto"/>
        </w:rPr>
        <w:tab/>
      </w:r>
      <w:hyperlink r:id="rId98">
        <w:r>
          <w:rPr>
            <w:rFonts w:ascii="Times New Roman" w:cs="Times New Roman" w:eastAsia="Times New Roman" w:hAnsi="Times New Roman"/>
            <w:sz w:val="18"/>
            <w:szCs w:val="18"/>
            <w:u w:val="single" w:color="auto"/>
            <w:color w:val="0000EE"/>
          </w:rPr>
          <w:t>Stock Purchase Agreement, dated May 5, 2021, by and among (i) the</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Company and Truweo, LLC, as Purchaser, (ii) Photo Paper Direct Ltd, (iii)</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Josef Eitan, and (iv) Ran Nir.</w:t>
        </w:r>
      </w:hyperlink>
    </w:p>
    <w:p>
      <w:pPr>
        <w:spacing w:after="0" w:line="81" w:lineRule="exact"/>
        <w:rPr>
          <w:rFonts w:ascii="Times New Roman" w:cs="Times New Roman" w:eastAsia="Times New Roman" w:hAnsi="Times New Roman"/>
          <w:sz w:val="18"/>
          <w:szCs w:val="18"/>
          <w:u w:val="single" w:color="auto"/>
          <w:color w:val="0000EE"/>
        </w:rPr>
      </w:pPr>
    </w:p>
    <w:p>
      <w:pPr>
        <w:ind w:left="960" w:right="540" w:hanging="645"/>
        <w:spacing w:after="0" w:line="282"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99">
        <w:r>
          <w:rPr>
            <w:rFonts w:ascii="Times New Roman" w:cs="Times New Roman" w:eastAsia="Times New Roman" w:hAnsi="Times New Roman"/>
            <w:sz w:val="18"/>
            <w:szCs w:val="18"/>
            <w:u w:val="single" w:color="auto"/>
            <w:color w:val="0000EE"/>
          </w:rPr>
          <w:t>Amended and Restated Certificate of Incorporation of Mohawk Group</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Holdings, Inc.</w:t>
        </w:r>
      </w:hyperlink>
    </w:p>
    <w:p>
      <w:pPr>
        <w:spacing w:after="0" w:line="64" w:lineRule="exact"/>
        <w:rPr>
          <w:sz w:val="20"/>
          <w:szCs w:val="20"/>
          <w:color w:val="auto"/>
        </w:rPr>
      </w:pPr>
    </w:p>
    <w:p>
      <w:pPr>
        <w:ind w:left="960" w:right="100" w:hanging="645"/>
        <w:spacing w:after="0" w:line="281" w:lineRule="auto"/>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00">
        <w:r>
          <w:rPr>
            <w:rFonts w:ascii="Times New Roman" w:cs="Times New Roman" w:eastAsia="Times New Roman" w:hAnsi="Times New Roman"/>
            <w:sz w:val="17"/>
            <w:szCs w:val="17"/>
            <w:u w:val="single" w:color="auto"/>
            <w:color w:val="0000EE"/>
          </w:rPr>
          <w:t>Certificate of Amendment to Amended and Restated Certificate of Incorporation</w:t>
        </w:r>
      </w:hyperlink>
      <w:r>
        <w:rPr>
          <w:rFonts w:ascii="Times New Roman" w:cs="Times New Roman" w:eastAsia="Times New Roman" w:hAnsi="Times New Roman"/>
          <w:sz w:val="17"/>
          <w:szCs w:val="17"/>
          <w:u w:val="single" w:color="auto"/>
          <w:color w:val="0000EE"/>
        </w:rPr>
        <w:t xml:space="preserve"> </w:t>
      </w:r>
      <w:hyperlink r:id="rId100">
        <w:r>
          <w:rPr>
            <w:rFonts w:ascii="Times New Roman" w:cs="Times New Roman" w:eastAsia="Times New Roman" w:hAnsi="Times New Roman"/>
            <w:sz w:val="17"/>
            <w:szCs w:val="17"/>
            <w:u w:val="single" w:color="auto"/>
            <w:color w:val="0000EE"/>
          </w:rPr>
          <w:t>of Aterian, Inc.</w:t>
        </w:r>
      </w:hyperlink>
    </w:p>
    <w:p>
      <w:pPr>
        <w:spacing w:after="0" w:line="69" w:lineRule="exact"/>
        <w:rPr>
          <w:sz w:val="20"/>
          <w:szCs w:val="20"/>
          <w:color w:val="auto"/>
        </w:rPr>
      </w:pPr>
    </w:p>
    <w:p>
      <w:pPr>
        <w:ind w:left="960" w:right="480" w:hanging="645"/>
        <w:spacing w:after="0" w:line="281" w:lineRule="auto"/>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101">
        <w:r>
          <w:rPr>
            <w:rFonts w:ascii="Times New Roman" w:cs="Times New Roman" w:eastAsia="Times New Roman" w:hAnsi="Times New Roman"/>
            <w:sz w:val="17"/>
            <w:szCs w:val="17"/>
            <w:u w:val="single" w:color="auto"/>
            <w:color w:val="0000EE"/>
          </w:rPr>
          <w:t>Certificate of Correction of Certificate of Amendment to the Amended and</w:t>
        </w:r>
      </w:hyperlink>
      <w:r>
        <w:rPr>
          <w:rFonts w:ascii="Times New Roman" w:cs="Times New Roman" w:eastAsia="Times New Roman" w:hAnsi="Times New Roman"/>
          <w:sz w:val="17"/>
          <w:szCs w:val="17"/>
          <w:u w:val="single" w:color="auto"/>
          <w:color w:val="0000EE"/>
        </w:rPr>
        <w:t xml:space="preserve"> </w:t>
      </w:r>
      <w:hyperlink r:id="rId101">
        <w:r>
          <w:rPr>
            <w:rFonts w:ascii="Times New Roman" w:cs="Times New Roman" w:eastAsia="Times New Roman" w:hAnsi="Times New Roman"/>
            <w:sz w:val="17"/>
            <w:szCs w:val="17"/>
            <w:u w:val="single" w:color="auto"/>
            <w:color w:val="0000EE"/>
          </w:rPr>
          <w:t>Restated Certificate of Incorporation of Aterian, Inc.</w:t>
        </w:r>
      </w:hyperlink>
    </w:p>
    <w:p>
      <w:pPr>
        <w:spacing w:after="0" w:line="72" w:lineRule="exact"/>
        <w:rPr>
          <w:sz w:val="20"/>
          <w:szCs w:val="20"/>
          <w:color w:val="auto"/>
        </w:rPr>
      </w:pPr>
    </w:p>
    <w:p>
      <w:pPr>
        <w:ind w:left="3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102">
        <w:r>
          <w:rPr>
            <w:rFonts w:ascii="Times New Roman" w:cs="Times New Roman" w:eastAsia="Times New Roman" w:hAnsi="Times New Roman"/>
            <w:sz w:val="17"/>
            <w:szCs w:val="17"/>
            <w:u w:val="single" w:color="auto"/>
            <w:color w:val="0000EE"/>
          </w:rPr>
          <w:t>Third Amended and Restated Bylaws of Aterian, Inc.</w:t>
        </w:r>
      </w:hyperlink>
    </w:p>
    <w:p>
      <w:pPr>
        <w:spacing w:after="0" w:line="131" w:lineRule="exact"/>
        <w:rPr>
          <w:sz w:val="20"/>
          <w:szCs w:val="20"/>
          <w:color w:val="auto"/>
        </w:rPr>
      </w:pPr>
    </w:p>
    <w:p>
      <w:pPr>
        <w:ind w:left="320"/>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03">
        <w:r>
          <w:rPr>
            <w:rFonts w:ascii="Times New Roman" w:cs="Times New Roman" w:eastAsia="Times New Roman" w:hAnsi="Times New Roman"/>
            <w:sz w:val="18"/>
            <w:szCs w:val="18"/>
            <w:u w:val="single" w:color="auto"/>
            <w:color w:val="0000EE"/>
          </w:rPr>
          <w:t>Form of Common Stock Certificate.</w:t>
        </w:r>
      </w:hyperlink>
    </w:p>
    <w:p>
      <w:pPr>
        <w:spacing w:after="0" w:line="131" w:lineRule="exact"/>
        <w:rPr>
          <w:sz w:val="20"/>
          <w:szCs w:val="20"/>
          <w:color w:val="auto"/>
        </w:rPr>
      </w:pPr>
    </w:p>
    <w:p>
      <w:pPr>
        <w:ind w:left="960" w:right="280" w:hanging="695"/>
        <w:spacing w:after="0" w:line="282"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04">
        <w:r>
          <w:rPr>
            <w:rFonts w:ascii="Times New Roman" w:cs="Times New Roman" w:eastAsia="Times New Roman" w:hAnsi="Times New Roman"/>
            <w:sz w:val="18"/>
            <w:szCs w:val="18"/>
            <w:u w:val="single" w:color="auto"/>
            <w:color w:val="0000EE"/>
          </w:rPr>
          <w:t>Form of Registration Rights Agreement, dated as of April 6, 2018, among</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Aterian, Inc. and the purchasers party thereto.</w:t>
        </w:r>
      </w:hyperlink>
    </w:p>
    <w:p>
      <w:pPr>
        <w:spacing w:after="0" w:line="67" w:lineRule="exact"/>
        <w:rPr>
          <w:sz w:val="20"/>
          <w:szCs w:val="20"/>
          <w:color w:val="auto"/>
        </w:rPr>
      </w:pPr>
    </w:p>
    <w:p>
      <w:pPr>
        <w:ind w:left="3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05">
        <w:r>
          <w:rPr>
            <w:rFonts w:ascii="Times New Roman" w:cs="Times New Roman" w:eastAsia="Times New Roman" w:hAnsi="Times New Roman"/>
            <w:sz w:val="17"/>
            <w:szCs w:val="17"/>
            <w:u w:val="single" w:color="auto"/>
            <w:color w:val="0000EE"/>
          </w:rPr>
          <w:t>Warrant to Purchase Stock, issued to MidCap Financial Trust on September 4,</w:t>
        </w:r>
      </w:hyperlink>
    </w:p>
    <w:p>
      <w:pPr>
        <w:spacing w:after="0" w:line="27"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2018.</w:t>
        </w:r>
      </w:hyperlink>
    </w:p>
    <w:p>
      <w:pPr>
        <w:spacing w:after="0" w:line="112" w:lineRule="exact"/>
        <w:rPr>
          <w:sz w:val="20"/>
          <w:szCs w:val="20"/>
          <w:color w:val="auto"/>
        </w:rPr>
      </w:pPr>
    </w:p>
    <w:p>
      <w:pPr>
        <w:ind w:left="960" w:right="600" w:hanging="645"/>
        <w:spacing w:after="0" w:line="282"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106">
        <w:r>
          <w:rPr>
            <w:rFonts w:ascii="Times New Roman" w:cs="Times New Roman" w:eastAsia="Times New Roman" w:hAnsi="Times New Roman"/>
            <w:sz w:val="18"/>
            <w:szCs w:val="18"/>
            <w:u w:val="single" w:color="auto"/>
            <w:color w:val="0000EE"/>
          </w:rPr>
          <w:t>Form of Warrant, issued to Katalyst Securities LLC and its assigns on</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September 4, 2018.</w:t>
        </w:r>
      </w:hyperlink>
    </w:p>
    <w:p>
      <w:pPr>
        <w:spacing w:after="0" w:line="67" w:lineRule="exact"/>
        <w:rPr>
          <w:sz w:val="20"/>
          <w:szCs w:val="20"/>
          <w:color w:val="auto"/>
        </w:rPr>
      </w:pPr>
    </w:p>
    <w:p>
      <w:pPr>
        <w:ind w:left="960" w:right="400" w:hanging="645"/>
        <w:spacing w:after="0" w:line="282" w:lineRule="auto"/>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107">
        <w:r>
          <w:rPr>
            <w:rFonts w:ascii="Times New Roman" w:cs="Times New Roman" w:eastAsia="Times New Roman" w:hAnsi="Times New Roman"/>
            <w:sz w:val="18"/>
            <w:szCs w:val="18"/>
            <w:u w:val="single" w:color="auto"/>
            <w:color w:val="0000EE"/>
          </w:rPr>
          <w:t>Form of Warrant, issued to Horizon Technology Finance Corporation on</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December 31, 2019.</w:t>
        </w:r>
      </w:hyperlink>
    </w:p>
    <w:p>
      <w:pPr>
        <w:spacing w:after="0" w:line="67" w:lineRule="exact"/>
        <w:rPr>
          <w:sz w:val="20"/>
          <w:szCs w:val="20"/>
          <w:color w:val="auto"/>
        </w:rPr>
      </w:pPr>
    </w:p>
    <w:p>
      <w:pPr>
        <w:ind w:left="320"/>
        <w:spacing w:after="0"/>
        <w:tabs>
          <w:tab w:leader="none" w:pos="9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08">
        <w:r>
          <w:rPr>
            <w:rFonts w:ascii="Times New Roman" w:cs="Times New Roman" w:eastAsia="Times New Roman" w:hAnsi="Times New Roman"/>
            <w:sz w:val="18"/>
            <w:szCs w:val="18"/>
            <w:u w:val="single" w:color="auto"/>
            <w:color w:val="0000EE"/>
          </w:rPr>
          <w:t>Amendment No. 1 to Registration Rights Agreement, dated as of March 2,</w:t>
        </w:r>
      </w:hyperlink>
    </w:p>
    <w:p>
      <w:pPr>
        <w:spacing w:after="0" w:line="27"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2019, among Aterian, Inc. and the investors party thereto.</w:t>
        </w:r>
      </w:hyperlink>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7620</wp:posOffset>
            </wp:positionV>
            <wp:extent cx="29146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16" w:lineRule="exact"/>
        <w:rPr>
          <w:sz w:val="20"/>
          <w:szCs w:val="20"/>
          <w:color w:val="auto"/>
        </w:rPr>
      </w:pPr>
    </w:p>
    <w:p>
      <w:pPr>
        <w:ind w:left="40"/>
        <w:spacing w:after="0"/>
        <w:tabs>
          <w:tab w:leader="none" w:pos="820" w:val="left"/>
          <w:tab w:leader="none" w:pos="2400" w:val="left"/>
          <w:tab w:leader="none" w:pos="382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Number</w:t>
      </w:r>
      <w:r>
        <w:rPr>
          <w:sz w:val="20"/>
          <w:szCs w:val="20"/>
          <w:color w:val="auto"/>
        </w:rPr>
        <w:tab/>
      </w:r>
      <w:r>
        <w:rPr>
          <w:rFonts w:ascii="Times New Roman" w:cs="Times New Roman" w:eastAsia="Times New Roman" w:hAnsi="Times New Roman"/>
          <w:sz w:val="14"/>
          <w:szCs w:val="14"/>
          <w:b w:val="1"/>
          <w:bCs w:val="1"/>
          <w:color w:val="auto"/>
        </w:rPr>
        <w:t>Filing Date</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7620</wp:posOffset>
            </wp:positionV>
            <wp:extent cx="29146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0"/>
        <w:spacing w:after="0"/>
        <w:tabs>
          <w:tab w:leader="none" w:pos="820" w:val="left"/>
          <w:tab w:leader="none" w:pos="2380" w:val="left"/>
          <w:tab w:leader="none" w:pos="3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001-38937</w:t>
      </w:r>
      <w:r>
        <w:rPr>
          <w:sz w:val="20"/>
          <w:szCs w:val="20"/>
          <w:color w:val="auto"/>
        </w:rPr>
        <w:tab/>
      </w:r>
      <w:r>
        <w:rPr>
          <w:rFonts w:ascii="Times New Roman" w:cs="Times New Roman" w:eastAsia="Times New Roman" w:hAnsi="Times New Roman"/>
          <w:sz w:val="18"/>
          <w:szCs w:val="18"/>
          <w:color w:val="auto"/>
        </w:rPr>
        <w:t>12/1/2020</w:t>
      </w:r>
      <w:r>
        <w:rPr>
          <w:sz w:val="20"/>
          <w:szCs w:val="20"/>
          <w:color w:val="auto"/>
        </w:rPr>
        <w:tab/>
      </w:r>
      <w:r>
        <w:rPr>
          <w:rFonts w:ascii="Times New Roman" w:cs="Times New Roman" w:eastAsia="Times New Roman" w:hAnsi="Times New Roman"/>
          <w:sz w:val="17"/>
          <w:szCs w:val="17"/>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tabs>
          <w:tab w:leader="none" w:pos="820" w:val="left"/>
          <w:tab w:leader="none" w:pos="2420" w:val="left"/>
          <w:tab w:leader="none" w:pos="394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001-38937</w:t>
      </w:r>
      <w:r>
        <w:rPr>
          <w:sz w:val="20"/>
          <w:szCs w:val="20"/>
          <w:color w:val="auto"/>
        </w:rPr>
        <w:tab/>
      </w:r>
      <w:r>
        <w:rPr>
          <w:rFonts w:ascii="Times New Roman" w:cs="Times New Roman" w:eastAsia="Times New Roman" w:hAnsi="Times New Roman"/>
          <w:sz w:val="18"/>
          <w:szCs w:val="18"/>
          <w:color w:val="auto"/>
        </w:rPr>
        <w:t>2/3/2020</w:t>
      </w:r>
      <w:r>
        <w:rPr>
          <w:sz w:val="20"/>
          <w:szCs w:val="20"/>
          <w:color w:val="auto"/>
        </w:rPr>
        <w:tab/>
      </w:r>
      <w:r>
        <w:rPr>
          <w:rFonts w:ascii="Times New Roman" w:cs="Times New Roman" w:eastAsia="Times New Roman" w:hAnsi="Times New Roman"/>
          <w:sz w:val="17"/>
          <w:szCs w:val="17"/>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770"/>
        </w:trPr>
        <w:tc>
          <w:tcPr>
            <w:tcW w:w="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553"/>
        </w:trPr>
        <w:tc>
          <w:tcPr>
            <w:tcW w:w="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6/14/2019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526"/>
        </w:trPr>
        <w:tc>
          <w:tcPr>
            <w:tcW w:w="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526"/>
        </w:trPr>
        <w:tc>
          <w:tcPr>
            <w:tcW w:w="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38"/>
        </w:trPr>
        <w:tc>
          <w:tcPr>
            <w:tcW w:w="6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001-38937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38"/>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333-231381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5/24/2019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554"/>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333-231381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553"/>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333-231381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553"/>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333-231381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554"/>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333-231381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553"/>
        </w:trPr>
        <w:tc>
          <w:tcPr>
            <w:tcW w:w="6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333-231381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5/10/2019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ectPr>
          <w:pgSz w:w="11900" w:h="16838" w:orient="portrait"/>
          <w:cols w:equalWidth="0" w:num="2">
            <w:col w:w="6580" w:space="220"/>
            <w:col w:w="4300"/>
          </w:cols>
          <w:pgMar w:left="320" w:top="549" w:right="479" w:bottom="1440" w:gutter="0" w:footer="0" w:header="0"/>
        </w:sectPr>
      </w:pPr>
    </w:p>
    <w:bookmarkStart w:id="68" w:name="page69"/>
    <w:bookmarkEnd w:id="6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20" w:type="dxa"/>
            <w:vAlign w:val="bottom"/>
            <w:gridSpan w:val="15"/>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4"/>
                <w:szCs w:val="24"/>
                <w:color w:val="auto"/>
              </w:rPr>
            </w:pPr>
          </w:p>
        </w:tc>
        <w:tc>
          <w:tcPr>
            <w:tcW w:w="5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Warrant to Purchase Shares of Common Stock, issued to Third Creek</w:t>
              </w:r>
            </w:hyperlink>
          </w:p>
        </w:tc>
        <w:tc>
          <w:tcPr>
            <w:tcW w:w="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Advisors, LLC on August 18, 2020.</w:t>
              </w:r>
            </w:hyperlink>
          </w:p>
        </w:tc>
        <w:tc>
          <w:tcPr>
            <w:tcW w:w="30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4"/>
                <w:szCs w:val="24"/>
                <w:color w:val="auto"/>
              </w:rPr>
            </w:pPr>
          </w:p>
        </w:tc>
        <w:tc>
          <w:tcPr>
            <w:tcW w:w="5640" w:type="dxa"/>
            <w:vAlign w:val="bottom"/>
            <w:gridSpan w:val="16"/>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Warrant to Purchase Stock, dated December 22, 2021.</w:t>
              </w:r>
            </w:hyperlink>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4"/>
                <w:szCs w:val="24"/>
                <w:color w:val="auto"/>
              </w:rPr>
            </w:pPr>
          </w:p>
        </w:tc>
        <w:tc>
          <w:tcPr>
            <w:tcW w:w="452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Common Stock Purchase Warrant.</w:t>
              </w:r>
            </w:hyperlink>
          </w:p>
        </w:tc>
        <w:tc>
          <w:tcPr>
            <w:tcW w:w="11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0" w:type="dxa"/>
            <w:vAlign w:val="bottom"/>
          </w:tcPr>
          <w:p>
            <w:pPr>
              <w:spacing w:after="0"/>
              <w:rPr>
                <w:sz w:val="24"/>
                <w:szCs w:val="24"/>
                <w:color w:val="auto"/>
              </w:rPr>
            </w:pPr>
          </w:p>
        </w:tc>
        <w:tc>
          <w:tcPr>
            <w:tcW w:w="38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Aterian, Inc. 2022 Inducement Equity Incentive Plan</w:t>
              </w:r>
            </w:hyperlink>
          </w:p>
        </w:tc>
        <w:tc>
          <w:tcPr>
            <w:tcW w:w="18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00" w:type="dxa"/>
            <w:vAlign w:val="bottom"/>
          </w:tcPr>
          <w:p>
            <w:pPr>
              <w:spacing w:after="0"/>
              <w:rPr>
                <w:sz w:val="24"/>
                <w:szCs w:val="24"/>
                <w:color w:val="auto"/>
              </w:rPr>
            </w:pPr>
          </w:p>
        </w:tc>
        <w:tc>
          <w:tcPr>
            <w:tcW w:w="5640" w:type="dxa"/>
            <w:vAlign w:val="bottom"/>
            <w:gridSpan w:val="16"/>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Stock Option Agreement under the Aterian, Inc. 2022 Inducement</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Equity Incentive Plan.</w:t>
              </w:r>
            </w:hyperlink>
          </w:p>
        </w:tc>
        <w:tc>
          <w:tcPr>
            <w:tcW w:w="3780" w:type="dxa"/>
            <w:vAlign w:val="bottom"/>
            <w:tcBorders>
              <w:top w:val="single" w:sz="8" w:color="0000EE"/>
            </w:tcBorders>
            <w:gridSpan w:val="12"/>
          </w:tcPr>
          <w:p>
            <w:pPr>
              <w:spacing w:after="0"/>
              <w:rPr>
                <w:sz w:val="17"/>
                <w:szCs w:val="17"/>
                <w:color w:val="auto"/>
              </w:rPr>
            </w:pP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0" w:type="dxa"/>
            <w:vAlign w:val="bottom"/>
          </w:tcPr>
          <w:p>
            <w:pPr>
              <w:spacing w:after="0"/>
              <w:rPr>
                <w:sz w:val="24"/>
                <w:szCs w:val="24"/>
                <w:color w:val="auto"/>
              </w:rPr>
            </w:pPr>
          </w:p>
        </w:tc>
        <w:tc>
          <w:tcPr>
            <w:tcW w:w="5640" w:type="dxa"/>
            <w:vAlign w:val="bottom"/>
            <w:gridSpan w:val="16"/>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of Restricted Stock Unit Agreement under the Aterian, Inc. 2022</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Inducement Equity Incentive Plan.</w:t>
              </w:r>
            </w:hyperlink>
          </w:p>
        </w:tc>
        <w:tc>
          <w:tcPr>
            <w:tcW w:w="5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00" w:type="dxa"/>
            <w:vAlign w:val="bottom"/>
          </w:tcPr>
          <w:p>
            <w:pPr>
              <w:spacing w:after="0"/>
              <w:rPr>
                <w:sz w:val="24"/>
                <w:szCs w:val="24"/>
                <w:color w:val="auto"/>
              </w:rPr>
            </w:pPr>
          </w:p>
        </w:tc>
        <w:tc>
          <w:tcPr>
            <w:tcW w:w="52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Form of Restricted Stock Award Agreement under the Aterian, Inc. 2022</w:t>
              </w:r>
            </w:hyperlink>
          </w:p>
        </w:tc>
        <w:tc>
          <w:tcPr>
            <w:tcW w:w="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16"/>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Inducement Equity Incentive Plan.</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4"/>
                <w:szCs w:val="24"/>
                <w:color w:val="auto"/>
              </w:rPr>
            </w:pPr>
          </w:p>
        </w:tc>
        <w:tc>
          <w:tcPr>
            <w:tcW w:w="56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pursuant to Rule 13a-14(a)</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or 15d-14(a) of the Securities Exchange Act of 1934.</w:t>
            </w: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4"/>
                <w:szCs w:val="24"/>
                <w:color w:val="auto"/>
              </w:rPr>
            </w:pPr>
          </w:p>
        </w:tc>
        <w:tc>
          <w:tcPr>
            <w:tcW w:w="56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Certifications of the Principal Financial Officer pursuant to Rule 13a-14(a) or</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of the Securities Exchange Act of 1934.</w:t>
            </w:r>
          </w:p>
        </w:tc>
        <w:tc>
          <w:tcPr>
            <w:tcW w:w="1940" w:type="dxa"/>
            <w:vAlign w:val="bottom"/>
            <w:tcBorders>
              <w:top w:val="single" w:sz="8" w:color="0000EE"/>
            </w:tcBorders>
            <w:gridSpan w:val="9"/>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51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Certifications of the Principal Executive Officer and Principal Financial</w:t>
            </w:r>
          </w:p>
        </w:tc>
        <w:tc>
          <w:tcPr>
            <w:tcW w:w="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18 U.S.C. Section 1350, as adopted pursuant to Section</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906 of the Sarbanes-Oxley Act of 2002.</w:t>
            </w:r>
          </w:p>
        </w:tc>
        <w:tc>
          <w:tcPr>
            <w:tcW w:w="2520" w:type="dxa"/>
            <w:vAlign w:val="bottom"/>
            <w:tcBorders>
              <w:top w:val="single" w:sz="8" w:color="0000EE"/>
            </w:tcBorders>
            <w:gridSpan w:val="9"/>
          </w:tcPr>
          <w:p>
            <w:pPr>
              <w:spacing w:after="0"/>
              <w:rPr>
                <w:sz w:val="17"/>
                <w:szCs w:val="17"/>
                <w:color w:val="auto"/>
              </w:rPr>
            </w:pP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4"/>
                <w:szCs w:val="24"/>
                <w:color w:val="auto"/>
              </w:rPr>
            </w:pPr>
          </w:p>
        </w:tc>
        <w:tc>
          <w:tcPr>
            <w:tcW w:w="5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0" w:type="dxa"/>
            <w:vAlign w:val="bottom"/>
          </w:tcPr>
          <w:p>
            <w:pPr>
              <w:spacing w:after="0"/>
              <w:rPr>
                <w:sz w:val="24"/>
                <w:szCs w:val="24"/>
                <w:color w:val="auto"/>
              </w:rPr>
            </w:pPr>
          </w:p>
        </w:tc>
        <w:tc>
          <w:tcPr>
            <w:tcW w:w="5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5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5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7"/>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5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 w:type="dxa"/>
            <w:vAlign w:val="bottom"/>
          </w:tcPr>
          <w:p>
            <w:pPr>
              <w:spacing w:after="0"/>
              <w:rPr>
                <w:sz w:val="24"/>
                <w:szCs w:val="24"/>
                <w:color w:val="auto"/>
              </w:rPr>
            </w:pPr>
          </w:p>
        </w:tc>
        <w:tc>
          <w:tcPr>
            <w:tcW w:w="5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86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6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wp:posOffset>
            </wp:positionV>
            <wp:extent cx="29146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Pr>
          <w:p>
            <w:pPr>
              <w:spacing w:after="0"/>
              <w:rPr>
                <w:sz w:val="15"/>
                <w:szCs w:val="15"/>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60" w:type="dxa"/>
            <w:vAlign w:val="bottom"/>
          </w:tcPr>
          <w:p>
            <w:pPr>
              <w:spacing w:after="0"/>
              <w:rPr>
                <w:sz w:val="15"/>
                <w:szCs w:val="15"/>
                <w:color w:val="auto"/>
              </w:rPr>
            </w:pPr>
          </w:p>
        </w:tc>
        <w:tc>
          <w:tcPr>
            <w:tcW w:w="1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0" w:type="dxa"/>
            <w:vAlign w:val="bottom"/>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547"/>
        </w:trPr>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11/9/2020</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r>
      <w:tr>
        <w:trPr>
          <w:trHeight w:val="338"/>
        </w:trPr>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12/27/2021</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r>
      <w:tr>
        <w:trPr>
          <w:trHeight w:val="338"/>
        </w:trPr>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3/4/2022</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r>
      <w:tr>
        <w:trPr>
          <w:trHeight w:val="338"/>
        </w:trPr>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r>
      <w:tr>
        <w:trPr>
          <w:trHeight w:val="446"/>
        </w:trPr>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333-265298</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r>
      <w:tr>
        <w:trPr>
          <w:trHeight w:val="553"/>
        </w:trPr>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333-265298</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r>
      <w:tr>
        <w:trPr>
          <w:trHeight w:val="553"/>
        </w:trPr>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333-265298</w:t>
            </w:r>
          </w:p>
        </w:tc>
        <w:tc>
          <w:tcPr>
            <w:tcW w:w="6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5/27/2022</w:t>
            </w:r>
          </w:p>
        </w:tc>
        <w:tc>
          <w:tcPr>
            <w:tcW w:w="6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r>
    </w:tbl>
    <w:p>
      <w:pPr>
        <w:spacing w:after="0" w:line="4544" w:lineRule="exact"/>
        <w:rPr>
          <w:sz w:val="20"/>
          <w:szCs w:val="20"/>
          <w:color w:val="auto"/>
        </w:rPr>
      </w:pPr>
    </w:p>
    <w:p>
      <w:pPr>
        <w:sectPr>
          <w:pgSz w:w="11900" w:h="16838" w:orient="portrait"/>
          <w:cols w:equalWidth="0" w:num="2">
            <w:col w:w="6600" w:space="40"/>
            <w:col w:w="4600"/>
          </w:cols>
          <w:pgMar w:left="320" w:top="331" w:right="339" w:bottom="1440" w:gutter="0" w:footer="0" w:header="0"/>
        </w:sectPr>
      </w:pPr>
    </w:p>
    <w:p>
      <w:pPr>
        <w:ind w:left="500" w:hanging="492"/>
        <w:spacing w:after="0"/>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00" w:right="220" w:hanging="492"/>
        <w:spacing w:after="0" w:line="250"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1" w:lineRule="exact"/>
        <w:rPr>
          <w:sz w:val="20"/>
          <w:szCs w:val="20"/>
          <w:color w:val="auto"/>
        </w:rPr>
      </w:pPr>
    </w:p>
    <w:p>
      <w:pPr>
        <w:ind w:left="500" w:right="200" w:hanging="492"/>
        <w:spacing w:after="0" w:line="250" w:lineRule="auto"/>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Non-material schedules and exhibits have been omitted pursuant to Item 601(b)(2) of Regulation S-K. The Company hereby undertakes to furnish supplemental copies of any of the omitted schedules and exhibits upon request by the Securities and Exchange Commission.</w:t>
      </w:r>
    </w:p>
    <w:p>
      <w:pPr>
        <w:spacing w:after="0" w:line="1"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ATERIAN,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rPr>
              <w:t>By: /s/ Yaniv Sarig</w:t>
            </w:r>
          </w:p>
        </w:tc>
      </w:tr>
      <w:tr>
        <w:trPr>
          <w:trHeight w:val="189"/>
        </w:trPr>
        <w:tc>
          <w:tcPr>
            <w:tcW w:w="35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1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Yaniv Sarig</w:t>
            </w:r>
          </w:p>
        </w:tc>
      </w:tr>
      <w:tr>
        <w:trPr>
          <w:trHeight w:val="216"/>
        </w:trPr>
        <w:tc>
          <w:tcPr>
            <w:tcW w:w="3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236"/>
        </w:trPr>
        <w:tc>
          <w:tcPr>
            <w:tcW w:w="35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7700" w:type="dxa"/>
            <w:vAlign w:val="bottom"/>
            <w:gridSpan w:val="2"/>
          </w:tcPr>
          <w:p>
            <w:pPr>
              <w:ind w:left="3220"/>
              <w:spacing w:after="0"/>
              <w:rPr>
                <w:sz w:val="20"/>
                <w:szCs w:val="20"/>
                <w:color w:val="auto"/>
              </w:rPr>
            </w:pPr>
            <w:r>
              <w:rPr>
                <w:rFonts w:ascii="Times New Roman" w:cs="Times New Roman" w:eastAsia="Times New Roman" w:hAnsi="Times New Roman"/>
                <w:sz w:val="18"/>
                <w:szCs w:val="18"/>
                <w:color w:val="auto"/>
              </w:rPr>
              <w:t>By: /s/ Arturo Rodriguez</w:t>
            </w:r>
          </w:p>
        </w:tc>
      </w:tr>
      <w:tr>
        <w:trPr>
          <w:trHeight w:val="189"/>
        </w:trPr>
        <w:tc>
          <w:tcPr>
            <w:tcW w:w="35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1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16"/>
        </w:trPr>
        <w:tc>
          <w:tcPr>
            <w:tcW w:w="35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5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tc>
      </w:tr>
      <w:tr>
        <w:trPr>
          <w:trHeight w:val="648"/>
        </w:trPr>
        <w:tc>
          <w:tcPr>
            <w:tcW w:w="3540" w:type="dxa"/>
            <w:vAlign w:val="bottom"/>
          </w:tcPr>
          <w:p>
            <w:pPr>
              <w:spacing w:after="0"/>
              <w:rPr>
                <w:sz w:val="24"/>
                <w:szCs w:val="24"/>
                <w:color w:val="auto"/>
              </w:rPr>
            </w:pPr>
          </w:p>
        </w:tc>
        <w:tc>
          <w:tcPr>
            <w:tcW w:w="35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69</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90" w:lineRule="exact"/>
        <w:rPr>
          <w:rFonts w:ascii="Times New Roman" w:cs="Times New Roman" w:eastAsia="Times New Roman" w:hAnsi="Times New Roman"/>
          <w:sz w:val="18"/>
          <w:szCs w:val="18"/>
          <w:color w:val="auto"/>
        </w:rPr>
      </w:pPr>
    </w:p>
    <w:p>
      <w:pPr>
        <w:ind w:left="560" w:right="40" w:hanging="1"/>
        <w:spacing w:after="0" w:line="266" w:lineRule="auto"/>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60" w:right="260" w:hanging="1"/>
        <w:spacing w:after="0" w:line="282" w:lineRule="auto"/>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jc w:val="both"/>
        <w:ind w:left="560" w:right="200" w:hanging="1"/>
        <w:spacing w:after="0" w:line="266" w:lineRule="auto"/>
        <w:tabs>
          <w:tab w:leader="none" w:pos="7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20" w:right="320" w:hanging="7"/>
        <w:spacing w:after="0" w:line="266"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20" w:right="140" w:hanging="7"/>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1120" w:right="260" w:hanging="7"/>
        <w:spacing w:after="0" w:line="312" w:lineRule="auto"/>
        <w:tabs>
          <w:tab w:leader="none" w:pos="129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20" w:right="100" w:hanging="7"/>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60" w:right="180" w:hanging="1"/>
        <w:spacing w:after="0" w:line="282" w:lineRule="auto"/>
        <w:tabs>
          <w:tab w:leader="none" w:pos="7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20" w:right="480" w:hanging="7"/>
        <w:spacing w:after="0" w:line="282" w:lineRule="auto"/>
        <w:tabs>
          <w:tab w:leader="none" w:pos="12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20" w:right="160" w:hanging="7"/>
        <w:spacing w:after="0" w:line="282"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31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Yaniv Sarig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UNDER THE SECURITIES EXCHANGE ACT OF 1934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Arturo Rodriguez, certify that:</w:t>
      </w:r>
    </w:p>
    <w:p>
      <w:pPr>
        <w:spacing w:after="0" w:line="77" w:lineRule="exact"/>
        <w:rPr>
          <w:sz w:val="20"/>
          <w:szCs w:val="20"/>
          <w:color w:val="auto"/>
        </w:rPr>
      </w:pPr>
    </w:p>
    <w:p>
      <w:pPr>
        <w:ind w:left="740" w:hanging="181"/>
        <w:spacing w:after="0"/>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90" w:lineRule="exact"/>
        <w:rPr>
          <w:rFonts w:ascii="Times New Roman" w:cs="Times New Roman" w:eastAsia="Times New Roman" w:hAnsi="Times New Roman"/>
          <w:sz w:val="18"/>
          <w:szCs w:val="18"/>
          <w:color w:val="auto"/>
        </w:rPr>
      </w:pPr>
    </w:p>
    <w:p>
      <w:pPr>
        <w:ind w:left="560" w:right="40" w:hanging="1"/>
        <w:spacing w:after="0" w:line="266"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60" w:right="260" w:hanging="1"/>
        <w:spacing w:after="0" w:line="282" w:lineRule="auto"/>
        <w:tabs>
          <w:tab w:leader="none" w:pos="7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jc w:val="both"/>
        <w:ind w:left="560" w:right="200" w:hanging="1"/>
        <w:spacing w:after="0" w:line="266" w:lineRule="auto"/>
        <w:tabs>
          <w:tab w:leader="none" w:pos="7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120" w:right="320" w:hanging="7"/>
        <w:spacing w:after="0" w:line="266" w:lineRule="auto"/>
        <w:tabs>
          <w:tab w:leader="none" w:pos="12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120" w:right="140" w:hanging="7"/>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1120" w:right="260" w:hanging="7"/>
        <w:spacing w:after="0" w:line="312" w:lineRule="auto"/>
        <w:tabs>
          <w:tab w:leader="none" w:pos="129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120" w:right="100" w:hanging="7"/>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60" w:right="180" w:hanging="1"/>
        <w:spacing w:after="0" w:line="282" w:lineRule="auto"/>
        <w:tabs>
          <w:tab w:leader="none" w:pos="7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120" w:right="480" w:hanging="7"/>
        <w:spacing w:after="0" w:line="282" w:lineRule="auto"/>
        <w:tabs>
          <w:tab w:leader="none" w:pos="12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120" w:right="160" w:hanging="7"/>
        <w:spacing w:after="0" w:line="282" w:lineRule="auto"/>
        <w:tabs>
          <w:tab w:leader="none" w:pos="12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314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20" w:firstLine="55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Aterian, Inc. (the “Company”) for the period ended June 30, 2022 as filed with the Securities and Exchange Commission on the date hereof (the “Report”), the undersigned hereby certify, pursuant to 18 U.S.C. Section 1350, as adopted pursuant to Section 906 of the Sarbanes-Oxley Act of 2002, to their knowledge that:</w:t>
      </w:r>
    </w:p>
    <w:p>
      <w:pPr>
        <w:spacing w:after="0" w:line="27" w:lineRule="exact"/>
        <w:rPr>
          <w:sz w:val="20"/>
          <w:szCs w:val="20"/>
          <w:color w:val="auto"/>
        </w:rPr>
      </w:pPr>
    </w:p>
    <w:p>
      <w:pPr>
        <w:ind w:left="820" w:hanging="261"/>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560" w:right="760" w:hanging="1"/>
        <w:spacing w:after="0" w:line="282" w:lineRule="auto"/>
        <w:tabs>
          <w:tab w:leader="none" w:pos="8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Yaniv Sarig</w:t>
            </w:r>
          </w:p>
        </w:tc>
        <w:tc>
          <w:tcPr>
            <w:tcW w:w="200" w:type="dxa"/>
            <w:vAlign w:val="bottom"/>
          </w:tcPr>
          <w:p>
            <w:pPr>
              <w:spacing w:after="0"/>
              <w:rPr>
                <w:sz w:val="22"/>
                <w:szCs w:val="22"/>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 Arturo Rodriguez</w:t>
            </w:r>
          </w:p>
        </w:tc>
      </w:tr>
      <w:tr>
        <w:trPr>
          <w:trHeight w:val="225"/>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Yaniv Sarig</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Arturo Rodriguez</w:t>
            </w:r>
          </w:p>
        </w:tc>
      </w:tr>
      <w:tr>
        <w:trPr>
          <w:trHeight w:val="241"/>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5"/>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8, 2022</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August 8, 2022</w:t>
            </w:r>
          </w:p>
        </w:tc>
      </w:tr>
    </w:tbl>
    <w:p>
      <w:pPr>
        <w:spacing w:after="0" w:line="171" w:lineRule="exact"/>
        <w:rPr>
          <w:sz w:val="20"/>
          <w:szCs w:val="20"/>
          <w:color w:val="auto"/>
        </w:rPr>
      </w:pPr>
    </w:p>
    <w:p>
      <w:pPr>
        <w:ind w:right="320" w:firstLine="551"/>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right="80" w:firstLine="551"/>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4"/>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6"/>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lowerRoman"/>
      <w:start w:val="2"/>
    </w:lvl>
  </w:abstractNum>
  <w:abstractNum w:abstractNumId="13">
    <w:nsid w:val="71F32454"/>
    <w:multiLevelType w:val="hybridMultilevel"/>
    <w:lvl w:ilvl="0">
      <w:lvlJc w:val="left"/>
      <w:lvlText w:val="(%1)"/>
      <w:numFmt w:val="lowerRoman"/>
      <w:start w:val="1"/>
    </w:lvl>
  </w:abstractNum>
  <w:abstractNum w:abstractNumId="14">
    <w:nsid w:val="2CA88611"/>
    <w:multiLevelType w:val="hybridMultilevel"/>
    <w:lvl w:ilvl="0">
      <w:lvlJc w:val="left"/>
      <w:lvlText w:val="%1."/>
      <w:numFmt w:val="decimal"/>
      <w:start w:val="7"/>
    </w:lvl>
  </w:abstractNum>
  <w:abstractNum w:abstractNumId="15">
    <w:nsid w:val="836C40E"/>
    <w:multiLevelType w:val="hybridMultilevel"/>
    <w:lvl w:ilvl="0">
      <w:lvlJc w:val="left"/>
      <w:lvlText w:val="%1."/>
      <w:numFmt w:val="decimal"/>
      <w:start w:val="8"/>
    </w:lvl>
  </w:abstractNum>
  <w:abstractNum w:abstractNumId="16">
    <w:nsid w:val="2901D82"/>
    <w:multiLevelType w:val="hybridMultilevel"/>
    <w:lvl w:ilvl="0">
      <w:lvlJc w:val="left"/>
      <w:lvlText w:val="%1."/>
      <w:numFmt w:val="decimal"/>
      <w:start w:val="9"/>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lowerRoman"/>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lowerRoman"/>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lowerRoman"/>
      <w:start w:val="2"/>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lowerRoman"/>
      <w:start w:val="1"/>
    </w:lvl>
  </w:abstractNum>
  <w:abstractNum w:abstractNumId="32">
    <w:nsid w:val="77465F01"/>
    <w:multiLevelType w:val="hybridMultilevel"/>
    <w:lvl w:ilvl="0">
      <w:lvlJc w:val="left"/>
      <w:lvlText w:val="(%1)"/>
      <w:numFmt w:val="lowerRoman"/>
      <w:start w:val="3"/>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95" Type="http://schemas.openxmlformats.org/officeDocument/2006/relationships/hyperlink" Target="http://www.sec.gov/Archives/edgar/data/1757715/000119312520307364/d61785dex21.htm" TargetMode="External"/><Relationship Id="rId96" Type="http://schemas.openxmlformats.org/officeDocument/2006/relationships/hyperlink" Target="http://www.sec.gov/Archives/edgar/data/1757715/000119312521026328/d101467dex21.htm" TargetMode="External"/><Relationship Id="rId97" Type="http://schemas.openxmlformats.org/officeDocument/2006/relationships/hyperlink" Target="http://www.sec.gov/Archives/edgar/data/1757715/000119312521156839/d404633dex21.htm" TargetMode="External"/><Relationship Id="rId98" Type="http://schemas.openxmlformats.org/officeDocument/2006/relationships/hyperlink" Target="http://www.sec.gov/Archives/edgar/data/1757715/000119312521156839/d404633dex22.htm" TargetMode="External"/><Relationship Id="rId99" Type="http://schemas.openxmlformats.org/officeDocument/2006/relationships/hyperlink" Target="http://www.sec.gov/Archives/edgar/data/1757715/000119312519173667/d826688dex31.htm" TargetMode="External"/><Relationship Id="rId100" Type="http://schemas.openxmlformats.org/officeDocument/2006/relationships/hyperlink" Target="http://www.sec.gov/Archives/edgar/data/1757715/000119312521142247/d180974dex31.htm" TargetMode="External"/><Relationship Id="rId101" Type="http://schemas.openxmlformats.org/officeDocument/2006/relationships/hyperlink" Target="http://www.sec.gov/Archives/edgar/data/1757715/000119312521142247/d180974dex32.htm" TargetMode="External"/><Relationship Id="rId102" Type="http://schemas.openxmlformats.org/officeDocument/2006/relationships/hyperlink" Target="http://www.sec.gov/Archives/edgar/data/0001757715/000119312522165200/d339752dex31.htm" TargetMode="External"/><Relationship Id="rId103" Type="http://schemas.openxmlformats.org/officeDocument/2006/relationships/hyperlink" Target="http://www.sec.gov/Archives/edgar/data/1757715/000119312519157090/d639806dex41.htm" TargetMode="External"/><Relationship Id="rId104" Type="http://schemas.openxmlformats.org/officeDocument/2006/relationships/hyperlink" Target="http://www.sec.gov/Archives/edgar/data/1757715/000119312519144273/d639806dex42.htm" TargetMode="External"/><Relationship Id="rId105" Type="http://schemas.openxmlformats.org/officeDocument/2006/relationships/hyperlink" Target="http://www.sec.gov/Archives/edgar/data/1757715/000119312519144273/d639806dex43.htm" TargetMode="External"/><Relationship Id="rId106" Type="http://schemas.openxmlformats.org/officeDocument/2006/relationships/hyperlink" Target="http://www.sec.gov/Archives/edgar/data/1757715/000119312519144273/d639806dex44.htm" TargetMode="External"/><Relationship Id="rId107" Type="http://schemas.openxmlformats.org/officeDocument/2006/relationships/hyperlink" Target="http://www.sec.gov/Archives/edgar/data/1757715/000119312519144273/d639806dex45.htm" TargetMode="External"/><Relationship Id="rId108" Type="http://schemas.openxmlformats.org/officeDocument/2006/relationships/hyperlink" Target="http://www.sec.gov/Archives/edgar/data/1757715/000119312519144273/d639806dex46.htm" TargetMode="External"/><Relationship Id="rId112" Type="http://schemas.openxmlformats.org/officeDocument/2006/relationships/hyperlink" Target="http://www.sec.gov/Archives/edgar/data/1757715/000156459020052585/mwk-ex47_108.htm" TargetMode="External"/><Relationship Id="rId113" Type="http://schemas.openxmlformats.org/officeDocument/2006/relationships/hyperlink" Target="http://www.sec.gov/Archives/edgar/data/1757715/000119312521367017/d280987dex41.htm" TargetMode="External"/><Relationship Id="rId114" Type="http://schemas.openxmlformats.org/officeDocument/2006/relationships/hyperlink" Target="http://www.sec.gov/Archives/edgar/data/0001757715/000156459022008816/d302157dex42.htm" TargetMode="External"/><Relationship Id="rId115" Type="http://schemas.openxmlformats.org/officeDocument/2006/relationships/hyperlink" Target="http://www.sec.gov/Archives/edgar/data/0001757715/000156459022021643/ater-ex101_19.htm" TargetMode="External"/><Relationship Id="rId116" Type="http://schemas.openxmlformats.org/officeDocument/2006/relationships/hyperlink" Target="http://www.sec.gov/Archives/edgar/data/1757715/000156459022021688/ater-ex43_46.htm" TargetMode="External"/><Relationship Id="rId117" Type="http://schemas.openxmlformats.org/officeDocument/2006/relationships/hyperlink" Target="http://www.sec.gov/Archives/edgar/data/1757715/000156459022021688/ater-ex44_44.htm" TargetMode="External"/><Relationship Id="rId118" Type="http://schemas.openxmlformats.org/officeDocument/2006/relationships/hyperlink" Target="http://www.sec.gov/Archives/edgar/data/0001757715/000156459022021688/ater-ex45_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2022-08-09T04:31:37Z</dcterms:created>
  <dcterms:modified xsi:type="dcterms:W3CDTF">2022-08-09T04:31:37Z</dcterms:modified>
</cp:coreProperties>
</file>