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2021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4" w:lineRule="exact"/>
        <w:rPr>
          <w:sz w:val="24"/>
          <w:szCs w:val="24"/>
          <w:color w:val="auto"/>
        </w:rPr>
      </w:pPr>
    </w:p>
    <w:p>
      <w:pPr>
        <w:ind w:left="460" w:right="260" w:hanging="452"/>
        <w:spacing w:after="0" w:line="23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Aterian,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1"/>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Arial" w:cs="Arial" w:eastAsia="Arial" w:hAnsi="Arial"/>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left="1501"/>
              <w:spacing w:after="0"/>
              <w:rPr>
                <w:sz w:val="20"/>
                <w:szCs w:val="20"/>
                <w:color w:val="auto"/>
              </w:rPr>
            </w:pPr>
            <w:r>
              <w:rPr>
                <w:rFonts w:ascii="Arial" w:cs="Arial" w:eastAsia="Arial" w:hAnsi="Arial"/>
                <w:sz w:val="14"/>
                <w:szCs w:val="14"/>
                <w:b w:val="1"/>
                <w:bCs w:val="1"/>
                <w:color w:val="auto"/>
                <w:w w:val="94"/>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Arial" w:cs="Arial" w:eastAsia="Arial" w:hAnsi="Arial"/>
                <w:sz w:val="14"/>
                <w:szCs w:val="14"/>
                <w:b w:val="1"/>
                <w:bCs w:val="1"/>
                <w:color w:val="auto"/>
                <w:w w:val="95"/>
              </w:rPr>
              <w:t>Identification Number)</w:t>
            </w:r>
          </w:p>
        </w:tc>
      </w:tr>
      <w:tr>
        <w:trPr>
          <w:trHeight w:val="250"/>
        </w:trPr>
        <w:tc>
          <w:tcPr>
            <w:tcW w:w="39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5"/>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Arial" w:cs="Arial" w:eastAsia="Arial" w:hAnsi="Arial"/>
                <w:sz w:val="18"/>
                <w:szCs w:val="18"/>
                <w:b w:val="1"/>
                <w:bCs w:val="1"/>
                <w:color w:val="auto"/>
              </w:rPr>
              <w:t>10003</w:t>
            </w:r>
          </w:p>
        </w:tc>
      </w:tr>
      <w:tr>
        <w:trPr>
          <w:trHeight w:val="164"/>
        </w:trPr>
        <w:tc>
          <w:tcPr>
            <w:tcW w:w="3940" w:type="dxa"/>
            <w:vAlign w:val="bottom"/>
          </w:tcPr>
          <w:p>
            <w:pPr>
              <w:jc w:val="center"/>
              <w:ind w:left="150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Arial" w:cs="Arial" w:eastAsia="Arial" w:hAnsi="Arial"/>
                <w:sz w:val="13"/>
                <w:szCs w:val="13"/>
                <w:b w:val="1"/>
                <w:bCs w:val="1"/>
                <w:color w:val="auto"/>
                <w:w w:val="90"/>
              </w:rPr>
              <w:t>(Zip Code)</w:t>
            </w:r>
          </w:p>
        </w:tc>
      </w:tr>
      <w:tr>
        <w:trPr>
          <w:trHeight w:val="182"/>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86"/>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79"/>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Pr>
          <w:p>
            <w:pPr>
              <w:jc w:val="center"/>
              <w:ind w:right="543"/>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0"/>
        </w:trPr>
        <w:tc>
          <w:tcPr>
            <w:tcW w:w="3940" w:type="dxa"/>
            <w:vAlign w:val="bottom"/>
            <w:tcBorders>
              <w:top w:val="single" w:sz="8" w:color="auto"/>
            </w:tcBorders>
          </w:tcPr>
          <w:p>
            <w:pPr>
              <w:jc w:val="center"/>
              <w:ind w:left="381"/>
              <w:spacing w:after="0"/>
              <w:rPr>
                <w:sz w:val="20"/>
                <w:szCs w:val="20"/>
                <w:color w:val="auto"/>
              </w:rPr>
            </w:pPr>
            <w:r>
              <w:rPr>
                <w:rFonts w:ascii="Arial" w:cs="Arial" w:eastAsia="Arial" w:hAnsi="Arial"/>
                <w:sz w:val="16"/>
                <w:szCs w:val="16"/>
                <w:color w:val="auto"/>
                <w:w w:val="90"/>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3"/>
              </w:rPr>
              <w:t>ATER</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4, 2021, the registrant had 53,528,757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8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6940" w:type="dxa"/>
            <w:vAlign w:val="bottom"/>
            <w:gridSpan w:val="11"/>
            <w:vMerge w:val="restart"/>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6940" w:type="dxa"/>
            <w:vAlign w:val="bottom"/>
            <w:gridSpan w:val="11"/>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26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54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w:t>
              </w:r>
            </w:hyperlink>
          </w:p>
        </w:tc>
        <w:tc>
          <w:tcPr>
            <w:tcW w:w="48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Condensed Consolidated Statements of Cash Flows</w:t>
              </w:r>
            </w:hyperlink>
          </w:p>
        </w:tc>
        <w:tc>
          <w:tcPr>
            <w:tcW w:w="548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Quantitative and Qualitative Disclosures About Market Risk</w:t>
              </w:r>
            </w:hyperlink>
          </w:p>
        </w:tc>
        <w:tc>
          <w:tcPr>
            <w:tcW w:w="482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Controls and Procedures</w:t>
              </w:r>
            </w:hyperlink>
          </w:p>
        </w:tc>
        <w:tc>
          <w:tcPr>
            <w:tcW w:w="740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32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Defaults Upon Senior Securities</w:t>
              </w:r>
            </w:hyperlink>
          </w:p>
        </w:tc>
        <w:tc>
          <w:tcPr>
            <w:tcW w:w="486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688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Other Information</w:t>
              </w:r>
            </w:hyperlink>
          </w:p>
        </w:tc>
        <w:tc>
          <w:tcPr>
            <w:tcW w:w="788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17"/>
          </w:tcPr>
          <w:p>
            <w:pPr>
              <w:ind w:left="4440"/>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66" w:lineRule="exact"/>
        <w:rPr>
          <w:sz w:val="20"/>
          <w:szCs w:val="20"/>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potential impact of the COVID-19 global pandemic on our business, revenue and financial condition, including our supply chain and our operations;</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5"/>
          <w:szCs w:val="15"/>
          <w:i w:val="1"/>
          <w:iCs w:val="1"/>
          <w:color w:val="auto"/>
        </w:rPr>
        <w:t>our expectation that consumer spending will continue to shift online, and that such shift will continue even after the COVID-19 global pandemic ends;</w:t>
      </w:r>
    </w:p>
    <w:p>
      <w:pPr>
        <w:spacing w:after="0" w:line="178" w:lineRule="exact"/>
        <w:rPr>
          <w:rFonts w:ascii="Arial" w:cs="Arial" w:eastAsia="Arial" w:hAnsi="Arial"/>
          <w:sz w:val="14"/>
          <w:szCs w:val="14"/>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future financial performance, including our revenue, costs of goods sold and operating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achieve, sustain and grow profitability;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6"/>
          <w:szCs w:val="16"/>
          <w:i w:val="1"/>
          <w:iCs w:val="1"/>
          <w:color w:val="auto"/>
        </w:rPr>
        <w:t>the sufficiency of our cash to meet our liquidity and operational needs and to execute our growth strategies, including potential acquisitions;</w:t>
      </w:r>
    </w:p>
    <w:p>
      <w:pPr>
        <w:spacing w:after="0" w:line="167" w:lineRule="exact"/>
        <w:rPr>
          <w:rFonts w:ascii="Arial" w:cs="Arial" w:eastAsia="Arial" w:hAnsi="Arial"/>
          <w:sz w:val="15"/>
          <w:szCs w:val="15"/>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continue as a going concern;</w:t>
      </w:r>
    </w:p>
    <w:p>
      <w:pPr>
        <w:spacing w:after="0" w:line="155" w:lineRule="exact"/>
        <w:rPr>
          <w:rFonts w:ascii="Arial" w:cs="Arial" w:eastAsia="Arial" w:hAnsi="Arial"/>
          <w:sz w:val="16"/>
          <w:szCs w:val="16"/>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the security and availability of our technology platform, including our AIMEE (</w:t>
      </w:r>
      <w:r>
        <w:rPr>
          <w:rFonts w:ascii="Arial" w:cs="Arial" w:eastAsia="Arial" w:hAnsi="Arial"/>
          <w:sz w:val="17"/>
          <w:szCs w:val="17"/>
          <w:b w:val="1"/>
          <w:bCs w:val="1"/>
          <w:i w:val="1"/>
          <w:iCs w:val="1"/>
          <w:color w:val="auto"/>
        </w:rPr>
        <w:t>A</w:t>
      </w:r>
      <w:r>
        <w:rPr>
          <w:rFonts w:ascii="Arial" w:cs="Arial" w:eastAsia="Arial" w:hAnsi="Arial"/>
          <w:sz w:val="17"/>
          <w:szCs w:val="17"/>
          <w:i w:val="1"/>
          <w:iCs w:val="1"/>
          <w:color w:val="auto"/>
        </w:rPr>
        <w:t xml:space="preserve">rtificial </w:t>
      </w:r>
      <w:r>
        <w:rPr>
          <w:rFonts w:ascii="Arial" w:cs="Arial" w:eastAsia="Arial" w:hAnsi="Arial"/>
          <w:sz w:val="17"/>
          <w:szCs w:val="17"/>
          <w:b w:val="1"/>
          <w:bCs w:val="1"/>
          <w:i w:val="1"/>
          <w:iCs w:val="1"/>
          <w:color w:val="auto"/>
        </w:rPr>
        <w:t>I</w:t>
      </w:r>
      <w:r>
        <w:rPr>
          <w:rFonts w:ascii="Arial" w:cs="Arial" w:eastAsia="Arial" w:hAnsi="Arial"/>
          <w:sz w:val="17"/>
          <w:szCs w:val="17"/>
          <w:i w:val="1"/>
          <w:iCs w:val="1"/>
          <w:color w:val="auto"/>
        </w:rPr>
        <w:t xml:space="preserve">ntelligence </w:t>
      </w:r>
      <w:r>
        <w:rPr>
          <w:rFonts w:ascii="Arial" w:cs="Arial" w:eastAsia="Arial" w:hAnsi="Arial"/>
          <w:sz w:val="17"/>
          <w:szCs w:val="17"/>
          <w:b w:val="1"/>
          <w:bCs w:val="1"/>
          <w:i w:val="1"/>
          <w:iCs w:val="1"/>
          <w:color w:val="auto"/>
        </w:rPr>
        <w:t>M</w:t>
      </w:r>
      <w:r>
        <w:rPr>
          <w:rFonts w:ascii="Arial" w:cs="Arial" w:eastAsia="Arial" w:hAnsi="Arial"/>
          <w:sz w:val="17"/>
          <w:szCs w:val="17"/>
          <w:i w:val="1"/>
          <w:iCs w:val="1"/>
          <w:color w:val="auto"/>
        </w:rPr>
        <w:t xml:space="preserve">arketplace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-Commerce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ngine) software platform;</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launch new products, including our ability to successfully manage supply chain risks;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identify, complete and integrate merger and acquisition transactions;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execute and grow net revenue and profitability from sales of personal protective equipment (“PPE”);</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predictions about industry and market trends;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expand internationally;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effectively manage our growth and future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estimated total addressable market, including for potential acquisitions;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protect and enhance our intellectual property, including our AIMEE software platform;</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comply with laws and regulations applying to our business, including new or modified laws and regulations;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attract and retain key personnel;</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defend litigation brought against us or to pursue litigation; and</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increased expenses and obligations associated with being a public company.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caution you that the foregoing list may not contain all the forward-looking statements made in this Quarterly Report on Form 10-Q.</w:t>
      </w:r>
    </w:p>
    <w:p>
      <w:pPr>
        <w:spacing w:after="0" w:line="22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0"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December 31, 2020</w:t>
            </w:r>
          </w:p>
        </w:tc>
        <w:tc>
          <w:tcPr>
            <w:tcW w:w="120" w:type="dxa"/>
            <w:vAlign w:val="bottom"/>
          </w:tcPr>
          <w:p>
            <w:pPr>
              <w:spacing w:after="0"/>
              <w:rPr>
                <w:sz w:val="20"/>
                <w:szCs w:val="20"/>
                <w:color w:val="auto"/>
              </w:rPr>
            </w:pPr>
          </w:p>
        </w:tc>
        <w:tc>
          <w:tcPr>
            <w:tcW w:w="1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September 30,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26,718</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9,292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71,273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130,866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GOODWILL—net</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118,619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INTANGIBLES—net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67,355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321,685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 facility</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12,190</w:t>
            </w: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24,640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Seller notes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earn-out liability</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CONTINGENT EARN-OUT LIABILITY</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109,030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27,074,791 shares outstanding at December 31, 2020; 500,000,000 shares</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authorized and 50,049,660 shares outstanding at September 30, 2021</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635,296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5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(192,935)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(422,350)</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212,655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1"/>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321,685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vMerge w:val="restart"/>
          </w:tcPr>
          <w:p>
            <w:pPr>
              <w:jc w:val="center"/>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4"/>
                <w:szCs w:val="14"/>
                <w:color w:val="auto"/>
              </w:rPr>
            </w:pPr>
          </w:p>
        </w:tc>
        <w:tc>
          <w:tcPr>
            <w:tcW w:w="27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(4,245)</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27,989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41,702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81,604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(8,134)</w:t>
            </w: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center"/>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FF0FC"/>
            </w:tcBorders>
            <w:vMerge w:val="continue"/>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Weighted-average number of shares outstanding, basic and diluted</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17,090,050</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35,359,999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15,903,517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30,383,375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10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80" w:type="dxa"/>
            <w:vAlign w:val="bottom"/>
            <w:gridSpan w:val="6"/>
            <w:vMerge w:val="continue"/>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70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64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(805)</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(110,556)</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(18,772</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(229,415</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comprehensive loss</w:t>
            </w:r>
          </w:p>
        </w:tc>
        <w:tc>
          <w:tcPr>
            <w:tcW w:w="142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(824)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(110,815)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(18,800</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(229,720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16"/>
          </w:tcPr>
          <w:p>
            <w:pPr>
              <w:ind w:left="660"/>
              <w:spacing w:after="0"/>
              <w:rPr>
                <w:sz w:val="20"/>
                <w:szCs w:val="20"/>
                <w:color w:val="auto"/>
              </w:rPr>
            </w:pPr>
            <w:r>
              <w:rPr>
                <w:rFonts w:ascii="Arial" w:cs="Arial" w:eastAsia="Arial" w:hAnsi="Arial"/>
                <w:sz w:val="14"/>
                <w:szCs w:val="14"/>
                <w:b w:val="1"/>
                <w:bCs w:val="1"/>
                <w:color w:val="auto"/>
                <w:w w:val="94"/>
              </w:rPr>
              <w:t>For the Three Months Ended September 30, 2020</w:t>
            </w: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vMerge w:val="restart"/>
          </w:tcPr>
          <w:p>
            <w:pPr>
              <w:jc w:val="right"/>
              <w:ind w:right="561"/>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w w:val="94"/>
              </w:rPr>
              <w:t>Shares</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FF0FC"/>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8"/>
              </w:rPr>
              <w:t>Income/(Loss)</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0"/>
              <w:spacing w:after="0" w:line="155"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BALANCE—July 1, 2020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17,763,164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(147,776)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(805)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3,860,710 shares of common</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stock in connection with follow-on</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public offering, including underwriter's</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over-allotment, net of offering costs</w:t>
            </w: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and underwriter's discount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3,860,710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23,416</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Stock-based compensation</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10,000 shares of restricted</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common stock on July 13, 2020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Issuance of 95,500 shares of restricted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380"/>
              <w:spacing w:after="0"/>
              <w:rPr>
                <w:sz w:val="20"/>
                <w:szCs w:val="20"/>
                <w:color w:val="auto"/>
              </w:rPr>
            </w:pPr>
            <w:r>
              <w:rPr>
                <w:rFonts w:ascii="Arial" w:cs="Arial" w:eastAsia="Arial" w:hAnsi="Arial"/>
                <w:sz w:val="16"/>
                <w:szCs w:val="16"/>
                <w:color w:val="auto"/>
              </w:rPr>
              <w:t>common stock on July 20, 2020</w:t>
            </w:r>
          </w:p>
        </w:tc>
        <w:tc>
          <w:tcPr>
            <w:tcW w:w="760" w:type="dxa"/>
            <w:vAlign w:val="bottom"/>
          </w:tcPr>
          <w:p>
            <w:pPr>
              <w:jc w:val="right"/>
              <w:spacing w:after="0"/>
              <w:rPr>
                <w:sz w:val="20"/>
                <w:szCs w:val="20"/>
                <w:color w:val="auto"/>
              </w:rPr>
            </w:pPr>
            <w:r>
              <w:rPr>
                <w:rFonts w:ascii="Arial" w:cs="Arial" w:eastAsia="Arial" w:hAnsi="Arial"/>
                <w:sz w:val="16"/>
                <w:szCs w:val="16"/>
                <w:color w:val="auto"/>
              </w:rPr>
              <w:t>95,500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22,700 shares of restricted</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common stock on September 30, 2020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Issuance of 25,000 warrants 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380"/>
              <w:spacing w:after="0"/>
              <w:rPr>
                <w:sz w:val="20"/>
                <w:szCs w:val="20"/>
                <w:color w:val="auto"/>
              </w:rPr>
            </w:pPr>
            <w:r>
              <w:rPr>
                <w:rFonts w:ascii="Arial" w:cs="Arial" w:eastAsia="Arial" w:hAnsi="Arial"/>
                <w:sz w:val="16"/>
                <w:szCs w:val="16"/>
                <w:color w:val="auto"/>
              </w:rPr>
              <w:t>August 18, 2020</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90,000 shares of restricted</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common stock on August 10, 2020</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2,870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6"/>
                <w:szCs w:val="16"/>
                <w:color w:val="auto"/>
              </w:rPr>
              <w:t>BALANCE—September 30, 2020</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21,844,944</w:t>
            </w:r>
          </w:p>
        </w:tc>
        <w:tc>
          <w:tcPr>
            <w:tcW w:w="2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181,971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(148,581)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33,421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4"/>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vMerge w:val="restart"/>
          </w:tcPr>
          <w:p>
            <w:pPr>
              <w:jc w:val="right"/>
              <w:ind w:right="361"/>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9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BALANCE—July 1, 2021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35,734,767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4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487,605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(311,794)</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w:t>
            </w:r>
          </w:p>
        </w:tc>
        <w:tc>
          <w:tcPr>
            <w:tcW w:w="220" w:type="dxa"/>
            <w:vAlign w:val="bottom"/>
            <w:gridSpan w:val="2"/>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175,777</w:t>
            </w:r>
          </w:p>
        </w:tc>
        <w:tc>
          <w:tcPr>
            <w:tcW w:w="120" w:type="dxa"/>
            <w:vAlign w:val="bottom"/>
            <w:tcBorders>
              <w:lef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Net loss</w:t>
            </w:r>
          </w:p>
        </w:tc>
        <w:tc>
          <w:tcPr>
            <w:tcW w:w="7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(110,556)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(110,556)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common stock to High Trail</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12,154,161</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125,562</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125,564</w:t>
            </w:r>
          </w:p>
        </w:tc>
        <w:tc>
          <w:tcPr>
            <w:tcW w:w="120" w:type="dxa"/>
            <w:vAlign w:val="bottom"/>
            <w:tcBorders>
              <w:left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Reclassification of warrants to equity</w:t>
            </w:r>
          </w:p>
        </w:tc>
        <w:tc>
          <w:tcPr>
            <w:tcW w:w="7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17,065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17,065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Reclassification of warrants to liability</w:t>
            </w:r>
          </w:p>
        </w:tc>
        <w:tc>
          <w:tcPr>
            <w:tcW w:w="76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(21,260)</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Issuance of shares of restricted common stock</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125,055</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95"/>
              </w:rPr>
              <w:t>Issuance of common stock related to exercise of warrants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1,879,368</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Forfeiture of shares of restricted common stock</w:t>
            </w:r>
          </w:p>
        </w:tc>
        <w:tc>
          <w:tcPr>
            <w:tcW w:w="1180" w:type="dxa"/>
            <w:vAlign w:val="bottom"/>
            <w:gridSpan w:val="3"/>
          </w:tcPr>
          <w:p>
            <w:pPr>
              <w:jc w:val="right"/>
              <w:ind w:right="84"/>
              <w:spacing w:after="0"/>
              <w:rPr>
                <w:sz w:val="20"/>
                <w:szCs w:val="20"/>
                <w:color w:val="auto"/>
              </w:rPr>
            </w:pPr>
            <w:r>
              <w:rPr>
                <w:rFonts w:ascii="Arial" w:cs="Arial" w:eastAsia="Arial" w:hAnsi="Arial"/>
                <w:sz w:val="16"/>
                <w:szCs w:val="16"/>
                <w:color w:val="auto"/>
              </w:rPr>
              <w:t>(22,026)</w:t>
            </w:r>
          </w:p>
        </w:tc>
        <w:tc>
          <w:tcPr>
            <w:tcW w:w="800" w:type="dxa"/>
            <w:vAlign w:val="bottom"/>
          </w:tcPr>
          <w:p>
            <w:pPr>
              <w:spacing w:after="0"/>
              <w:rPr>
                <w:sz w:val="22"/>
                <w:szCs w:val="22"/>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Fair value of warrant modification on extinguishment</w:t>
            </w:r>
          </w:p>
        </w:tc>
        <w:tc>
          <w:tcPr>
            <w:tcW w:w="76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17,399</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17,399</w:t>
            </w:r>
          </w:p>
        </w:tc>
        <w:tc>
          <w:tcPr>
            <w:tcW w:w="120" w:type="dxa"/>
            <w:vAlign w:val="bottom"/>
            <w:tcBorders>
              <w:left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180" w:type="dxa"/>
            <w:vAlign w:val="bottom"/>
            <w:gridSpan w:val="2"/>
          </w:tcPr>
          <w:p>
            <w:pPr>
              <w:ind w:left="260"/>
              <w:spacing w:after="0"/>
              <w:rPr>
                <w:sz w:val="20"/>
                <w:szCs w:val="20"/>
                <w:color w:val="auto"/>
              </w:rPr>
            </w:pPr>
            <w:r>
              <w:rPr>
                <w:rFonts w:ascii="Arial" w:cs="Arial" w:eastAsia="Arial" w:hAnsi="Arial"/>
                <w:sz w:val="15"/>
                <w:szCs w:val="15"/>
                <w:color w:val="auto"/>
              </w:rPr>
              <w:t>Exercise of stock options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32,927</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RSU issued to consultant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145,408</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Borders>
              <w:left w:val="single" w:sz="8" w:color="CFF0FC"/>
            </w:tcBorders>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180" w:type="dxa"/>
            <w:vAlign w:val="bottom"/>
            <w:gridSpan w:val="2"/>
          </w:tcPr>
          <w:p>
            <w:pPr>
              <w:ind w:left="260"/>
              <w:spacing w:after="0"/>
              <w:rPr>
                <w:sz w:val="20"/>
                <w:szCs w:val="20"/>
                <w:color w:val="auto"/>
              </w:rPr>
            </w:pPr>
            <w:r>
              <w:rPr>
                <w:rFonts w:ascii="Arial" w:cs="Arial" w:eastAsia="Arial" w:hAnsi="Arial"/>
                <w:sz w:val="16"/>
                <w:szCs w:val="16"/>
                <w:color w:val="auto"/>
              </w:rPr>
              <w:t>Stock-based compensation expense</w:t>
            </w:r>
          </w:p>
        </w:tc>
        <w:tc>
          <w:tcPr>
            <w:tcW w:w="7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gridSpan w:val="3"/>
          </w:tcPr>
          <w:p>
            <w:pPr>
              <w:jc w:val="right"/>
              <w:ind w:right="139"/>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7,882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7,882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760" w:type="dxa"/>
            <w:vAlign w:val="bottom"/>
            <w:shd w:val="clear" w:color="auto" w:fill="CFF0FC"/>
          </w:tcPr>
          <w:p>
            <w:pPr>
              <w:spacing w:after="0"/>
              <w:rPr>
                <w:sz w:val="22"/>
                <w:szCs w:val="2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200" w:type="dxa"/>
            <w:vAlign w:val="bottom"/>
            <w:gridSpan w:val="2"/>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(259)</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6"/>
                <w:szCs w:val="16"/>
                <w:color w:val="auto"/>
              </w:rPr>
              <w:t>BALANCE—September 30, 2021</w:t>
            </w:r>
          </w:p>
        </w:tc>
        <w:tc>
          <w:tcPr>
            <w:tcW w:w="9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80" w:type="dxa"/>
            <w:vAlign w:val="bottom"/>
            <w:gridSpan w:val="2"/>
            <w:vMerge w:val="continue"/>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50,049,660</w:t>
            </w:r>
          </w:p>
        </w:tc>
        <w:tc>
          <w:tcPr>
            <w:tcW w:w="200" w:type="dxa"/>
            <w:vAlign w:val="bottom"/>
          </w:tcPr>
          <w:p>
            <w:pPr>
              <w:spacing w:after="0"/>
              <w:rPr>
                <w:sz w:val="17"/>
                <w:szCs w:val="17"/>
                <w:color w:val="auto"/>
              </w:rPr>
            </w:pP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635,296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(422,350)</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(296)</w:t>
            </w:r>
          </w:p>
        </w:tc>
        <w:tc>
          <w:tcPr>
            <w:tcW w:w="22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212,655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1"/>
          </w:tcPr>
          <w:p>
            <w:pPr>
              <w:jc w:val="right"/>
              <w:ind w:right="1100"/>
              <w:spacing w:after="0"/>
              <w:rPr>
                <w:sz w:val="20"/>
                <w:szCs w:val="20"/>
                <w:color w:val="auto"/>
              </w:rPr>
            </w:pPr>
            <w:r>
              <w:rPr>
                <w:rFonts w:ascii="Arial" w:cs="Arial" w:eastAsia="Arial" w:hAnsi="Arial"/>
                <w:sz w:val="14"/>
                <w:szCs w:val="14"/>
                <w:b w:val="1"/>
                <w:bCs w:val="1"/>
                <w:color w:val="auto"/>
                <w:w w:val="95"/>
              </w:rPr>
              <w:t>For the Nine Months Ended September 30, 2020</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20" w:type="dxa"/>
            <w:vAlign w:val="bottom"/>
            <w:gridSpan w:val="4"/>
            <w:vMerge w:val="restart"/>
          </w:tcPr>
          <w:p>
            <w:pPr>
              <w:jc w:val="right"/>
              <w:ind w:right="36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39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Income/(Loss)</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17,736,649</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46"/>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140,477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(129,809)</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(18,772)</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(18,772)</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439,145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on March 12, 2020</w:t>
            </w: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(see Note 7)</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439,145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00" w:type="dxa"/>
            <w:vAlign w:val="bottom"/>
          </w:tcPr>
          <w:p>
            <w:pPr>
              <w:ind w:left="260"/>
              <w:spacing w:after="0"/>
              <w:rPr>
                <w:sz w:val="20"/>
                <w:szCs w:val="20"/>
                <w:color w:val="auto"/>
              </w:rPr>
            </w:pPr>
            <w:r>
              <w:rPr>
                <w:rFonts w:ascii="Arial" w:cs="Arial" w:eastAsia="Arial" w:hAnsi="Arial"/>
                <w:sz w:val="16"/>
                <w:szCs w:val="16"/>
                <w:color w:val="auto"/>
              </w:rPr>
              <w:t>Forfeiture of 371,329 shares of restricted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380"/>
              <w:spacing w:after="0"/>
              <w:rPr>
                <w:sz w:val="20"/>
                <w:szCs w:val="20"/>
                <w:color w:val="auto"/>
              </w:rPr>
            </w:pPr>
            <w:r>
              <w:rPr>
                <w:rFonts w:ascii="Arial" w:cs="Arial" w:eastAsia="Arial" w:hAnsi="Arial"/>
                <w:sz w:val="16"/>
                <w:szCs w:val="16"/>
                <w:color w:val="auto"/>
              </w:rPr>
              <w:t>common stock</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(371,329)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of restricted common stock</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retired in connection with vesting</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(41,299)</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(139)</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6"/>
        </w:trPr>
        <w:tc>
          <w:tcPr>
            <w:tcW w:w="3900" w:type="dxa"/>
            <w:vAlign w:val="bottom"/>
          </w:tcPr>
          <w:p>
            <w:pPr>
              <w:ind w:left="260"/>
              <w:spacing w:after="0"/>
              <w:rPr>
                <w:sz w:val="20"/>
                <w:szCs w:val="20"/>
                <w:color w:val="auto"/>
              </w:rPr>
            </w:pPr>
            <w:r>
              <w:rPr>
                <w:rFonts w:ascii="Arial" w:cs="Arial" w:eastAsia="Arial" w:hAnsi="Arial"/>
                <w:sz w:val="16"/>
                <w:szCs w:val="16"/>
                <w:color w:val="auto"/>
              </w:rPr>
              <w:t>Forfeiture of 134,366 shares of</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380"/>
              <w:spacing w:after="0"/>
              <w:rPr>
                <w:sz w:val="20"/>
                <w:szCs w:val="20"/>
                <w:color w:val="auto"/>
              </w:rPr>
            </w:pPr>
            <w:r>
              <w:rPr>
                <w:rFonts w:ascii="Arial" w:cs="Arial" w:eastAsia="Arial" w:hAnsi="Arial"/>
                <w:sz w:val="16"/>
                <w:szCs w:val="16"/>
                <w:color w:val="auto"/>
              </w:rPr>
              <w:t>restricted common stock</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(134,366)</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134,364 shares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restricted common stock</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134,364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00" w:type="dxa"/>
            <w:vAlign w:val="bottom"/>
          </w:tcPr>
          <w:p>
            <w:pPr>
              <w:ind w:left="260"/>
              <w:spacing w:after="0"/>
              <w:rPr>
                <w:sz w:val="20"/>
                <w:szCs w:val="20"/>
                <w:color w:val="auto"/>
              </w:rPr>
            </w:pPr>
            <w:r>
              <w:rPr>
                <w:rFonts w:ascii="Arial" w:cs="Arial" w:eastAsia="Arial" w:hAnsi="Arial"/>
                <w:sz w:val="16"/>
                <w:szCs w:val="16"/>
                <w:color w:val="auto"/>
              </w:rPr>
              <w:t>Issuance of 3,860,710 shares of common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Arial" w:cs="Arial" w:eastAsia="Arial" w:hAnsi="Arial"/>
                <w:sz w:val="16"/>
                <w:szCs w:val="16"/>
                <w:color w:val="auto"/>
              </w:rPr>
              <w:t>stock in connection with follow-on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Arial" w:cs="Arial" w:eastAsia="Arial" w:hAnsi="Arial"/>
                <w:sz w:val="16"/>
                <w:szCs w:val="16"/>
                <w:color w:val="auto"/>
              </w:rPr>
              <w:t>public offering, including underwriter's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80"/>
              <w:spacing w:after="0"/>
              <w:rPr>
                <w:sz w:val="20"/>
                <w:szCs w:val="20"/>
                <w:color w:val="auto"/>
              </w:rPr>
            </w:pPr>
            <w:r>
              <w:rPr>
                <w:rFonts w:ascii="Arial" w:cs="Arial" w:eastAsia="Arial" w:hAnsi="Arial"/>
                <w:sz w:val="16"/>
                <w:szCs w:val="16"/>
                <w:color w:val="auto"/>
              </w:rPr>
              <w:t>over-allotment, net of offering costs</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380"/>
              <w:spacing w:after="0"/>
              <w:rPr>
                <w:sz w:val="20"/>
                <w:szCs w:val="20"/>
                <w:color w:val="auto"/>
              </w:rPr>
            </w:pPr>
            <w:r>
              <w:rPr>
                <w:rFonts w:ascii="Arial" w:cs="Arial" w:eastAsia="Arial" w:hAnsi="Arial"/>
                <w:sz w:val="16"/>
                <w:szCs w:val="16"/>
                <w:color w:val="auto"/>
              </w:rPr>
              <w:t>and underwriter's discount</w:t>
            </w:r>
          </w:p>
        </w:tc>
        <w:tc>
          <w:tcPr>
            <w:tcW w:w="1000" w:type="dxa"/>
            <w:vAlign w:val="bottom"/>
          </w:tcPr>
          <w:p>
            <w:pPr>
              <w:jc w:val="right"/>
              <w:spacing w:after="0"/>
              <w:rPr>
                <w:sz w:val="20"/>
                <w:szCs w:val="20"/>
                <w:color w:val="auto"/>
              </w:rPr>
            </w:pPr>
            <w:r>
              <w:rPr>
                <w:rFonts w:ascii="Arial" w:cs="Arial" w:eastAsia="Arial" w:hAnsi="Arial"/>
                <w:sz w:val="16"/>
                <w:szCs w:val="16"/>
                <w:color w:val="auto"/>
              </w:rPr>
              <w:t>3,860,710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10,000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on July 13,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260"/>
              <w:spacing w:after="0"/>
              <w:rPr>
                <w:sz w:val="20"/>
                <w:szCs w:val="20"/>
                <w:color w:val="auto"/>
              </w:rPr>
            </w:pPr>
            <w:r>
              <w:rPr>
                <w:rFonts w:ascii="Arial" w:cs="Arial" w:eastAsia="Arial" w:hAnsi="Arial"/>
                <w:sz w:val="16"/>
                <w:szCs w:val="16"/>
                <w:color w:val="auto"/>
              </w:rPr>
              <w:t>Issuance of 95,500 shares of restricted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380"/>
              <w:spacing w:after="0"/>
              <w:rPr>
                <w:sz w:val="20"/>
                <w:szCs w:val="20"/>
                <w:color w:val="auto"/>
              </w:rPr>
            </w:pPr>
            <w:r>
              <w:rPr>
                <w:rFonts w:ascii="Arial" w:cs="Arial" w:eastAsia="Arial" w:hAnsi="Arial"/>
                <w:sz w:val="16"/>
                <w:szCs w:val="16"/>
                <w:color w:val="auto"/>
              </w:rPr>
              <w:t>common stock on July 20, 2020</w:t>
            </w:r>
          </w:p>
        </w:tc>
        <w:tc>
          <w:tcPr>
            <w:tcW w:w="1000" w:type="dxa"/>
            <w:vAlign w:val="bottom"/>
          </w:tcPr>
          <w:p>
            <w:pPr>
              <w:jc w:val="right"/>
              <w:spacing w:after="0"/>
              <w:rPr>
                <w:sz w:val="20"/>
                <w:szCs w:val="20"/>
                <w:color w:val="auto"/>
              </w:rPr>
            </w:pPr>
            <w:r>
              <w:rPr>
                <w:rFonts w:ascii="Arial" w:cs="Arial" w:eastAsia="Arial" w:hAnsi="Arial"/>
                <w:sz w:val="16"/>
                <w:szCs w:val="16"/>
                <w:color w:val="auto"/>
              </w:rPr>
              <w:t>95,500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22,700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on September 30,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900" w:type="dxa"/>
            <w:vAlign w:val="bottom"/>
          </w:tcPr>
          <w:p>
            <w:pPr>
              <w:ind w:left="260"/>
              <w:spacing w:after="0"/>
              <w:rPr>
                <w:sz w:val="20"/>
                <w:szCs w:val="20"/>
                <w:color w:val="auto"/>
              </w:rPr>
            </w:pPr>
            <w:r>
              <w:rPr>
                <w:rFonts w:ascii="Arial" w:cs="Arial" w:eastAsia="Arial" w:hAnsi="Arial"/>
                <w:sz w:val="16"/>
                <w:szCs w:val="16"/>
                <w:color w:val="auto"/>
              </w:rPr>
              <w:t>Issuance of 25,000 warrants on</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380"/>
              <w:spacing w:after="0"/>
              <w:rPr>
                <w:sz w:val="20"/>
                <w:szCs w:val="20"/>
                <w:color w:val="auto"/>
              </w:rPr>
            </w:pPr>
            <w:r>
              <w:rPr>
                <w:rFonts w:ascii="Arial" w:cs="Arial" w:eastAsia="Arial" w:hAnsi="Arial"/>
                <w:sz w:val="16"/>
                <w:szCs w:val="16"/>
                <w:color w:val="auto"/>
              </w:rPr>
              <w:t>August 18, 2020</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90,000 shares of restricted</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on August 10,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17,192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39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BALANCE—September 30, 2020</w:t>
            </w: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21,844,944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181,971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(148,581)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940" w:type="dxa"/>
            <w:vAlign w:val="bottom"/>
            <w:gridSpan w:val="3"/>
            <w:vMerge w:val="restart"/>
          </w:tcPr>
          <w:p>
            <w:pPr>
              <w:jc w:val="right"/>
              <w:ind w:right="325"/>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9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27,074,791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216,305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(192,935)</w:t>
            </w: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(229,415)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(229,415)</w:t>
            </w: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 of common stock upon exercise of stock option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grants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1,011,422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60"/>
              <w:spacing w:after="0"/>
              <w:rPr>
                <w:sz w:val="20"/>
                <w:szCs w:val="20"/>
                <w:color w:val="auto"/>
              </w:rPr>
            </w:pPr>
            <w:r>
              <w:rPr>
                <w:rFonts w:ascii="Arial" w:cs="Arial" w:eastAsia="Arial" w:hAnsi="Arial"/>
                <w:sz w:val="16"/>
                <w:szCs w:val="16"/>
                <w:color w:val="auto"/>
              </w:rPr>
              <w:t>Issuance of common stock related to exercise of</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60"/>
              <w:spacing w:after="0"/>
              <w:rPr>
                <w:sz w:val="20"/>
                <w:szCs w:val="20"/>
                <w:color w:val="auto"/>
              </w:rPr>
            </w:pPr>
            <w:r>
              <w:rPr>
                <w:rFonts w:ascii="Arial" w:cs="Arial" w:eastAsia="Arial" w:hAnsi="Arial"/>
                <w:sz w:val="16"/>
                <w:szCs w:val="16"/>
                <w:color w:val="auto"/>
              </w:rPr>
              <w:t>warrants</w:t>
            </w:r>
          </w:p>
        </w:tc>
        <w:tc>
          <w:tcPr>
            <w:tcW w:w="980" w:type="dxa"/>
            <w:vAlign w:val="bottom"/>
          </w:tcPr>
          <w:p>
            <w:pPr>
              <w:jc w:val="right"/>
              <w:spacing w:after="0"/>
              <w:rPr>
                <w:sz w:val="20"/>
                <w:szCs w:val="20"/>
                <w:color w:val="auto"/>
              </w:rPr>
            </w:pPr>
            <w:r>
              <w:rPr>
                <w:rFonts w:ascii="Arial" w:cs="Arial" w:eastAsia="Arial" w:hAnsi="Arial"/>
                <w:sz w:val="16"/>
                <w:szCs w:val="16"/>
                <w:color w:val="auto"/>
              </w:rPr>
              <w:t>2,926,508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in connection with</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Healing Solutions assets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1,387,759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60"/>
              <w:spacing w:after="0"/>
              <w:rPr>
                <w:sz w:val="20"/>
                <w:szCs w:val="20"/>
                <w:color w:val="auto"/>
              </w:rPr>
            </w:pPr>
            <w:r>
              <w:rPr>
                <w:rFonts w:ascii="Arial" w:cs="Arial" w:eastAsia="Arial" w:hAnsi="Arial"/>
                <w:sz w:val="16"/>
                <w:szCs w:val="16"/>
                <w:color w:val="auto"/>
              </w:rPr>
              <w:t>Issuance of restricted stock awards</w:t>
            </w:r>
          </w:p>
        </w:tc>
        <w:tc>
          <w:tcPr>
            <w:tcW w:w="980" w:type="dxa"/>
            <w:vAlign w:val="bottom"/>
          </w:tcPr>
          <w:p>
            <w:pPr>
              <w:jc w:val="right"/>
              <w:spacing w:after="0"/>
              <w:rPr>
                <w:sz w:val="20"/>
                <w:szCs w:val="20"/>
                <w:color w:val="auto"/>
              </w:rPr>
            </w:pPr>
            <w:r>
              <w:rPr>
                <w:rFonts w:ascii="Arial" w:cs="Arial" w:eastAsia="Arial" w:hAnsi="Arial"/>
                <w:sz w:val="16"/>
                <w:szCs w:val="16"/>
                <w:color w:val="auto"/>
              </w:rPr>
              <w:t>254,104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warrants to High Trail</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60"/>
              <w:spacing w:after="0"/>
              <w:rPr>
                <w:sz w:val="20"/>
                <w:szCs w:val="20"/>
                <w:color w:val="auto"/>
              </w:rPr>
            </w:pPr>
            <w:r>
              <w:rPr>
                <w:rFonts w:ascii="Arial" w:cs="Arial" w:eastAsia="Arial" w:hAnsi="Arial"/>
                <w:sz w:val="16"/>
                <w:szCs w:val="16"/>
                <w:color w:val="auto"/>
              </w:rPr>
              <w:t>Issuance of common stock to High Trail</w:t>
            </w:r>
          </w:p>
        </w:tc>
        <w:tc>
          <w:tcPr>
            <w:tcW w:w="980" w:type="dxa"/>
            <w:vAlign w:val="bottom"/>
          </w:tcPr>
          <w:p>
            <w:pPr>
              <w:jc w:val="right"/>
              <w:spacing w:after="0"/>
              <w:rPr>
                <w:sz w:val="20"/>
                <w:szCs w:val="20"/>
                <w:color w:val="auto"/>
              </w:rPr>
            </w:pPr>
            <w:r>
              <w:rPr>
                <w:rFonts w:ascii="Arial" w:cs="Arial" w:eastAsia="Arial" w:hAnsi="Arial"/>
                <w:sz w:val="16"/>
                <w:szCs w:val="16"/>
                <w:color w:val="auto"/>
              </w:rPr>
              <w:t>12,284,161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129,618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warrants to equity</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60"/>
              <w:spacing w:after="0"/>
              <w:rPr>
                <w:sz w:val="20"/>
                <w:szCs w:val="20"/>
                <w:color w:val="auto"/>
              </w:rPr>
            </w:pPr>
            <w:r>
              <w:rPr>
                <w:rFonts w:ascii="Arial" w:cs="Arial" w:eastAsia="Arial" w:hAnsi="Arial"/>
                <w:sz w:val="16"/>
                <w:szCs w:val="16"/>
                <w:color w:val="auto"/>
              </w:rPr>
              <w:t>Reclassification of warrants to liability</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(21,260)</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(21,260)</w:t>
            </w:r>
          </w:p>
        </w:tc>
        <w:tc>
          <w:tcPr>
            <w:tcW w:w="0" w:type="dxa"/>
            <w:vAlign w:val="bottom"/>
          </w:tcPr>
          <w:p>
            <w:pPr>
              <w:spacing w:after="0"/>
              <w:rPr>
                <w:sz w:val="1"/>
                <w:szCs w:val="1"/>
                <w:color w:val="auto"/>
              </w:rPr>
            </w:pPr>
          </w:p>
        </w:tc>
      </w:tr>
      <w:tr>
        <w:trPr>
          <w:trHeight w:val="21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Warrant modification on extinguishment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60"/>
              <w:spacing w:after="0"/>
              <w:rPr>
                <w:sz w:val="20"/>
                <w:szCs w:val="20"/>
                <w:color w:val="auto"/>
              </w:rPr>
            </w:pPr>
            <w:r>
              <w:rPr>
                <w:rFonts w:ascii="Arial" w:cs="Arial" w:eastAsia="Arial" w:hAnsi="Arial"/>
                <w:sz w:val="16"/>
                <w:szCs w:val="16"/>
                <w:color w:val="auto"/>
              </w:rPr>
              <w:t>Issuance of shares of common stock net of professional</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60"/>
              <w:spacing w:after="0"/>
              <w:rPr>
                <w:sz w:val="20"/>
                <w:szCs w:val="20"/>
                <w:color w:val="auto"/>
              </w:rPr>
            </w:pPr>
            <w:r>
              <w:rPr>
                <w:rFonts w:ascii="Arial" w:cs="Arial" w:eastAsia="Arial" w:hAnsi="Arial"/>
                <w:sz w:val="16"/>
                <w:szCs w:val="16"/>
                <w:color w:val="auto"/>
              </w:rPr>
              <w:t>fees and offering costs</w:t>
            </w:r>
          </w:p>
        </w:tc>
        <w:tc>
          <w:tcPr>
            <w:tcW w:w="980" w:type="dxa"/>
            <w:vAlign w:val="bottom"/>
          </w:tcPr>
          <w:p>
            <w:pPr>
              <w:jc w:val="right"/>
              <w:spacing w:after="0"/>
              <w:rPr>
                <w:sz w:val="20"/>
                <w:szCs w:val="20"/>
                <w:color w:val="auto"/>
              </w:rPr>
            </w:pPr>
            <w:r>
              <w:rPr>
                <w:rFonts w:ascii="Arial" w:cs="Arial" w:eastAsia="Arial" w:hAnsi="Arial"/>
                <w:sz w:val="16"/>
                <w:szCs w:val="16"/>
                <w:color w:val="auto"/>
              </w:rPr>
              <w:t>2,666,667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shares of common stock in connection with</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asset purchase agreement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704,548</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60"/>
              <w:spacing w:after="0"/>
              <w:rPr>
                <w:sz w:val="20"/>
                <w:szCs w:val="20"/>
                <w:color w:val="auto"/>
              </w:rPr>
            </w:pPr>
            <w:r>
              <w:rPr>
                <w:rFonts w:ascii="Arial" w:cs="Arial" w:eastAsia="Arial" w:hAnsi="Arial"/>
                <w:sz w:val="16"/>
                <w:szCs w:val="16"/>
                <w:color w:val="auto"/>
              </w:rPr>
              <w:t>Issuance of shares of restricted common stock</w:t>
            </w:r>
          </w:p>
        </w:tc>
        <w:tc>
          <w:tcPr>
            <w:tcW w:w="980" w:type="dxa"/>
            <w:vAlign w:val="bottom"/>
          </w:tcPr>
          <w:p>
            <w:pPr>
              <w:jc w:val="right"/>
              <w:spacing w:after="0"/>
              <w:rPr>
                <w:sz w:val="20"/>
                <w:szCs w:val="20"/>
                <w:color w:val="auto"/>
              </w:rPr>
            </w:pPr>
            <w:r>
              <w:rPr>
                <w:rFonts w:ascii="Arial" w:cs="Arial" w:eastAsia="Arial" w:hAnsi="Arial"/>
                <w:sz w:val="16"/>
                <w:szCs w:val="16"/>
                <w:color w:val="auto"/>
              </w:rPr>
              <w:t>2,020,697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shares of restricted common stock</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(280,997)</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8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(305)</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6"/>
                <w:szCs w:val="16"/>
                <w:color w:val="auto"/>
              </w:rPr>
              <w:t>BALANCE—September 30, 2021</w:t>
            </w: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80" w:type="dxa"/>
            <w:vAlign w:val="bottom"/>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50,049,660</w:t>
            </w:r>
          </w:p>
        </w:tc>
        <w:tc>
          <w:tcPr>
            <w:tcW w:w="200" w:type="dxa"/>
            <w:vAlign w:val="bottom"/>
          </w:tcPr>
          <w:p>
            <w:pPr>
              <w:spacing w:after="0"/>
              <w:rPr>
                <w:sz w:val="17"/>
                <w:szCs w:val="17"/>
                <w:color w:val="auto"/>
              </w:rPr>
            </w:pP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635,296</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(422,350)</w:t>
            </w:r>
          </w:p>
        </w:tc>
        <w:tc>
          <w:tcPr>
            <w:tcW w:w="220" w:type="dxa"/>
            <w:vAlign w:val="bottom"/>
            <w:gridSpan w:val="2"/>
          </w:tcPr>
          <w:p>
            <w:pPr>
              <w:jc w:val="right"/>
              <w:ind w:right="48"/>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212,655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6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5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OPERATING ACTIVITIES:</w:t>
            </w:r>
          </w:p>
        </w:tc>
        <w:tc>
          <w:tcPr>
            <w:tcW w:w="128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4"/>
                <w:szCs w:val="14"/>
                <w:color w:val="auto"/>
              </w:rPr>
              <w:t>Net loss</w:t>
            </w:r>
          </w:p>
        </w:tc>
        <w:tc>
          <w:tcPr>
            <w:tcW w:w="2220" w:type="dxa"/>
            <w:vAlign w:val="bottom"/>
            <w:gridSpan w:val="2"/>
          </w:tcPr>
          <w:p>
            <w:pPr>
              <w:jc w:val="right"/>
              <w:ind w:right="815"/>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(18,772)</w:t>
            </w:r>
          </w:p>
        </w:tc>
        <w:tc>
          <w:tcPr>
            <w:tcW w:w="110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(229,415)</w:t>
            </w:r>
          </w:p>
        </w:tc>
      </w:tr>
      <w:tr>
        <w:trPr>
          <w:trHeight w:val="162"/>
        </w:trPr>
        <w:tc>
          <w:tcPr>
            <w:tcW w:w="650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sales returns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Amortization of deferred financing costs and debt discounts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7,730</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21,330</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500"/>
              <w:spacing w:after="0"/>
              <w:rPr>
                <w:sz w:val="20"/>
                <w:szCs w:val="20"/>
                <w:color w:val="auto"/>
              </w:rPr>
            </w:pPr>
            <w:r>
              <w:rPr>
                <w:rFonts w:ascii="Arial" w:cs="Arial" w:eastAsia="Arial" w:hAnsi="Arial"/>
                <w:sz w:val="14"/>
                <w:szCs w:val="14"/>
                <w:color w:val="auto"/>
              </w:rPr>
              <w:t>Gain from increase of contingent earn-out liability fair value</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(11,949)</w:t>
            </w:r>
          </w:p>
        </w:tc>
      </w:tr>
      <w:tr>
        <w:trPr>
          <w:trHeight w:val="162"/>
        </w:trPr>
        <w:tc>
          <w:tcPr>
            <w:tcW w:w="65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in connection with the change in warrant fair value</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26,455</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500"/>
              <w:spacing w:after="0"/>
              <w:rPr>
                <w:sz w:val="20"/>
                <w:szCs w:val="20"/>
                <w:color w:val="auto"/>
              </w:rPr>
            </w:pPr>
            <w:r>
              <w:rPr>
                <w:rFonts w:ascii="Arial" w:cs="Arial" w:eastAsia="Arial" w:hAnsi="Arial"/>
                <w:sz w:val="14"/>
                <w:szCs w:val="14"/>
                <w:color w:val="auto"/>
              </w:rPr>
              <w:t>Loss on initial issuance of warrant</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20,147</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extinguishment of High Trail December 2020 and February 2021 Term Loan</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28,240</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500"/>
              <w:spacing w:after="0"/>
              <w:rPr>
                <w:sz w:val="20"/>
                <w:szCs w:val="20"/>
                <w:color w:val="auto"/>
              </w:rPr>
            </w:pPr>
            <w:r>
              <w:rPr>
                <w:rFonts w:ascii="Arial" w:cs="Arial" w:eastAsia="Arial" w:hAnsi="Arial"/>
                <w:sz w:val="14"/>
                <w:szCs w:val="14"/>
                <w:color w:val="auto"/>
              </w:rPr>
              <w:t>Loss extinguishment of High Trail April 2021 Term Loan</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106,991</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extinguishment of Credit Facility</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500"/>
              <w:spacing w:after="0"/>
              <w:rPr>
                <w:sz w:val="20"/>
                <w:szCs w:val="20"/>
                <w:color w:val="auto"/>
              </w:rPr>
            </w:pPr>
            <w:r>
              <w:rPr>
                <w:rFonts w:ascii="Arial" w:cs="Arial" w:eastAsia="Arial" w:hAnsi="Arial"/>
                <w:sz w:val="14"/>
                <w:szCs w:val="14"/>
                <w:color w:val="auto"/>
              </w:rPr>
              <w:t>Loss from derivative liability discount related to term loan</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Allowance for doubtful accounts and other</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4,597</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Changes in assets and liabilities: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(7,492)</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(3,765)</w:t>
            </w:r>
          </w:p>
        </w:tc>
      </w:tr>
      <w:tr>
        <w:trPr>
          <w:trHeight w:val="162"/>
        </w:trPr>
        <w:tc>
          <w:tcPr>
            <w:tcW w:w="6500" w:type="dxa"/>
            <w:vAlign w:val="bottom"/>
          </w:tcPr>
          <w:p>
            <w:pPr>
              <w:ind w:left="500"/>
              <w:spacing w:after="0"/>
              <w:rPr>
                <w:sz w:val="20"/>
                <w:szCs w:val="20"/>
                <w:color w:val="auto"/>
              </w:rPr>
            </w:pPr>
            <w:r>
              <w:rPr>
                <w:rFonts w:ascii="Arial" w:cs="Arial" w:eastAsia="Arial" w:hAnsi="Arial"/>
                <w:sz w:val="14"/>
                <w:szCs w:val="14"/>
                <w:color w:val="auto"/>
              </w:rPr>
              <w:t>Inventory</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(27,531)</w:t>
            </w:r>
          </w:p>
        </w:tc>
      </w:tr>
      <w:tr>
        <w:trPr>
          <w:trHeight w:val="162"/>
        </w:trPr>
        <w:tc>
          <w:tcPr>
            <w:tcW w:w="65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and other current assets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(7,219)</w:t>
            </w:r>
          </w:p>
        </w:tc>
      </w:tr>
      <w:tr>
        <w:trPr>
          <w:trHeight w:val="162"/>
        </w:trPr>
        <w:tc>
          <w:tcPr>
            <w:tcW w:w="6500" w:type="dxa"/>
            <w:vAlign w:val="bottom"/>
          </w:tcPr>
          <w:p>
            <w:pPr>
              <w:ind w:left="500"/>
              <w:spacing w:after="0"/>
              <w:rPr>
                <w:sz w:val="20"/>
                <w:szCs w:val="20"/>
                <w:color w:val="auto"/>
              </w:rPr>
            </w:pPr>
            <w:r>
              <w:rPr>
                <w:rFonts w:ascii="Arial" w:cs="Arial" w:eastAsia="Arial" w:hAnsi="Arial"/>
                <w:sz w:val="14"/>
                <w:szCs w:val="14"/>
                <w:color w:val="auto"/>
              </w:rPr>
              <w:t>Accounts payable, accrued and other liabilities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(1,698)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13,999</w:t>
            </w:r>
          </w:p>
        </w:tc>
        <w:tc>
          <w:tcPr>
            <w:tcW w:w="100" w:type="dxa"/>
            <w:vAlign w:val="bottom"/>
          </w:tcPr>
          <w:p>
            <w:pPr>
              <w:spacing w:after="0"/>
              <w:rPr>
                <w:sz w:val="14"/>
                <w:szCs w:val="14"/>
                <w:color w:val="auto"/>
              </w:rPr>
            </w:pPr>
          </w:p>
        </w:tc>
      </w:tr>
      <w:tr>
        <w:trPr>
          <w:trHeight w:val="156"/>
        </w:trPr>
        <w:tc>
          <w:tcPr>
            <w:tcW w:w="65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Cash provided by (used in) operating activities</w:t>
            </w:r>
          </w:p>
        </w:tc>
        <w:tc>
          <w:tcPr>
            <w:tcW w:w="128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7,600</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(40,449)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4"/>
                <w:szCs w:val="14"/>
                <w:color w:val="auto"/>
              </w:rPr>
              <w:t>INVESTING ACTIVITIES: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fixed assets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Purchase of Truweo assets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(14,032)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Healing Solutions assets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(15,250)</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Purchase of Photo Paper Direct, net of cash acquired</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(10,583)</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Squatty Potty assets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(19,040)</w:t>
            </w:r>
          </w:p>
        </w:tc>
      </w:tr>
      <w:tr>
        <w:trPr>
          <w:trHeight w:val="156"/>
        </w:trPr>
        <w:tc>
          <w:tcPr>
            <w:tcW w:w="6500" w:type="dxa"/>
            <w:vAlign w:val="bottom"/>
          </w:tcPr>
          <w:p>
            <w:pPr>
              <w:ind w:left="740"/>
              <w:spacing w:after="0" w:line="155" w:lineRule="exact"/>
              <w:rPr>
                <w:sz w:val="20"/>
                <w:szCs w:val="20"/>
                <w:color w:val="auto"/>
              </w:rPr>
            </w:pPr>
            <w:r>
              <w:rPr>
                <w:rFonts w:ascii="Arial" w:cs="Arial" w:eastAsia="Arial" w:hAnsi="Arial"/>
                <w:sz w:val="14"/>
                <w:szCs w:val="14"/>
                <w:color w:val="auto"/>
              </w:rPr>
              <w:t>Cash used in investing activities</w:t>
            </w:r>
          </w:p>
        </w:tc>
        <w:tc>
          <w:tcPr>
            <w:tcW w:w="12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(14,065)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(44,887)</w:t>
            </w:r>
          </w:p>
        </w:tc>
        <w:tc>
          <w:tcPr>
            <w:tcW w:w="100" w:type="dxa"/>
            <w:vAlign w:val="bottom"/>
          </w:tcPr>
          <w:p>
            <w:pPr>
              <w:spacing w:after="0"/>
              <w:rPr>
                <w:sz w:val="13"/>
                <w:szCs w:val="13"/>
                <w:color w:val="auto"/>
              </w:rPr>
            </w:pPr>
          </w:p>
        </w:tc>
      </w:tr>
      <w:tr>
        <w:trPr>
          <w:trHeight w:val="162"/>
        </w:trPr>
        <w:tc>
          <w:tcPr>
            <w:tcW w:w="6500" w:type="dxa"/>
            <w:vAlign w:val="bottom"/>
            <w:shd w:val="clear" w:color="auto" w:fill="CFF0FC"/>
          </w:tcPr>
          <w:p>
            <w:pPr>
              <w:spacing w:after="0"/>
              <w:rPr>
                <w:sz w:val="20"/>
                <w:szCs w:val="20"/>
                <w:color w:val="auto"/>
              </w:rPr>
            </w:pPr>
            <w:r>
              <w:rPr>
                <w:rFonts w:ascii="Arial" w:cs="Arial" w:eastAsia="Arial" w:hAnsi="Arial"/>
                <w:sz w:val="14"/>
                <w:szCs w:val="14"/>
                <w:color w:val="auto"/>
              </w:rPr>
              <w:t>FINANCING ACTIVITIES: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Proceeds from warrant exercise</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cancellation of warrant</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16,957</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Proceeds from equity offering, net of issuance costs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36,735</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8,749</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Repayment of note payable related to Aussie Health acquisition</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Repayments on note payable to Smash</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(9,254)</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Taxes paid related to net settlement upon vesting of restricted common stock</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Borrowings from MidCap credit facility</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99,508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14,630</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Repayments from MidCap credit facility</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(108,278)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(28,274)</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Repayments from Horizon term loan</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Deferred financing costs from MidCap credit facility</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(151)</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Repayments for High Trail December 2020 Note and February 2021 Note</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(59,500)</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Repayments for High Trail April 2021 Note</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(10,139)</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Borrowings from High Trail February 2021 Note and warrants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14,025</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Borrowings from High Trail April 2021 Note and warrants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issuance costs from High Trail February 2021 Note</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(1,462)</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Debt issuance costs from High Trail April 2021 Note</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(2,202)</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offering costs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Insurance obligation payments</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(2,357)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(2,329)</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Insurance financing proceeds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Pr>
          <w:p>
            <w:pPr>
              <w:ind w:left="260"/>
              <w:spacing w:after="0"/>
              <w:rPr>
                <w:sz w:val="20"/>
                <w:szCs w:val="20"/>
                <w:color w:val="auto"/>
              </w:rPr>
            </w:pPr>
            <w:r>
              <w:rPr>
                <w:rFonts w:ascii="Arial" w:cs="Arial" w:eastAsia="Arial" w:hAnsi="Arial"/>
                <w:sz w:val="14"/>
                <w:szCs w:val="14"/>
                <w:color w:val="auto"/>
              </w:rPr>
              <w:t>Payment for Squatty earnout</w:t>
            </w: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(3,988)</w:t>
            </w:r>
          </w:p>
        </w:tc>
      </w:tr>
      <w:tr>
        <w:trPr>
          <w:trHeight w:val="162"/>
        </w:trPr>
        <w:tc>
          <w:tcPr>
            <w:tcW w:w="65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lease obligation payments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6500" w:type="dxa"/>
            <w:vAlign w:val="bottom"/>
          </w:tcPr>
          <w:p>
            <w:pPr>
              <w:ind w:left="740"/>
              <w:spacing w:after="0" w:line="155" w:lineRule="exact"/>
              <w:rPr>
                <w:sz w:val="20"/>
                <w:szCs w:val="20"/>
                <w:color w:val="auto"/>
              </w:rPr>
            </w:pPr>
            <w:r>
              <w:rPr>
                <w:rFonts w:ascii="Arial" w:cs="Arial" w:eastAsia="Arial" w:hAnsi="Arial"/>
                <w:sz w:val="14"/>
                <w:szCs w:val="14"/>
                <w:color w:val="auto"/>
              </w:rPr>
              <w:t>Cash provided by financing activities</w:t>
            </w:r>
          </w:p>
        </w:tc>
        <w:tc>
          <w:tcPr>
            <w:tcW w:w="12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13,499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95,272</w:t>
            </w:r>
          </w:p>
        </w:tc>
        <w:tc>
          <w:tcPr>
            <w:tcW w:w="100" w:type="dxa"/>
            <w:vAlign w:val="bottom"/>
          </w:tcPr>
          <w:p>
            <w:pPr>
              <w:spacing w:after="0"/>
              <w:rPr>
                <w:sz w:val="13"/>
                <w:szCs w:val="13"/>
                <w:color w:val="auto"/>
              </w:rPr>
            </w:pPr>
          </w:p>
        </w:tc>
      </w:tr>
      <w:tr>
        <w:trPr>
          <w:trHeight w:val="162"/>
        </w:trPr>
        <w:tc>
          <w:tcPr>
            <w:tcW w:w="650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ON CASH</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(434)</w:t>
            </w:r>
          </w:p>
        </w:tc>
      </w:tr>
      <w:tr>
        <w:trPr>
          <w:trHeight w:val="155"/>
        </w:trPr>
        <w:tc>
          <w:tcPr>
            <w:tcW w:w="6500" w:type="dxa"/>
            <w:vAlign w:val="bottom"/>
          </w:tcPr>
          <w:p>
            <w:pPr>
              <w:spacing w:after="0" w:line="155" w:lineRule="exact"/>
              <w:rPr>
                <w:sz w:val="20"/>
                <w:szCs w:val="20"/>
                <w:color w:val="auto"/>
              </w:rPr>
            </w:pPr>
            <w:r>
              <w:rPr>
                <w:rFonts w:ascii="Arial" w:cs="Arial" w:eastAsia="Arial" w:hAnsi="Arial"/>
                <w:sz w:val="14"/>
                <w:szCs w:val="14"/>
                <w:color w:val="auto"/>
              </w:rPr>
              <w:t>NET CHANGE IN CASH AND RESTRICTED CASH FOR PERIOD</w:t>
            </w:r>
          </w:p>
        </w:tc>
        <w:tc>
          <w:tcPr>
            <w:tcW w:w="12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7,037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9,502</w:t>
            </w:r>
          </w:p>
        </w:tc>
        <w:tc>
          <w:tcPr>
            <w:tcW w:w="100" w:type="dxa"/>
            <w:vAlign w:val="bottom"/>
          </w:tcPr>
          <w:p>
            <w:pPr>
              <w:spacing w:after="0"/>
              <w:rPr>
                <w:sz w:val="13"/>
                <w:szCs w:val="13"/>
                <w:color w:val="auto"/>
              </w:rPr>
            </w:pPr>
          </w:p>
        </w:tc>
      </w:tr>
      <w:tr>
        <w:trPr>
          <w:trHeight w:val="162"/>
        </w:trPr>
        <w:tc>
          <w:tcPr>
            <w:tcW w:w="6500" w:type="dxa"/>
            <w:vAlign w:val="bottom"/>
            <w:shd w:val="clear" w:color="auto" w:fill="CFF0FC"/>
          </w:tcPr>
          <w:p>
            <w:pPr>
              <w:spacing w:after="0"/>
              <w:rPr>
                <w:sz w:val="20"/>
                <w:szCs w:val="20"/>
                <w:color w:val="auto"/>
              </w:rPr>
            </w:pPr>
            <w:r>
              <w:rPr>
                <w:rFonts w:ascii="Arial" w:cs="Arial" w:eastAsia="Arial" w:hAnsi="Arial"/>
                <w:sz w:val="14"/>
                <w:szCs w:val="14"/>
                <w:color w:val="auto"/>
              </w:rPr>
              <w:t>CASH AND RESTRICTED CASH AT BEGINNING OF PERIOD</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30,789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30,097</w:t>
            </w:r>
          </w:p>
        </w:tc>
        <w:tc>
          <w:tcPr>
            <w:tcW w:w="100" w:type="dxa"/>
            <w:vAlign w:val="bottom"/>
            <w:shd w:val="clear" w:color="auto" w:fill="CFF0FC"/>
          </w:tcPr>
          <w:p>
            <w:pPr>
              <w:spacing w:after="0"/>
              <w:rPr>
                <w:sz w:val="14"/>
                <w:szCs w:val="14"/>
                <w:color w:val="auto"/>
              </w:rPr>
            </w:pPr>
          </w:p>
        </w:tc>
      </w:tr>
      <w:tr>
        <w:trPr>
          <w:trHeight w:val="202"/>
        </w:trPr>
        <w:tc>
          <w:tcPr>
            <w:tcW w:w="6500" w:type="dxa"/>
            <w:vAlign w:val="bottom"/>
          </w:tcPr>
          <w:p>
            <w:pPr>
              <w:spacing w:after="0"/>
              <w:rPr>
                <w:sz w:val="20"/>
                <w:szCs w:val="20"/>
                <w:color w:val="auto"/>
              </w:rPr>
            </w:pPr>
            <w:r>
              <w:rPr>
                <w:rFonts w:ascii="Arial" w:cs="Arial" w:eastAsia="Arial" w:hAnsi="Arial"/>
                <w:sz w:val="14"/>
                <w:szCs w:val="14"/>
                <w:color w:val="auto"/>
              </w:rPr>
              <w:t>CASH AND RESTRICTED CASH AT END OF PERIOD</w:t>
            </w:r>
          </w:p>
        </w:tc>
        <w:tc>
          <w:tcPr>
            <w:tcW w:w="2220" w:type="dxa"/>
            <w:vAlign w:val="bottom"/>
            <w:gridSpan w:val="2"/>
          </w:tcPr>
          <w:p>
            <w:pPr>
              <w:jc w:val="right"/>
              <w:ind w:right="8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37,826</w:t>
            </w:r>
          </w:p>
        </w:tc>
        <w:tc>
          <w:tcPr>
            <w:tcW w:w="160" w:type="dxa"/>
            <w:vAlign w:val="bottom"/>
          </w:tcPr>
          <w:p>
            <w:pPr>
              <w:spacing w:after="0"/>
              <w:rPr>
                <w:sz w:val="17"/>
                <w:szCs w:val="17"/>
                <w:color w:val="auto"/>
              </w:rPr>
            </w:pPr>
          </w:p>
        </w:tc>
        <w:tc>
          <w:tcPr>
            <w:tcW w:w="110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39,599</w:t>
            </w:r>
          </w:p>
        </w:tc>
        <w:tc>
          <w:tcPr>
            <w:tcW w:w="100" w:type="dxa"/>
            <w:vAlign w:val="bottom"/>
          </w:tcPr>
          <w:p>
            <w:pPr>
              <w:spacing w:after="0"/>
              <w:rPr>
                <w:sz w:val="17"/>
                <w:szCs w:val="17"/>
                <w:color w:val="auto"/>
              </w:rPr>
            </w:pPr>
          </w:p>
        </w:tc>
      </w:tr>
      <w:tr>
        <w:trPr>
          <w:trHeight w:val="143"/>
        </w:trPr>
        <w:tc>
          <w:tcPr>
            <w:tcW w:w="65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RECONCILIATION OF CASH AND RESTRICTED CASH</w:t>
            </w:r>
          </w:p>
        </w:tc>
        <w:tc>
          <w:tcPr>
            <w:tcW w:w="12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62"/>
        </w:trPr>
        <w:tc>
          <w:tcPr>
            <w:tcW w:w="6500" w:type="dxa"/>
            <w:vAlign w:val="bottom"/>
          </w:tcPr>
          <w:p>
            <w:pPr>
              <w:spacing w:after="0"/>
              <w:rPr>
                <w:sz w:val="20"/>
                <w:szCs w:val="20"/>
                <w:color w:val="auto"/>
              </w:rPr>
            </w:pPr>
            <w:r>
              <w:rPr>
                <w:rFonts w:ascii="Arial" w:cs="Arial" w:eastAsia="Arial" w:hAnsi="Arial"/>
                <w:sz w:val="14"/>
                <w:szCs w:val="14"/>
                <w:color w:val="auto"/>
              </w:rPr>
              <w:t>CASH</w:t>
            </w:r>
          </w:p>
        </w:tc>
        <w:tc>
          <w:tcPr>
            <w:tcW w:w="2220" w:type="dxa"/>
            <w:vAlign w:val="bottom"/>
            <w:gridSpan w:val="2"/>
          </w:tcPr>
          <w:p>
            <w:pPr>
              <w:jc w:val="right"/>
              <w:ind w:right="8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37,385</w:t>
            </w:r>
          </w:p>
        </w:tc>
        <w:tc>
          <w:tcPr>
            <w:tcW w:w="160" w:type="dxa"/>
            <w:vAlign w:val="bottom"/>
          </w:tcPr>
          <w:p>
            <w:pPr>
              <w:spacing w:after="0"/>
              <w:rPr>
                <w:sz w:val="14"/>
                <w:szCs w:val="14"/>
                <w:color w:val="auto"/>
              </w:rPr>
            </w:pPr>
          </w:p>
        </w:tc>
        <w:tc>
          <w:tcPr>
            <w:tcW w:w="1100" w:type="dxa"/>
            <w:vAlign w:val="bottom"/>
            <w:gridSpan w:val="2"/>
          </w:tcPr>
          <w:p>
            <w:pPr>
              <w:jc w:val="right"/>
              <w:ind w:right="8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37,470</w:t>
            </w:r>
          </w:p>
        </w:tc>
        <w:tc>
          <w:tcPr>
            <w:tcW w:w="100" w:type="dxa"/>
            <w:vAlign w:val="bottom"/>
          </w:tcPr>
          <w:p>
            <w:pPr>
              <w:spacing w:after="0"/>
              <w:rPr>
                <w:sz w:val="14"/>
                <w:szCs w:val="14"/>
                <w:color w:val="auto"/>
              </w:rPr>
            </w:pPr>
          </w:p>
        </w:tc>
      </w:tr>
      <w:tr>
        <w:trPr>
          <w:trHeight w:val="162"/>
        </w:trPr>
        <w:tc>
          <w:tcPr>
            <w:tcW w:w="650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CASH—Prepaid and other assets</w:t>
            </w:r>
          </w:p>
        </w:tc>
        <w:tc>
          <w:tcPr>
            <w:tcW w:w="1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FF0FC"/>
          </w:tcPr>
          <w:p>
            <w:pPr>
              <w:spacing w:after="0"/>
              <w:rPr>
                <w:sz w:val="14"/>
                <w:szCs w:val="14"/>
                <w:color w:val="auto"/>
              </w:rPr>
            </w:pPr>
          </w:p>
        </w:tc>
      </w:tr>
      <w:tr>
        <w:trPr>
          <w:trHeight w:val="162"/>
        </w:trPr>
        <w:tc>
          <w:tcPr>
            <w:tcW w:w="65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RESTRICTED CASH—Other non-current assets</w:t>
            </w:r>
          </w:p>
        </w:tc>
        <w:tc>
          <w:tcPr>
            <w:tcW w:w="12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FF0FC"/>
            </w:tcBorders>
          </w:tcPr>
          <w:p>
            <w:pPr>
              <w:spacing w:after="0"/>
              <w:rPr>
                <w:sz w:val="14"/>
                <w:szCs w:val="14"/>
                <w:color w:val="auto"/>
              </w:rPr>
            </w:pPr>
          </w:p>
        </w:tc>
      </w:tr>
      <w:tr>
        <w:trPr>
          <w:trHeight w:val="155"/>
        </w:trPr>
        <w:tc>
          <w:tcPr>
            <w:tcW w:w="65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AND RESTRICTED CASH</w:t>
            </w:r>
          </w:p>
        </w:tc>
        <w:tc>
          <w:tcPr>
            <w:tcW w:w="128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815"/>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37,826</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39,599</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6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SUPPLEMENTAL DISCLOSURES OF CASH FLOW INFORMATION</w:t>
            </w:r>
          </w:p>
        </w:tc>
        <w:tc>
          <w:tcPr>
            <w:tcW w:w="1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Cash paid for interest</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2,321</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4,989</w:t>
            </w:r>
          </w:p>
        </w:tc>
      </w:tr>
      <w:tr>
        <w:trPr>
          <w:trHeight w:val="175"/>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45</w:t>
            </w:r>
          </w:p>
        </w:tc>
        <w:tc>
          <w:tcPr>
            <w:tcW w:w="70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41</w:t>
            </w: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Non-cash consideration paid to contractors</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1,013</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4,032</w:t>
            </w: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Modification of warrants between equity and liability</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75,826</w:t>
            </w:r>
          </w:p>
        </w:tc>
      </w:tr>
      <w:tr>
        <w:trPr>
          <w:trHeight w:val="175"/>
        </w:trPr>
        <w:tc>
          <w:tcPr>
            <w:tcW w:w="6980" w:type="dxa"/>
            <w:vAlign w:val="bottom"/>
          </w:tcPr>
          <w:p>
            <w:pPr>
              <w:spacing w:after="0"/>
              <w:rPr>
                <w:sz w:val="20"/>
                <w:szCs w:val="20"/>
                <w:color w:val="auto"/>
              </w:rPr>
            </w:pPr>
            <w:r>
              <w:rPr>
                <w:rFonts w:ascii="Arial" w:cs="Arial" w:eastAsia="Arial" w:hAnsi="Arial"/>
                <w:sz w:val="15"/>
                <w:szCs w:val="15"/>
                <w:color w:val="auto"/>
              </w:rPr>
              <w:t>Non-cash barter exchange of inventory for advertising credits</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889</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NON-CASH INVESTING AND FINANCING ACTIVITIES:</w:t>
            </w:r>
          </w:p>
        </w:tc>
        <w:tc>
          <w:tcPr>
            <w:tcW w:w="1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75"/>
        </w:trPr>
        <w:tc>
          <w:tcPr>
            <w:tcW w:w="6980" w:type="dxa"/>
            <w:vAlign w:val="bottom"/>
          </w:tcPr>
          <w:p>
            <w:pPr>
              <w:spacing w:after="0"/>
              <w:rPr>
                <w:sz w:val="20"/>
                <w:szCs w:val="20"/>
                <w:color w:val="auto"/>
              </w:rPr>
            </w:pPr>
            <w:r>
              <w:rPr>
                <w:rFonts w:ascii="Arial" w:cs="Arial" w:eastAsia="Arial" w:hAnsi="Arial"/>
                <w:sz w:val="15"/>
                <w:szCs w:val="15"/>
                <w:color w:val="auto"/>
              </w:rPr>
              <w:t>Note payable on acquisition of Truweo</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2,455</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Original issue discount</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2,475</w:t>
            </w:r>
          </w:p>
        </w:tc>
      </w:tr>
      <w:tr>
        <w:trPr>
          <w:trHeight w:val="175"/>
        </w:trPr>
        <w:tc>
          <w:tcPr>
            <w:tcW w:w="6980" w:type="dxa"/>
            <w:vAlign w:val="bottom"/>
          </w:tcPr>
          <w:p>
            <w:pPr>
              <w:spacing w:after="0"/>
              <w:rPr>
                <w:sz w:val="20"/>
                <w:szCs w:val="20"/>
                <w:color w:val="auto"/>
              </w:rPr>
            </w:pPr>
            <w:r>
              <w:rPr>
                <w:rFonts w:ascii="Arial" w:cs="Arial" w:eastAsia="Arial" w:hAnsi="Arial"/>
                <w:sz w:val="15"/>
                <w:szCs w:val="15"/>
                <w:color w:val="auto"/>
              </w:rPr>
              <w:t>Fair value of contingent consideration</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20,971</w:t>
            </w: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Discount of debt relating to warrants issuance</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50,695</w:t>
            </w: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Notes Payable of acquisition</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16,550</w:t>
            </w:r>
          </w:p>
        </w:tc>
      </w:tr>
      <w:tr>
        <w:trPr>
          <w:trHeight w:val="175"/>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Issuance of common stock in connection with Healing Solutions and Photo Paper Direct acquisitions</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50,529</w:t>
            </w:r>
          </w:p>
        </w:tc>
      </w:tr>
      <w:tr>
        <w:trPr>
          <w:trHeight w:val="194"/>
        </w:trPr>
        <w:tc>
          <w:tcPr>
            <w:tcW w:w="6980" w:type="dxa"/>
            <w:vAlign w:val="bottom"/>
          </w:tcPr>
          <w:p>
            <w:pPr>
              <w:spacing w:after="0"/>
              <w:rPr>
                <w:sz w:val="20"/>
                <w:szCs w:val="20"/>
                <w:color w:val="auto"/>
              </w:rPr>
            </w:pPr>
            <w:r>
              <w:rPr>
                <w:rFonts w:ascii="Arial" w:cs="Arial" w:eastAsia="Arial" w:hAnsi="Arial"/>
                <w:sz w:val="15"/>
                <w:szCs w:val="15"/>
                <w:color w:val="auto"/>
              </w:rPr>
              <w:t>Issuance of common stock - debt repayment</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4"/>
              <w:spacing w:after="0"/>
              <w:rPr>
                <w:sz w:val="20"/>
                <w:szCs w:val="20"/>
                <w:color w:val="auto"/>
              </w:rPr>
            </w:pPr>
            <w:r>
              <w:rPr>
                <w:rFonts w:ascii="Arial" w:cs="Arial" w:eastAsia="Arial" w:hAnsi="Arial"/>
                <w:sz w:val="15"/>
                <w:szCs w:val="15"/>
                <w:color w:val="auto"/>
              </w:rPr>
              <w:t>125,562</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2020 and 2021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Aterian, Inc. and its subsidiaries, formerly known as Mohawk Group Holdings, Inc., (“Aterian” or the “Company”), is a technology-enabled consumer products platform that builds, acquires and partners with e-commerce brands. The Company’s proprietary software and agile supply chain helps create a growing base of consumer products. Aterian predominantly operates through online retail channels such as Amazon and Walmart, Inc. The Company owns and operates fourteen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Aterian’s offices can also be found in China, Philippines, Israel and Poland.</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Healing Solutions Acquisition—</w:t>
      </w:r>
      <w:r>
        <w:rPr>
          <w:rFonts w:ascii="Arial" w:cs="Arial" w:eastAsia="Arial" w:hAnsi="Arial"/>
          <w:sz w:val="18"/>
          <w:szCs w:val="18"/>
          <w:color w:val="auto"/>
        </w:rPr>
        <w:t>On February 2, 2021, the Company acquired certain assets of Healing Solutions, LLC (“Healing Solutions”)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its retail and ecommerce business under the Healing Solutions’ brands, Tarvol, Sun Essential Oils and Artizen (among others), which primarily sells essential oils primarily through Amazon and other marketplaces (see Note 10).</w:t>
      </w:r>
    </w:p>
    <w:p>
      <w:pPr>
        <w:spacing w:after="0" w:line="2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Squatty Potty Assets Acquisition—</w:t>
      </w:r>
      <w:r>
        <w:rPr>
          <w:rFonts w:ascii="Arial" w:cs="Arial" w:eastAsia="Arial" w:hAnsi="Arial"/>
          <w:sz w:val="18"/>
          <w:szCs w:val="18"/>
          <w:color w:val="auto"/>
        </w:rPr>
        <w:t>On May 5, 2021</w:t>
      </w:r>
      <w:r>
        <w:rPr>
          <w:rFonts w:ascii="Arial" w:cs="Arial" w:eastAsia="Arial" w:hAnsi="Arial"/>
          <w:sz w:val="18"/>
          <w:szCs w:val="18"/>
          <w:b w:val="1"/>
          <w:bCs w:val="1"/>
          <w:color w:val="auto"/>
        </w:rPr>
        <w:t xml:space="preserve">, the Company acquired the business of e-commerce and retail company Squatty Potty, LLC (“Squatty Potty”), a leading online seller of health and wellness products in an asset purchase transaction. In addition, Squatty Potty products are sold in retail locations including Bed, Bath &amp; Beyond, Walmart and Target </w:t>
      </w:r>
      <w:r>
        <w:rPr>
          <w:rFonts w:ascii="Arial" w:cs="Arial" w:eastAsia="Arial" w:hAnsi="Arial"/>
          <w:sz w:val="18"/>
          <w:szCs w:val="18"/>
          <w:color w:val="auto"/>
        </w:rPr>
        <w:t>(see Note 10).</w:t>
      </w:r>
    </w:p>
    <w:p>
      <w:pPr>
        <w:spacing w:after="0" w:line="2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Photo Paper Direct Acquisition—</w:t>
      </w:r>
      <w:r>
        <w:rPr>
          <w:rFonts w:ascii="Arial" w:cs="Arial" w:eastAsia="Arial" w:hAnsi="Arial"/>
          <w:sz w:val="18"/>
          <w:szCs w:val="18"/>
          <w:color w:val="auto"/>
        </w:rPr>
        <w:t>On May 5, 2021, the Company closed the acquisition of all outstanding stock of e-commerce company Photo Paper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Ltd. (“Photo Paper Direct''), a leading online seller of printing supplies (see Note 10).</w:t>
      </w: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Equity Raise—</w:t>
      </w:r>
      <w:r>
        <w:rPr>
          <w:rFonts w:ascii="Arial" w:cs="Arial" w:eastAsia="Arial" w:hAnsi="Arial"/>
          <w:sz w:val="18"/>
          <w:szCs w:val="18"/>
          <w:color w:val="auto"/>
        </w:rPr>
        <w:t>On June 10, 2021, the Company entered into a Securities Purchase Agreement with certain accredited investors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pursuant to which, among other things, the Company issued and sold to the Investors, in a private placement transaction, an aggregate of 2,666,667 shares of common stock, of the Company (the “Shares”), at an offering price of $15.00 per Share, with proceeds to the Company, net of offering costs, of $36.7 million.</w:t>
      </w:r>
    </w:p>
    <w:p>
      <w:pPr>
        <w:spacing w:after="0" w:line="2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Debt Repayment— </w:t>
      </w:r>
      <w:r>
        <w:rPr>
          <w:rFonts w:ascii="Arial" w:cs="Arial" w:eastAsia="Arial" w:hAnsi="Arial"/>
          <w:sz w:val="18"/>
          <w:szCs w:val="18"/>
          <w:color w:val="auto"/>
        </w:rPr>
        <w:t>On August 9, 2021, the Company’s lender, High Trail Investments SA LLC (“High Trail SA”) and High Trail Investments ON LLC</w:t>
      </w:r>
      <w:r>
        <w:rPr>
          <w:rFonts w:ascii="Arial" w:cs="Arial" w:eastAsia="Arial" w:hAnsi="Arial"/>
          <w:sz w:val="18"/>
          <w:szCs w:val="18"/>
          <w:b w:val="1"/>
          <w:bCs w:val="1"/>
          <w:color w:val="auto"/>
        </w:rPr>
        <w:t xml:space="preserve"> </w:t>
      </w:r>
      <w:r>
        <w:rPr>
          <w:rFonts w:ascii="Arial" w:cs="Arial" w:eastAsia="Arial" w:hAnsi="Arial"/>
          <w:sz w:val="18"/>
          <w:szCs w:val="18"/>
          <w:color w:val="auto"/>
        </w:rPr>
        <w:t>(“High Trail ON” and, together with High Trail SA, “High Trail”) notified the Company that High Trail declared an event of default under the April 2021 Notes (as defined in Note 6) as a result of the Company’s failure to maintain Adjusted EBITDA as required under the terms of the Company’s debt arrangements with High Trail. On September 22, 2021, the Company reached an agreement with High Trail to pay down and amend its outstanding secured term debt (see Note 6).</w:t>
      </w:r>
    </w:p>
    <w:p>
      <w:pPr>
        <w:spacing w:after="0" w:line="1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Going Concern—</w:t>
      </w:r>
      <w:r>
        <w:rPr>
          <w:rFonts w:ascii="Arial" w:cs="Arial" w:eastAsia="Arial" w:hAnsi="Arial"/>
          <w:sz w:val="18"/>
          <w:szCs w:val="18"/>
          <w:color w:val="auto"/>
        </w:rPr>
        <w:t>The Company has been impacted by the impact of the COVID-19 pandemic and related global supply chain disruptions. Together these</w:t>
      </w:r>
      <w:r>
        <w:rPr>
          <w:rFonts w:ascii="Arial" w:cs="Arial" w:eastAsia="Arial" w:hAnsi="Arial"/>
          <w:sz w:val="18"/>
          <w:szCs w:val="18"/>
          <w:b w:val="1"/>
          <w:bCs w:val="1"/>
          <w:color w:val="auto"/>
        </w:rPr>
        <w:t xml:space="preserve"> </w:t>
      </w:r>
      <w:r>
        <w:rPr>
          <w:rFonts w:ascii="Arial" w:cs="Arial" w:eastAsia="Arial" w:hAnsi="Arial"/>
          <w:sz w:val="18"/>
          <w:szCs w:val="18"/>
          <w:color w:val="auto"/>
        </w:rPr>
        <w:t>have led to substantial increases in the costs of its supply chain, in particular, shipping containers, which the Company relies on to import its goods, and have reduced the reliability and timely delivery of such shipping containers and substantially increased the Company’s last mile shipping costs on its oversized goods. These cost increases have been particularly substantial for oversized goods, which are a material part of the Company’s business. The increased cost in our supply chain has negatively impacted the Company in the three months ended September 30, 2021, and the Company believes it will continue to negatively impact the Company for at least the next six to nine months. The reduced reliability and delivery of such shipping containers is forcing the Company to spend more on premium shipping to ensure goods are delivered, if at all, and the lack of reliability and timely delivery has further down supply chain impacts as it takes longer for containers to be offloaded and returned. Further, this global supply chain disruption is forcing the Company to increase its inventory on-hand, including advance ordering and taking possession of inventory earlier than expected, impacting its working capital.</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impacted by the COVID-19 pandemic. In addition, the Company may be adversely impacted by rising costs of the commodity raw materials used to produce its products.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the Company has noticed changes to consumer buying habits, which may have reduced demand for its products. Further, the Company has increased sale prices on the goods it sells to offset the increased supply chain costs which led to reduced demand for its goods. As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such, the Company has reduced its forecasts for 2021 and in August 2021 it withdrew its guidance for 2021 net revenue and Adjusted EBITDA.</w:t>
      </w: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such, these impacts led the Company to breach certain of its covenants with its lender High Trail and High Trail equitized its loan during the third quarter of 2021, reducing an aggregate of $76.3 million of principal amount of its notes through the issuance of an aggregate of 12,154,161 shares of the Company’s common stock and paying down $8.7 million of principal in cash. The remaining $25.0 million term loan is now due in April 2023.The financial Adjusted EBITDA covenants were renegotiated and all other material terms remain the same. As of the date of this Quarterly Report on Form 10-Q, the Company is in compliance with its financial covenants with High Trail.</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 due to this global supply chain disruption, the Company has reduced its forecast for the next twelve months. The Company has been taking, and plans to continue to take, various actions to help improve its financial forecasts and allow it to navigate through this disruption. These actions include, but are not limited to, obtaining new third-party vendors for shipping containers, renegotiating rates with third party last mile providers, postponing or cancelling some or all of its product launches, reducing fixed costs and increasing its inventory on-hand to ensure products are available on time to sell. As there can be no assurance that these actions along with the Company’s operating forecast for the twelve months following the issuance of the accompanying consolidated financial statements will be attained such that the Company will be able to maintain compliance with its financial covenants with its lender and meet its obligations as they become due, these negative financial conditions raise substantial doubt about the Company’s ability to continue as a going concern.</w:t>
      </w:r>
    </w:p>
    <w:p>
      <w:pPr>
        <w:spacing w:after="0" w:line="19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Management plans to continue to closely monitor its operating forecast and may pursue additional sources of financing and/or capital to fund its operations or to continue its merger and acquisition strategy. If the Company is unable to improve its operating results, secure any necessary waivers from its lender, and/or obtain additional sources of financing and capital on acceptable terms (if at all) for its merger and acquisition strategy, the Company may have to make significant changes to its operating plan, such as delay expenditures, reduce investments in new products, delay the development of its software, reduce its sale and distribution infrastructure, or otherwise significantly reduce the scope of its business. The accompanying consolidated financial statements do not include any adjustments that might result from the outcome of this uncertainty.</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COVID-19 Pandemic—</w:t>
      </w:r>
      <w:r>
        <w:rPr>
          <w:rFonts w:ascii="Arial" w:cs="Arial" w:eastAsia="Arial" w:hAnsi="Arial"/>
          <w:sz w:val="17"/>
          <w:szCs w:val="17"/>
          <w:color w:val="auto"/>
        </w:rPr>
        <w:t>The full impact of the COVID-19 pandemic, including the impact associated with preventative and precautionary measures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other businesses and governments are taking, continues to evolve as of the date of this Quarterly Report on Form 10-Q. During 2021, the Company experienced negative impacts to its margins related to increased international freight demands, lack of shipping containers and general international freight congestion due to the continued increased demand of goods being sold on ecommerce marketplaces. The Company has experienced, and expects to continue to experience, an increase in last-mile shipping costs as shipping providers’ delivery networks continue be stressed due to increased demand from the increase of goods sold on ecommerce marketplaces.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the Company has noticed changes in consumer buying habits that may have reduced demand for its products. The Company continues to consider the impact of COVID-19 based on the assumptions and estimates used when preparing the accompanying condensed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the Company's results of operations, financial position, and liquidity.</w:t>
      </w:r>
    </w:p>
    <w:p>
      <w:pPr>
        <w:spacing w:after="0" w:line="28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by the Company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generally accepted accounting principles in the United States (“GAAP”) for interim financial reporting and as required by Rule 10-01 of Regulation S-X. Certain information and note disclosures normally included in the annual financial statements prepared in accordance with GAAP have been condensed or omitted pursuant to such rules and regulations. The condensed consolidated balance sheet as of December 31, 2020 included herein was derived from the Company’s audited consolidated financial statements as of that date. As such, the information included in this Quarterly Report on Form 10-Q should be read in conjunction with the audited consolidated financial statements and the related notes thereto as of and for the year ended December 31, 2020, included in the Company’s Annual Report on Form 10-K filed with the Securities and Exchange Commission on March 16, 2021 (as amended, the “Annual Report”).</w:t>
      </w:r>
    </w:p>
    <w:p>
      <w:pPr>
        <w:spacing w:after="0" w:line="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opinion of the Company’s management, the accompanying unaudited condensed consolidated financial statements contain all adjustments (consisting of items of a normal and recurring nature) necessary to present fairly the financial position as of September 30, 2021, the results of operations for the three and nine months ended September 30, 2020 and 2021, the statements of stockholders’ equity for the three and the nine months ended September 30, 2020 and 2021, and cash flows for the nine months ended September 30,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660"/>
        <w:spacing w:after="0" w:line="277" w:lineRule="auto"/>
        <w:rPr>
          <w:sz w:val="20"/>
          <w:szCs w:val="20"/>
          <w:color w:val="auto"/>
        </w:rPr>
      </w:pPr>
      <w:r>
        <w:rPr>
          <w:rFonts w:ascii="Arial" w:cs="Arial" w:eastAsia="Arial" w:hAnsi="Arial"/>
          <w:sz w:val="18"/>
          <w:szCs w:val="18"/>
          <w:color w:val="auto"/>
        </w:rPr>
        <w:t>2020 and 2021. The results of operations for the three and nine months ended September 30, 2021 are not necessarily indicative of the results to be expected for the full year.</w:t>
      </w:r>
    </w:p>
    <w:p>
      <w:pPr>
        <w:spacing w:after="0" w:line="16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financial statements in conformity with GAAP requires management to make estimates and assumptions that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accompanying condensed consolidated financial statements include the accounts of the Company and its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All inter-company balances and transactions have been eliminated in consolidation.</w:t>
      </w:r>
    </w:p>
    <w:p>
      <w:pPr>
        <w:spacing w:after="0" w:line="162"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color w:val="auto"/>
        </w:rPr>
        <w:t>—As of December 31, 2020, the Company has classified the following as restricted cash: $0.1 million related to its Chinese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within “other non-current assets” on the consolidated balance sheets and $3.3 million related to a returned deposit for inventory that a manufacturer required the Company to pay into an escrow account within “prepaid and other current assets” on the consolidated balance sheets.</w:t>
      </w:r>
    </w:p>
    <w:p>
      <w:pPr>
        <w:spacing w:after="0" w:line="1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September 30, 2021, the Company has classified the following as restricted cash: $0.1 million related to its Chinese subsidiary within “other non-current assets” on the condensed consolidated balance sheets, and $2.0 million related to a letter of credit within “prepaid and other current assets” on the condensed consolidated balance sheets.</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Managed PaaS</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Managed PaaS</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64,920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vMerge w:val="restart"/>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5"/>
          </w:tcPr>
          <w:p>
            <w:pPr>
              <w:ind w:left="680"/>
              <w:spacing w:after="0" w:line="147"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Managed PaaS</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127,316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144,170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5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 2021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5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5"/>
          </w:tcPr>
          <w:p>
            <w:pPr>
              <w:ind w:left="680"/>
              <w:spacing w:after="0" w:line="147"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Wholesale</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Managed PaaS</w:t>
            </w: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178,218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19"/>
                <w:szCs w:val="19"/>
                <w:color w:val="auto"/>
              </w:rPr>
            </w:pPr>
          </w:p>
        </w:tc>
      </w:tr>
      <w:tr>
        <w:trPr>
          <w:trHeight w:val="223"/>
        </w:trPr>
        <w:tc>
          <w:tcPr>
            <w:tcW w:w="5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56"/>
        </w:trPr>
        <w:tc>
          <w:tcPr>
            <w:tcW w:w="5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center"/>
              <w:ind w:left="508"/>
              <w:spacing w:after="0" w:line="155"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gridSpan w:val="4"/>
          </w:tcPr>
          <w:p>
            <w:pPr>
              <w:jc w:val="center"/>
              <w:ind w:right="269"/>
              <w:spacing w:after="0" w:line="155"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29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31,986</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Kitchen appliances</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1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1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Home office</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1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58,443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Managed PaaS</w:t>
            </w:r>
          </w:p>
        </w:tc>
        <w:tc>
          <w:tcPr>
            <w:tcW w:w="19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980" w:type="dxa"/>
            <w:vAlign w:val="bottom"/>
          </w:tcPr>
          <w:p>
            <w:pPr>
              <w:spacing w:after="0"/>
              <w:rPr>
                <w:sz w:val="19"/>
                <w:szCs w:val="19"/>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74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4"/>
                <w:szCs w:val="14"/>
                <w:b w:val="1"/>
                <w:bCs w:val="1"/>
                <w:color w:val="auto"/>
                <w:w w:val="92"/>
              </w:rPr>
              <w:t>Nine Months Ended September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tcBorders>
              <w:bottom w:val="single" w:sz="8" w:color="auto"/>
            </w:tcBorders>
          </w:tcPr>
          <w:p>
            <w:pPr>
              <w:jc w:val="center"/>
              <w:ind w:left="508"/>
              <w:spacing w:after="0" w:line="155"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00" w:type="dxa"/>
            <w:vAlign w:val="bottom"/>
            <w:vMerge w:val="restart"/>
          </w:tcPr>
          <w:p>
            <w:pPr>
              <w:ind w:left="3760"/>
              <w:spacing w:after="0"/>
              <w:rPr>
                <w:sz w:val="20"/>
                <w:szCs w:val="20"/>
                <w:color w:val="auto"/>
              </w:rPr>
            </w:pPr>
            <w:r>
              <w:rPr>
                <w:rFonts w:ascii="Arial" w:cs="Arial" w:eastAsia="Arial" w:hAnsi="Arial"/>
                <w:sz w:val="14"/>
                <w:szCs w:val="14"/>
                <w:b w:val="1"/>
                <w:bCs w:val="1"/>
                <w:color w:val="auto"/>
              </w:rPr>
              <w:t>1</w:t>
            </w:r>
          </w:p>
        </w:tc>
        <w:tc>
          <w:tcPr>
            <w:tcW w:w="2900" w:type="dxa"/>
            <w:vAlign w:val="bottom"/>
            <w:gridSpan w:val="2"/>
            <w:vMerge w:val="restart"/>
          </w:tcPr>
          <w:p>
            <w:pPr>
              <w:jc w:val="center"/>
              <w:ind w:left="2476"/>
              <w:spacing w:after="0"/>
              <w:rPr>
                <w:sz w:val="20"/>
                <w:szCs w:val="20"/>
                <w:color w:val="auto"/>
              </w:rPr>
            </w:pPr>
            <w:r>
              <w:rPr>
                <w:rFonts w:ascii="Arial" w:cs="Arial" w:eastAsia="Arial" w:hAnsi="Arial"/>
                <w:sz w:val="14"/>
                <w:szCs w:val="14"/>
                <w:color w:val="auto"/>
                <w:w w:val="76"/>
              </w:rPr>
              <w:t>0</w:t>
            </w:r>
          </w:p>
        </w:tc>
        <w:tc>
          <w:tcPr>
            <w:tcW w:w="1820" w:type="dxa"/>
            <w:vAlign w:val="bottom"/>
            <w:gridSpan w:val="4"/>
          </w:tcPr>
          <w:p>
            <w:pPr>
              <w:jc w:val="center"/>
              <w:ind w:right="269"/>
              <w:spacing w:after="0"/>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29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71,403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Kitchen appliances</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1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1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Home office</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19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1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143,166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184,089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Managed PaaS</w:t>
            </w:r>
          </w:p>
        </w:tc>
        <w:tc>
          <w:tcPr>
            <w:tcW w:w="19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1980" w:type="dxa"/>
            <w:vAlign w:val="bottom"/>
          </w:tcPr>
          <w:p>
            <w:pPr>
              <w:spacing w:after="0"/>
              <w:rPr>
                <w:sz w:val="19"/>
                <w:szCs w:val="19"/>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144,212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 w:name="page16"/>
    <w:bookmarkEnd w:id="15"/>
    <w:p>
      <w:pPr>
        <w:ind w:right="320"/>
        <w:spacing w:after="0" w:line="282"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—The Company operates under one reporting unit based on the guidance in ASC Topic 350-20 as all of its business components have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characteristics and are managed on an aggregated basis.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engaged a third party valuation specialist to assist in performing its goodwill test in December 2020. The Company concluded that its estimated fair-values exceeded its carrying values by 300% as of the year-ended December 31, 2020. For goodwill, impairment testing is based upon the best information available using a combination of the discounted cash flow method, a form of the income approach, and the guideline public company method, a form of the market approach.</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income approach, or discounted cash flow method, the significant assumptions used are projected net revenue, projected contribution margin (product operating margin before fixed costs), fixed costs, terminal growth rates and the cost of capital. Projected net revenue, projected contribution margin and terminal growth rates were determined to be significant assumptions because they are the three primary drivers of the projected cash flows in the discounted cash flow fair value model. Cost of capital is another significant assumption as the discount rate is used to calculate the current fair value of those projected cash flows. Under the guideline public company method, significant assumptions relate to the selection of appropriate guideline companies and the valuation multiples used in the market analysis.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believes that the assumptions and estimates made are reasonable and appropriate, and changes in the assumptions and estimates could have a material impact on its reported financial results. In addition, sustained declines in the Company’s stock price and related market capitalization could impact key assumptions in the overall estimated fair values of its reporting unit and could result in non-cash impairment charges that could be material to the Company's consolidated balance sheet or results of operations. The Company has produced operating losses through 2019. However, starting in the three months ended September 30, 2020, the Company began to experience improvement in its operating margins and additional improvement in its products performance before the inclusion of fixed costs. These improvements, coupled with the Company’s acquisitions, supported the Company’s conclusion that it would generate significant improvements in the operating results. However, even with a sensitivity analysis on projected operating results, the Company still had significant excess fair-value over its carrying value.</w:t>
      </w:r>
    </w:p>
    <w:p>
      <w:pPr>
        <w:spacing w:after="0" w:line="21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Since December 31, 2020, the Company has had an additional increase in the amount of goodwill through acquisitions made in 2021. Although the Company has experienced volatility in its share price and short-term forecasts, impacting its going concern analysis due lender covenant risks, the Company believes it has had no triggering events as its overall long-term forecasts remain materially the same as of September 30, 2021. However, if the Company continues to experience downward share price volatility or there are material reductions in long-term forecasts the excess fair-value over its carrying value could be reduced significantly and could lead to a triggering event and ultimately to a goodwill impairment charge.</w:t>
      </w:r>
    </w:p>
    <w:p>
      <w:pPr>
        <w:spacing w:after="0" w:line="157"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Fair Value of Financial Instruments</w:t>
      </w:r>
      <w:r>
        <w:rPr>
          <w:rFonts w:ascii="Arial" w:cs="Arial" w:eastAsia="Arial" w:hAnsi="Arial"/>
          <w:sz w:val="16"/>
          <w:szCs w:val="16"/>
          <w:color w:val="auto"/>
        </w:rPr>
        <w:t>—The Company’s financial instruments, including net accounts receivable, accounts payable, and accrued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liabilities are carried at historical cost. On September 30, 2021, the carrying amounts of these instruments approximated their fair values because of their short-term nature. The Company’s credit facility and term loans are carried at amortized cost at December 31, 2020 and there was no credit facility balance at September 30, 2021. The Company considers the inputs utilized to determine the fair value of the borrowings to be Level 2 inputs.</w:t>
      </w:r>
    </w:p>
    <w:p>
      <w:pPr>
        <w:spacing w:after="0" w:line="15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considers the inputs utilized to determine the fair value of the borrowings to be Level 3 inputs. 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a component of stockholders’ equity. As of September 30, 2021, as a result of amendment to the terms of the warrants, during the nine months ended September 30, 2021, the warrants were classified as a component of equity (see Note 6).</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as of December 31, 2020 and September 30, 2021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1"/>
                <w:szCs w:val="21"/>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21"/>
                <w:szCs w:val="21"/>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26,718</w:t>
            </w: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market value of warrant liability</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31,821</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Estimated fair value of contingent earn-out considerations</w:t>
            </w:r>
          </w:p>
        </w:tc>
        <w:tc>
          <w:tcPr>
            <w:tcW w:w="1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22,531</w:t>
            </w:r>
          </w:p>
        </w:tc>
      </w:tr>
      <w:tr>
        <w:trPr>
          <w:trHeight w:val="595"/>
        </w:trPr>
        <w:tc>
          <w:tcPr>
            <w:tcW w:w="5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1"/>
                <w:szCs w:val="21"/>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21"/>
                <w:szCs w:val="21"/>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37,470</w:t>
            </w: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fair value of contingent earn-out considerations</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31,553</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Fair market value of warrant liability</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derivative liability</w:t>
            </w:r>
          </w:p>
        </w:tc>
        <w:tc>
          <w:tcPr>
            <w:tcW w:w="16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1,360</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summary of the activity of the Level 3 liabilities carried at fair value on a recurring basis for the nine months ended September 30, 2021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500" w:type="dxa"/>
            <w:vAlign w:val="bottom"/>
            <w:gridSpan w:val="2"/>
            <w:shd w:val="clear" w:color="auto" w:fill="CFF0FC"/>
          </w:tcPr>
          <w:p>
            <w:pPr>
              <w:jc w:val="right"/>
              <w:ind w:right="36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shd w:val="clear" w:color="auto" w:fill="CFF0FC"/>
          </w:tcPr>
          <w:p>
            <w:pPr>
              <w:spacing w:after="0"/>
              <w:rPr>
                <w:sz w:val="19"/>
                <w:szCs w:val="19"/>
                <w:color w:val="auto"/>
              </w:rPr>
            </w:pPr>
          </w:p>
        </w:tc>
      </w:tr>
      <w:tr>
        <w:trPr>
          <w:trHeight w:val="229"/>
        </w:trPr>
        <w:tc>
          <w:tcPr>
            <w:tcW w:w="9640" w:type="dxa"/>
            <w:vAlign w:val="bottom"/>
          </w:tcPr>
          <w:p>
            <w:pPr>
              <w:spacing w:after="0"/>
              <w:rPr>
                <w:sz w:val="20"/>
                <w:szCs w:val="20"/>
                <w:color w:val="auto"/>
              </w:rPr>
            </w:pPr>
            <w:r>
              <w:rPr>
                <w:rFonts w:ascii="Arial" w:cs="Arial" w:eastAsia="Arial" w:hAnsi="Arial"/>
                <w:sz w:val="18"/>
                <w:szCs w:val="18"/>
                <w:color w:val="auto"/>
              </w:rPr>
              <w:t>Fair value at issuance of contingent earn-out liability</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20,971</w:t>
            </w:r>
          </w:p>
        </w:tc>
        <w:tc>
          <w:tcPr>
            <w:tcW w:w="120" w:type="dxa"/>
            <w:vAlign w:val="bottom"/>
          </w:tcPr>
          <w:p>
            <w:pPr>
              <w:spacing w:after="0"/>
              <w:rPr>
                <w:sz w:val="19"/>
                <w:szCs w:val="19"/>
                <w:color w:val="auto"/>
              </w:rPr>
            </w:pPr>
          </w:p>
        </w:tc>
      </w:tr>
      <w:tr>
        <w:trPr>
          <w:trHeight w:val="230"/>
        </w:trPr>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liability</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(11,949)</w:t>
            </w:r>
          </w:p>
        </w:tc>
      </w:tr>
      <w:tr>
        <w:trPr>
          <w:trHeight w:val="223"/>
        </w:trPr>
        <w:tc>
          <w:tcPr>
            <w:tcW w:w="964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31,553</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500" w:type="dxa"/>
            <w:vAlign w:val="bottom"/>
            <w:gridSpan w:val="2"/>
            <w:shd w:val="clear" w:color="auto" w:fill="CFF0FC"/>
          </w:tcPr>
          <w:p>
            <w:pPr>
              <w:jc w:val="right"/>
              <w:ind w:right="36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120" w:type="dxa"/>
            <w:vAlign w:val="bottom"/>
            <w:shd w:val="clear" w:color="auto" w:fill="CFF0FC"/>
          </w:tcPr>
          <w:p>
            <w:pPr>
              <w:spacing w:after="0"/>
              <w:rPr>
                <w:sz w:val="19"/>
                <w:szCs w:val="19"/>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Modification of warrant liability to equity classification</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(58,276)</w:t>
            </w:r>
          </w:p>
        </w:tc>
      </w:tr>
      <w:tr>
        <w:trPr>
          <w:trHeight w:val="229"/>
        </w:trPr>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120" w:type="dxa"/>
            <w:vAlign w:val="bottom"/>
            <w:shd w:val="clear" w:color="auto" w:fill="CFF0FC"/>
          </w:tcPr>
          <w:p>
            <w:pPr>
              <w:spacing w:after="0"/>
              <w:rPr>
                <w:sz w:val="19"/>
                <w:szCs w:val="19"/>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500" w:type="dxa"/>
            <w:vAlign w:val="bottom"/>
            <w:gridSpan w:val="2"/>
            <w:shd w:val="clear" w:color="auto" w:fill="CFF0FC"/>
          </w:tcPr>
          <w:p>
            <w:pPr>
              <w:jc w:val="right"/>
              <w:ind w:right="36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Fair value at issuance of derivative liability</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(1,894)</w:t>
            </w:r>
          </w:p>
        </w:tc>
      </w:tr>
      <w:tr>
        <w:trPr>
          <w:trHeight w:val="229"/>
        </w:trPr>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FF0FC"/>
          </w:tcPr>
          <w:p>
            <w:pPr>
              <w:spacing w:after="0"/>
              <w:rPr>
                <w:sz w:val="19"/>
                <w:szCs w:val="19"/>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t>opts out of the extended transition period. As a result, the Company’s financial statements may not be comparable to companies that comply with new or revised accounting pronouncements as of public company effective 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its condensed consolidated financial statements.</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2016-13: Financial Instruments – Credit Losses (Topic 326).</w:t>
      </w:r>
      <w:r>
        <w:rPr>
          <w:rFonts w:ascii="Arial" w:cs="Arial" w:eastAsia="Arial" w:hAnsi="Arial"/>
          <w:sz w:val="17"/>
          <w:szCs w:val="17"/>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w:t>
      </w:r>
      <w:r>
        <w:rPr>
          <w:rFonts w:ascii="Arial" w:cs="Arial" w:eastAsia="Arial" w:hAnsi="Arial"/>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color w:val="auto"/>
        </w:rPr>
        <w:t>ASU No. 2018-15, “Customer’s Accounting for Implementation Cost Incurred in a Cloud Computing Arrangement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a Service Contract” </w:t>
      </w:r>
      <w:r>
        <w:rPr>
          <w:rFonts w:ascii="Arial" w:cs="Arial" w:eastAsia="Arial" w:hAnsi="Arial"/>
          <w:sz w:val="16"/>
          <w:szCs w:val="16"/>
          <w:color w:val="auto"/>
        </w:rPr>
        <w:t>(“ASU 2018-15”). Under the new guidance, customers apply the same criteria for capitalizing implementation costs as they would</w:t>
      </w:r>
      <w:r>
        <w:rPr>
          <w:rFonts w:ascii="Arial" w:cs="Arial" w:eastAsia="Arial" w:hAnsi="Arial"/>
          <w:sz w:val="16"/>
          <w:szCs w:val="16"/>
          <w:i w:val="1"/>
          <w:iCs w:val="1"/>
          <w:color w:val="auto"/>
        </w:rPr>
        <w:t xml:space="preserve"> </w:t>
      </w:r>
      <w:r>
        <w:rPr>
          <w:rFonts w:ascii="Arial" w:cs="Arial" w:eastAsia="Arial" w:hAnsi="Arial"/>
          <w:sz w:val="16"/>
          <w:szCs w:val="16"/>
          <w:color w:val="auto"/>
        </w:rPr>
        <w:t>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condensed consolidated financial statements.</w:t>
      </w:r>
    </w:p>
    <w:p>
      <w:pPr>
        <w:spacing w:after="0" w:line="16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In August 2020, the FASB issued </w:t>
      </w:r>
      <w:r>
        <w:rPr>
          <w:rFonts w:ascii="Arial" w:cs="Arial" w:eastAsia="Arial" w:hAnsi="Arial"/>
          <w:sz w:val="18"/>
          <w:szCs w:val="18"/>
          <w:i w:val="1"/>
          <w:iCs w:val="1"/>
          <w:color w:val="auto"/>
        </w:rPr>
        <w:t>ASU No. 2020-06, “Debt—Debt with Conversion and Other Options (Topic 470)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(Topic 814): Accounting for Convertible Instruments and Contracts in an Entity’s Own Equity” </w:t>
      </w:r>
      <w:r>
        <w:rPr>
          <w:rFonts w:ascii="Arial" w:cs="Arial" w:eastAsia="Arial" w:hAnsi="Arial"/>
          <w:sz w:val="18"/>
          <w:szCs w:val="18"/>
          <w:color w:val="auto"/>
        </w:rPr>
        <w:t>(“ASU 2020-06”).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condensed consolidated financial statements.</w:t>
      </w:r>
    </w:p>
    <w:p>
      <w:pPr>
        <w:spacing w:after="0" w:line="32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2020 and September 30,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2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61,502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27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9,771</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7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71,273</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80" w:type="dxa"/>
            <w:vAlign w:val="bottom"/>
            <w:vMerge w:val="restart"/>
          </w:tcPr>
          <w:p>
            <w:pPr>
              <w:jc w:val="right"/>
              <w:ind w:right="12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120"/>
        <w:spacing w:after="0" w:line="279" w:lineRule="auto"/>
        <w:rPr>
          <w:sz w:val="20"/>
          <w:szCs w:val="20"/>
          <w:color w:val="auto"/>
        </w:rPr>
      </w:pPr>
      <w:r>
        <w:rPr>
          <w:rFonts w:ascii="Arial" w:cs="Arial" w:eastAsia="Arial" w:hAnsi="Arial"/>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$5.3 million and $11.1 million as of December 31, 2020 and September 30, 2021, respectively.</w:t>
      </w:r>
    </w:p>
    <w:p>
      <w:pPr>
        <w:spacing w:after="0" w:line="27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2020 and September 30, 2021:</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23"/>
        </w:trPr>
        <w:tc>
          <w:tcPr>
            <w:tcW w:w="38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jc w:val="right"/>
              <w:ind w:right="595"/>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4,901</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Restricted cash</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Borders>
              <w:bottom w:val="single" w:sz="8" w:color="CFF0FC"/>
            </w:tcBorders>
          </w:tcPr>
          <w:p>
            <w:pPr>
              <w:spacing w:after="0"/>
              <w:rPr>
                <w:sz w:val="19"/>
                <w:szCs w:val="19"/>
                <w:color w:val="auto"/>
              </w:rPr>
            </w:pPr>
          </w:p>
        </w:tc>
      </w:tr>
      <w:tr>
        <w:trPr>
          <w:trHeight w:val="223"/>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2020 and September 30,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4"/>
          </w:tcPr>
          <w:p>
            <w:pPr>
              <w:jc w:val="right"/>
              <w:ind w:right="772"/>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Sales return reserve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fulfillment expense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insurance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2,286</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Federal payroll taxes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payable to seller</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accruals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301"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facility consisted of the following as of December 31, 2020 and September 30, 2021: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3360" w:type="dxa"/>
            <w:vAlign w:val="bottom"/>
            <w:tcBorders>
              <w:top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12,905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3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 MidCap Credit Facility</w:t>
            </w:r>
          </w:p>
        </w:tc>
        <w:tc>
          <w:tcPr>
            <w:tcW w:w="3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60" w:type="dxa"/>
            <w:vAlign w:val="bottom"/>
            <w:vMerge w:val="restart"/>
          </w:tcPr>
          <w:p>
            <w:pPr>
              <w:jc w:val="right"/>
              <w:ind w:right="197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23, 2018, the Company entered into the three-year $25.0 million revolving credit facility (the “Credit Facility”) with MidCap Funding IV Trust (“MidCap”) as agent and lenders party thereto. The Credit Facility could be increased, subject to certain conditions, to $50.0 million. Loans under the Credit Facility were determined based on percentages of the Company’s eligible accounts receivable and eligible inventory. The Credit Facility bore interest at a rate of the London Interbank Offered Rate (“LIBOR”) plus 5.75% for outstanding borrowings. The Company was required to pay a facility availability fee of 0.5% on the average unused portion of the Credit Facility.</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1, 2020, the Company, certain of the Company’s subsidiaries and MidCap entered into an amendment to the Credit Facility, (i) providing for a $30.0 million revolving credit facility, which could be increased, subject to certain conditions, to $50.0 million, (ii) permitting the incurrence of certain debt under certain conditions and restrictions, including the senior secured note with an aggregate principal amount of $43.0 million issued on December 1, 2020 (as amended, the “December 2020 Note”), (iii) permitting certain payments to High Trail SA as required under the December 2020 Note, and</w:t>
      </w:r>
    </w:p>
    <w:p>
      <w:pPr>
        <w:spacing w:after="0" w:line="1" w:lineRule="exact"/>
        <w:rPr>
          <w:sz w:val="20"/>
          <w:szCs w:val="20"/>
          <w:color w:val="auto"/>
        </w:rPr>
      </w:pPr>
    </w:p>
    <w:p>
      <w:pPr>
        <w:ind w:right="160" w:firstLine="8"/>
        <w:spacing w:after="0" w:line="260" w:lineRule="auto"/>
        <w:tabs>
          <w:tab w:leader="none" w:pos="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permitting the acquisition of the assets of an e-commerce business under the brands Mueller, Pursteam, Pohl and Schmitt, and Spiralizer (the “Smash Assets”). Further, the Credit Facility was extended to November 23, 2022.</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Credit Facility contained a minimum liquidity financial covenant that required the Company to maintain a minimum of $6.5 million in cash on hand or availability in the Credit Facility. The Company was in compliance with the financial covenants contained within the Credit Facility as of December 31, 2020.</w:t>
      </w:r>
    </w:p>
    <w:p>
      <w:pPr>
        <w:spacing w:after="0" w:line="184"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color w:val="auto"/>
        </w:rPr>
        <w:t>As of December 31, 2020, there was $12.9 million outstanding on the Credit Facility and an available balance of approximately $1.4 million and as of September 30, 2021, there was no outstanding balance on the Credit Facility.</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April 8, 2021, the Company paid off all obligations owing under, and terminated, the Credit Facility. The Company recorded $1.5 million of extinguishment of debt for each of the three and nine months ended September 30, 2021, which has been classified within loss on extinguishment of debt on the condensed consolidated statements of operations.</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Pursuant to the Credit Facility, upon the payment of the amounts outstanding under the Credit Facility, the Company paid a prepayment fee and a payoff letter preparation fee in an aggregate amount equal to 4.3% of the then outstanding principal balance of the Credit Facility.</w:t>
      </w:r>
    </w:p>
    <w:p>
      <w:pPr>
        <w:spacing w:after="0" w:line="14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recorded interest expense from the Credit Facility of approximately $0.4 million and $0.0 million for the three months ended September 30, 2020 and 2021, respectively, which included $0.2 million and $0.0 million, respectively, relating to debt issuance costs. The Company recorded interest</w:t>
      </w:r>
    </w:p>
    <w:p>
      <w:pPr>
        <w:ind w:right="660"/>
        <w:spacing w:after="0" w:line="260" w:lineRule="auto"/>
        <w:rPr>
          <w:sz w:val="20"/>
          <w:szCs w:val="20"/>
          <w:color w:val="auto"/>
        </w:rPr>
      </w:pPr>
      <w:r>
        <w:rPr>
          <w:rFonts w:ascii="Arial" w:cs="Arial" w:eastAsia="Arial" w:hAnsi="Arial"/>
          <w:sz w:val="18"/>
          <w:szCs w:val="18"/>
          <w:color w:val="auto"/>
        </w:rPr>
        <w:t>expense from the Credit Facility of approximately $1.6 million and $0.4 million for the nine months ended September 30, 2020 and 2021, respectively, which included $0.5 million and $0.1 million, respectively, relating to debt issuance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31, 2018, the Company entered into a term loan agreement (the “Horizon Loan Agreement”) with Horizon Technology Finance Corporation (“Horizon”). As part of the Horizon Loan Agreement, the Company obtained a four-year $15.0 million term loan (the “Horizon Term Loan”). The Horizon Term Loan bore interest at 9.90% plus the amount by which one-month LIBOR exceeded 2.50% for outstanding borrowings, and payments on principal were made on a monthly basis. The maturity date of the Horizon Term Loan was January 2023.</w:t>
      </w:r>
    </w:p>
    <w:p>
      <w:pPr>
        <w:spacing w:after="0" w:line="17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December 1, 2020, the Company paid off all remaining obligations under the Horizon Term Loan for $15.0 million and terminated the Horizon Term Loan. The Company recorded interest expense from the Horizon Term Loan of $1.5 million and $0.0 million for the nine months ended September 30, 2020 and 2021, respectively, which included $0.4 million and $0.0 million, respectively, relating to debt issuance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Loan December 2020 Note</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1, 2020, the Company refinanced the Horizon Term Loan through the issuance of the December 2020 Note to High Trail SA. The Company received gross proceeds of $38.0 million in exchange for the December 2020 Note with an aggregate principal amount of $43.0 million. The December 2020 Note was to be repaid over 24 equal monthly cash payments of $1.8 million.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December 2020 Note consisted of the following as of December 31, 2020: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236"/>
        </w:trPr>
        <w:tc>
          <w:tcPr>
            <w:tcW w:w="9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(in thousands)</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December 2020 Note</w:t>
            </w: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(9,839)</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(4,692)</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12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December 2020 Note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58,083</w:t>
            </w:r>
          </w:p>
        </w:tc>
        <w:tc>
          <w:tcPr>
            <w:tcW w:w="12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(21,600)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December 2020 Note contained a minimum liquidity financial covenant that required the Company to maintain a minimum of $10.0 million in unrestricted cash on hand. Additionally, as of the last day of each applicable fiscal quarter, the Company was required to maintain Adjusted EBITDA amounts for the 12-month period ending on such day, as defined in the December 2020 Note. The Company was in compliance with the December 2020 Note’s financial covenants as of December 31, 2020.</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December 2020 Note was extinguished on April 8, 2021 in exchange for an April 2021 Note (see the discussion under the heading High Trail April 2021 Note of this Note 6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February 2021 Note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February 2, 2021, the Company entered into a second, separate transaction with High Trail, where it entered into a securities purchase agreement with High Trail ON for a 0% coupon senior secured promissory note in an aggregate principal amount of $16.5 million (as amended, the “February 2021 Note”) that was to mature on February 1,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April 2021 Note</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April 8, 2021, the Company refinanced all its existing debt with High Trail and Midcap. As such, the Company entered into a new securities purchase and exchange agreement (the “Securities Purchase Agreement”) with High Trail SA and High Trail ON, pursuant to which, among other things, the Company issued and sold to High Trail, in a private placement transaction (the “Private Placement”), (i) senior secured promissory notes in an aggregate principal amount of $110.0 million (the “April 2021 Notes”) that accrued interest at a rate of 8% per annum and mature on April 8, 2024, and (ii) warrants (the “Warrants” and each, a “Warrant”) to purchase up to an aggregate of 2,259,166 shares of the Company’s common stock in exchange for: (a) a cash payment by High Trail to the Company of $57.7 million, (b) the December 2020 Note, and (c) the February 2021 Note.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$14.8 million of the net proceeds from the Private Placement to repay all amounts owed under the Credit Facility on April 8, 2021.</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ASC 470, Debt, the Company concluded the High Trail April 2021 Note transaction resulted in the extinguishment of the two prior High Trail December 2020 and February 2021 term loans in the amount of $28.2 million of extinguishment of which has been classified within loss on extinguishment of debt on the condensed consolidated statements of operations.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breached its Adjusted EBITDA covenant with its lender, High Trail and the Company secured a waiver from its lender with the partial repayment of the loan. See High Trail Letter Agreements and Omnibus Amendment section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April Letter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would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 (the “Restricted Shares”), and (iii) High Trail SA and High Trail ON agreed to waive any Default or Event of Default (as such terms are defined in the December 2020 Note or the February 2021 Note) caused by the Company’s failure to file the Resale Registration Statement by March 26,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t>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amended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w:t>
      </w:r>
    </w:p>
    <w:p>
      <w:pPr>
        <w:spacing w:after="0" w:line="17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Warrant Amendments to the February Warrant, the Penny Warrant and the Additional Warrant resulted in an $80.0 million reclassification from a liability to a component of equity as of June 30, 2021 and resulted in a $21.3 million reclassification from a component of equity to a liability as of September 30, 2021.</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Restricted Shares were expensed as part of extinguishment loss, valued based on the fair market value on April 8, 2021 for $4.1 million for each of the nine months ended September 30, 2021, with the offset impacting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Trail Letter Agreements and Omnibus Amendment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 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w:t>
      </w:r>
    </w:p>
    <w:p>
      <w:pPr>
        <w:spacing w:after="0" w:line="1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paid High Trail an aggregate of $10.1 million in cash on August 9, 2021 and in accordance with the April 2021 Notes and the August Letter Agreements, paid the remaining $11.7 million of the Current Event of Default Acceleration Amount by issuing to High Trail an aggregate of 2,841,251 shares of common stock (with the shares issued at a price of $4.1007 per share, which was, in accordance with the April 2021 Notes, equal to 80% of the Daily VWAP on August 9, 2021.</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is now required for certain merger and acquisition activity; (iv) the Company agreed that the exercise prices of the following warrants to purchase shares of the Company’s common stock previously issued to High Trail will be modified to be equal to the lesser of: (X) the closing price of the Company’s common stock on August 9, 2021 or (Y) the VWAP of the Company’s common stock on August 9, 2021: (1) the February Warrant; (2) the Additional Warrant; and (3) the Warrants (collectively, the “High Trail Warrants”); (v) High Trail agreed that it would not exercise the High Trail Warrants prior to October 17, 2021 (the day that was 60 days after the registration statement registering for resale the 2,666,667 shares of common stock the Company issued on June 15, 2021 was declared effective); and (vi) if, at any time on or after January 7, 2022, High Trail is unable to exercise the High Trail Warrants due to the agreement described in clause (v), the Company agreed to pay High Trail, as liquidated damages, a cash payment that will be equal to (a) the weighted average price of the Company’s common stock on the date High Trail seeks to exercise any of the High Trail Warrants, minus the then-current exercise price of the High Trail Warrants, multiplied by (b) the number of shares subject to the High Trail Warrants that it then desires to exercise.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High Trail Debt Repayment</w:t>
      </w:r>
    </w:p>
    <w:p>
      <w:pPr>
        <w:spacing w:after="0" w:line="11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On September 22, 2021, the Company entered into letter agreements (the “September Letter Agreements”) with High Trail with respect to the April 2021 Notes. Pursuant to the September Letter Agreements, (i) High Trail notified the Company that High Trail declared events of default under the April 2021 Notes and further notified the Company that High Trail accelerated an aggregate of $66.3 million of the principal amount of the April 2021 Notes, requiring the Company to pay $76.9 million (such amount equal to 115% of the principal amount that was accelerated, as required under the terms of the April 2021Notes, plus $0.3 million of accrued but unpaid interest on the principal amount that was accelerated) (collectively, the “Acceleration Amount”),</w:t>
      </w:r>
    </w:p>
    <w:p>
      <w:pPr>
        <w:spacing w:after="0" w:line="2" w:lineRule="exact"/>
        <w:rPr>
          <w:sz w:val="20"/>
          <w:szCs w:val="20"/>
          <w:color w:val="auto"/>
        </w:rPr>
      </w:pPr>
    </w:p>
    <w:p>
      <w:pPr>
        <w:ind w:right="140" w:firstLine="8"/>
        <w:spacing w:after="0" w:line="269"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 Trail agreed, contingent and effective upon the repayment of the Acceleration Amount in shares of the Company’s common stock in accordance with the April 2021 Notes and the September Letter Agreements and the satisfaction of all of the Company’s other obligations under the September Letter Agreements and the Second Omnibus Amendment (as defined below), to waive the events of default, (iii) the Company agreed that until November 1, 2021, the Company will not, subject to certain exceptions, issue, offer, sell or otherwise dispose of any equity security, equity-linked security or related security, and (iv) the Company agreed that, as a result of the occurrence of the events of default, it no longer has the right to require High Trail to exercise the High Trail Warrants if the price of the Company’s common stock exceeds 200% of the exercise price of the High Trail Warrants for 20 consecutive trading days and certain other conditions were satisfied.</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April 2021 Notes, High Trail has the right, by delivering a notice to the Company (each, a “Stock Payment Notice”) to require the Company to satisfy its obligation to repay all or any portion of the Acceleration Amount in shares of the Company’s common stock, with the number of shares issuable determined by dividing the portion of the Acceleration Amount that High Trail requests, pursuant to a Stock Payment Notice, to be repaid in shares of the Company’s common stock, by 80% of the lesser of (A) the Daily VWAP (as defined in the April 2021 Notes) on the date of delivery of the Stock Payment Notice, and (B) the average of the lowest two Daily VWAPs during the ten (10) day VWAP trading period ending on the date of delivery of the Stock Payment Notice. Pursuant to the September Letter Agreements, High Trail agreed to deliver Stock Payment Notices as soon as it is practicable to do so without High Trail and its affiliates collectively beneficially owning in the aggregate in excess of 9.99% of the Company’s outstanding common stock.</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September Letter Agreements, on September 22, 2021, the Company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April 2021 Notes was modified to include an exception for certain acquisitions of all or substantially all of the assets of another person or a majority of the equity interests of another person; (iii) the definition of “Target Adjusted EBITDA” was modified to reflect certain updated projections of the Company; (iv) the liquidity requirements as set forth in the Omnibus Amendment were removed; (v) the minimum cash threshold covenant was changed from $30.0 million to $15.0 million; (vi) the definition of “Adjusted EBITDA” in the April 2021 Notes was modified to be equal to not less than the Target Adjusted EBITDA for the three-month period ending on the last day of each applicable fiscal quarter instead of the 12-month period ending on such day; and (vii) the exercise prices of the High Trail Warrants were modified to be equal to $0.01. High Trail reserved the right to void the term of the Second Omnibus Amendment in full or in part in the event that the Company breaches any of the terms of the September Letter Agreements or otherwise fails to timely deliver shares of stock of the Company to High Trail as required thereunder.</w:t>
      </w:r>
    </w:p>
    <w:p>
      <w:pPr>
        <w:spacing w:after="0" w:line="18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accordance with the April 2021 Notes and the September Letter Agreements, effective September 22, 2021, the Company issued to High Trail an aggregate of 3,474,814 shares of its common stock, and effective September 23, 2021, the Company issued to High Trail an aggregate of 5,838,096 shares of its common stock, satisfying its obligation to repay the Acceleration Amount in full.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Pursuant to ASC 470, Debt, the Company concluded that as a result of the High Trail Letter Agreements and Omnibus Amendment and the High Trail Debt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Repayment, the April 2021 Notes were extinguished on September 22, 2021 in exchange for the Notes due April 2023 of $25.0 million.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$107.0 million of extinguishment of debt for the three months ended September 30, 2021 which has been classified within loss on extinguishment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debt on the condensed consolidated statements of operations. For the nine months ended September 30, 2021, the Company has recorded a total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$136.8 million of debt extinguishment loss which includes the $107.0 million from the High Trail Letter Agreements and Omnibus Amendment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High Trail Debt Repayment, $28.2 million from the High Trail December 2020 and February 2021 term loans as part of the issuance of the April 2021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 and $1.5 million from the repayment of the Credit Facility.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remaining term loan with High Trail due April 2023 is summarized below as of September 30, 2021:</w:t>
      </w:r>
    </w:p>
    <w:p>
      <w:pPr>
        <w:spacing w:after="0" w:line="200" w:lineRule="exact"/>
        <w:rPr>
          <w:sz w:val="20"/>
          <w:szCs w:val="20"/>
          <w:color w:val="auto"/>
        </w:rPr>
      </w:pPr>
    </w:p>
    <w:p>
      <w:pPr>
        <w:spacing w:after="0" w:line="246" w:lineRule="exact"/>
        <w:rPr>
          <w:sz w:val="20"/>
          <w:szCs w:val="20"/>
          <w:color w:val="auto"/>
        </w:rPr>
      </w:pPr>
    </w:p>
    <w:p>
      <w:pPr>
        <w:jc w:val="center"/>
        <w:ind w:left="9100"/>
        <w:spacing w:after="0"/>
        <w:rPr>
          <w:sz w:val="20"/>
          <w:szCs w:val="20"/>
          <w:color w:val="auto"/>
        </w:rPr>
      </w:pPr>
      <w:r>
        <w:rPr>
          <w:rFonts w:ascii="Arial" w:cs="Arial" w:eastAsia="Arial" w:hAnsi="Arial"/>
          <w:sz w:val="12"/>
          <w:szCs w:val="12"/>
          <w:b w:val="1"/>
          <w:bCs w:val="1"/>
          <w:color w:val="auto"/>
        </w:rPr>
        <w:t>September 30,</w:t>
      </w:r>
    </w:p>
    <w:p>
      <w:pPr>
        <w:spacing w:after="0" w:line="27"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-3175</wp:posOffset>
            </wp:positionV>
            <wp:extent cx="119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64" w:lineRule="exact"/>
        <w:rPr>
          <w:sz w:val="20"/>
          <w:szCs w:val="20"/>
          <w:color w:val="auto"/>
        </w:rPr>
      </w:pPr>
    </w:p>
    <w:p>
      <w:pPr>
        <w:ind w:left="9780"/>
        <w:spacing w:after="0"/>
        <w:rPr>
          <w:sz w:val="20"/>
          <w:szCs w:val="20"/>
          <w:color w:val="auto"/>
        </w:rPr>
      </w:pPr>
      <w:r>
        <w:rPr>
          <w:rFonts w:ascii="Arial" w:cs="Arial" w:eastAsia="Arial" w:hAnsi="Arial"/>
          <w:sz w:val="13"/>
          <w:szCs w:val="13"/>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April 2021 Note - Due 2023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Derivative liability related to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2021 Note - Due 2023</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25,000</w:t>
      </w:r>
    </w:p>
    <w:p>
      <w:pPr>
        <w:spacing w:after="0" w:line="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454</w:t>
      </w:r>
    </w:p>
    <w:p>
      <w:pPr>
        <w:spacing w:after="0" w:line="35" w:lineRule="exact"/>
        <w:rPr>
          <w:sz w:val="20"/>
          <w:szCs w:val="20"/>
          <w:color w:val="auto"/>
        </w:rPr>
      </w:pPr>
    </w:p>
    <w:p>
      <w:pPr>
        <w:ind w:left="1365" w:hanging="1365"/>
        <w:spacing w:after="0"/>
        <w:tabs>
          <w:tab w:leader="none" w:pos="13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25,454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1912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535" w:space="720"/>
            <w:col w:w="1985"/>
          </w:cols>
          <w:pgMar w:left="320" w:top="5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and nine months ended September 30, 2020 and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6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0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11"/>
                <w:szCs w:val="11"/>
                <w:color w:val="auto"/>
              </w:rPr>
            </w:pPr>
          </w:p>
        </w:tc>
        <w:tc>
          <w:tcPr>
            <w:tcW w:w="108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r>
      <w:tr>
        <w:trPr>
          <w:trHeight w:val="171"/>
        </w:trPr>
        <w:tc>
          <w:tcPr>
            <w:tcW w:w="6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55"/>
        </w:trPr>
        <w:tc>
          <w:tcPr>
            <w:tcW w:w="6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3,177</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r>
      <w:tr>
        <w:trPr>
          <w:trHeight w:val="223"/>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issuance of the December 2020 Note, the Company issued to High Trail SA a warrant to purchase an aggregate of 2,864,133 shares of its common stock at an exercise price of $9.01 per share (the “December Warrant”). The December Warrant initially provided that it would be exercisable on June 1, 2021, expire five years from the date of issuance and be exercisable on a cash basis, unless there was not an effective registration statement covering the resale of the shares issuable upon exercise of the December Warrant, in which case the December Warrant would also be exercisable on a cashless exercise basis at High Trail SA’s election. The December Warrant included a provision that gave the Company the right to require High Trail SA to exercise the December Warrant if the price of the common stock of the Company exceeded 200% of the exercise price of the December Warrant for 20 consecutive trading days and certain other conditions were satisfied. The Company utilized the Monte-Carlo Simulation model to determine the fair value of the December Warrant.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warranty line item on the statement of operations. As of December 1, 2020, the initial fair value of the December Warrant on issuance was $10.5 million, which has been recorded as a debt discount against the December 2020 Note. During the year ended December 31, 2020, the fair value amount of this warrant liability was approximately $31.8 million, which includes a change of fair value impact of approximately $21.3 million.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2021, the Company entered into a letter agreement with High Trail SA (the “Letter Agreement”), pursuant to which, among other things,</w:t>
      </w:r>
    </w:p>
    <w:p>
      <w:pPr>
        <w:spacing w:after="0" w:line="46" w:lineRule="exact"/>
        <w:rPr>
          <w:sz w:val="20"/>
          <w:szCs w:val="20"/>
          <w:color w:val="auto"/>
        </w:rPr>
      </w:pPr>
    </w:p>
    <w:p>
      <w:pPr>
        <w:ind w:firstLine="8"/>
        <w:spacing w:after="0" w:line="267"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High Trail SA agreed to amend the terms of the December Warrant, to provide that the December Warrant was immediately exercisable on a cash basis, (ii) High Trail SA agreed to exercise 980,000 shares of the Company’s common stock subject to the December Warrant (the “December Warrant Shares”) for an aggregate payment to the Company of $8.8 million, (iii) High Trail SA and the Company agreed to cancel the unexercised portion of the December Warrant in exchange for an aggregate payment by High Trail SA to the Company of $17.0 million and the issuance by the Company to High Trail SA of a warrant to purchase 1,884,133 shares of the Company’s common stock (the “Penny Warrant”), (iv) the Company agreed to seek stockholder approval (collectively, the “Stockholder Approvals”) at a stockholder meeting to be held no later than May 31, 2021 (the “Stockholder Meeting”) to issue shares of the Company’s common stock in excess of the limitations imposed by Nasdaq Listing Standard Rule 5635(a) and/or 5635(d) (collectively, the “Nasdaq Rules”) pursuant to the Additional Warrant (as defined below), the December Note, the February Note, that certain Warrant to purchase common stock issued by the Company to High Trail ON on February 2, 2021 (as amended, the “</w:t>
      </w:r>
      <w:r>
        <w:rPr>
          <w:rFonts w:ascii="Arial" w:cs="Arial" w:eastAsia="Arial" w:hAnsi="Arial"/>
          <w:sz w:val="17"/>
          <w:szCs w:val="17"/>
          <w:u w:val="single" w:color="auto"/>
          <w:color w:val="auto"/>
        </w:rPr>
        <w:t>February Warrant</w:t>
      </w:r>
      <w:r>
        <w:rPr>
          <w:rFonts w:ascii="Arial" w:cs="Arial" w:eastAsia="Arial" w:hAnsi="Arial"/>
          <w:sz w:val="17"/>
          <w:szCs w:val="17"/>
          <w:color w:val="auto"/>
        </w:rPr>
        <w:t>”) and that certain Asset Purchase Agreement, dated February 2, 2021, by and among the Company and Truweo, LLC, as purchaser, Healing Solutions, Jason R. Hope, and for the purposes of Section 5.11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4" w:name="page25"/>
    <w:bookmarkEnd w:id="24"/>
    <w:p>
      <w:pPr>
        <w:ind w:right="120"/>
        <w:spacing w:after="0" w:line="293" w:lineRule="auto"/>
        <w:rPr>
          <w:sz w:val="20"/>
          <w:szCs w:val="20"/>
          <w:color w:val="auto"/>
        </w:rPr>
      </w:pPr>
      <w:r>
        <w:rPr>
          <w:rFonts w:ascii="Arial" w:cs="Arial" w:eastAsia="Arial" w:hAnsi="Arial"/>
          <w:sz w:val="16"/>
          <w:szCs w:val="16"/>
          <w:color w:val="auto"/>
        </w:rPr>
        <w:t>Article VII, Super Transcontinental Holdings LLC (the “Asset Purchase Agreement”), (v) the Company agreed to issue to High Trail SA a warrant to purchase 750,000 shares of the Company’s common stock (the “Additional Warrant”), (vi) the Company agreed to prepare and file by March 26, 2021 a registration statement (the “Registration Statement”) with the Securities and Exchange Commission for the purpose of registering for resale the December Warrant Shares and the shares issuable upon exercise of the Penny Warrant (the “Penny Warrant Shares”), and (vii) High Trail SA agreed, for the first 30 days following the effectiveness of the Registration Statement, not to sell, or otherwise transfer or dispose of the December Warrant Shares or Penny Warrant Shares on any day in an amount that is greater than 10% of the trading volume of the Company’s common stock for such day.</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Letter Agreement, High Trail SA exercised the December Warrant and the Company issued the Penny Warrant and the Additional Warrant to High Trail SA on February 9, 2021. On February 8, 2021, the Company entered into (i) an amendment (the “2022 Note Amendment”) to the December 2020 Note, (ii) an amendment (the “2023 Note Amendment”) to the February 2021 Note, and (iii) an amendment (the “Warrant Amendment”) to the February Warrant.</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2022 Note Amendment and the 2023 Note Amendment amended the December 2020 Note and the February 2021 Note, respectively, to provide that no shares of common stock may be issued pursuant thereto unless the Company obtained the Stockholder Approvals to issue shares of Company’s common stock pursuant thereto in excess of the limitations imposed by the Nasdaq Rules.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Warrant Amendment amended the February Warrant to provide that: (i) it may only be exercised for up to 134,348 shares of Company’s common stock unless the Company obtained the Stockholder Approval contemplated by the Nasdaq Rules to issue additional shares of Company’s common stock in excess of 134,348 shares, (ii) its term shall be the later of five years from the date of issuance and the date that is one year from the date that the Stockholder Approvals are obtained, and (iii) the beneficial ownership limitation is increased from 4.99% to 9.99%. The initial fair value of the February Warrant and the Additional Warrant on issuance was $10.9 million, which was recorded as a debt discount against the February 2021 Note.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Company obtained the Stockholder Approvals contemplated by the Nasdaq Rules at a special meeting of stockholders held on April 1, 2021.</w:t>
      </w:r>
    </w:p>
    <w:p>
      <w:pPr>
        <w:spacing w:after="0" w:line="237"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August 9, 2021, Warrant Amendments to the February Warrant, the Penny Warrant and the Additional Warrant resulted in a $21.3 million reclassification from a component of equity to a liability.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19, 2021, the Registration Statement became effective, resulting in a reclassification the February Warrant, the Penny Warrant and the Additional Warrant from a liability to a component of equity. The Company re-measured the warrants at this date, which resulted in an $(8.1) million change in fair value of the warrants, which has recorded to the Change in Fair Value of Warrant Liability line item on the condensed consolidated statement of operations.</w:t>
      </w:r>
    </w:p>
    <w:p>
      <w:pPr>
        <w:spacing w:after="0" w:line="18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September 22, 2021, the Second Omnibus Amendment (see above) resulted in the February, Penny and Additional warrants being modified, resulting in a $17.4 million change in fair value of the warrants, which was recorded to Additional paid in capital.</w:t>
      </w:r>
    </w:p>
    <w:p>
      <w:pPr>
        <w:spacing w:after="0" w:line="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Effective October 21, 2021, High Trail exercised all of the High Trail Warrants in full, and the Company issued an aggregate of 3,479,097 shares of its common stock upon such exercises.</w:t>
      </w:r>
    </w:p>
    <w:p>
      <w:pPr>
        <w:spacing w:after="0" w:line="8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board of directors of Aterian Group, Inc., a subsidiary of the Company (“AGI”), adopted, and AGI’s stockholders approved, the Mohawk Group, Inc. 2014 Equity Incentive Plan on June 11, 2014. On March 1, 2017, AGI’s board of directors adopted, and AGI’s stockholders approved, an amendment and restatement of the 2014 Equity Incentive Plan (as amended, the “Aterian 2014 Plan”). As of September 30, 2021, 60,509 shares were reserved for awards available for future issuance under the Aterian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board of directors adopted the Aterian, Inc. 2018 Equity Incentive Plan (the “2018 Plan”) on October 11, 2018. The 2018 Plan was approved by its stockholders on May 24, 2019. As of September 30, 2021, 257,691 shares were reserved for awards available for future issuance under the 2018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line="273" w:lineRule="auto"/>
        <w:rPr>
          <w:sz w:val="20"/>
          <w:szCs w:val="20"/>
          <w:color w:val="auto"/>
        </w:rPr>
      </w:pPr>
      <w:r>
        <w:rPr>
          <w:rFonts w:ascii="Arial" w:cs="Arial" w:eastAsia="Arial" w:hAnsi="Arial"/>
          <w:sz w:val="17"/>
          <w:szCs w:val="17"/>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3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Company’s board of directors adopted the Aterian, Inc. 2019 Equity Plan (the “2019 Equity Plan”) on March 20, 2019. The 2019 Equity Plan was approved by its stockholders on May 24, 2019. As of September 30, 2021, no shares were reserved for future issuance.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w:t>
      </w:r>
    </w:p>
    <w:p>
      <w:pPr>
        <w:spacing w:after="0" w:line="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either January 18, 2021 or March 10, 2021, and (iv) the vesting date for the fourth installment of shares of restricted common stock to July 1, 2021 or December 14,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during the nine months ended September 30,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1,570,728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(1,011,422)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Options cancelled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(36,329)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2021</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7.04</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25,971</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495,412</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September 30,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522,977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3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September 30, 2021, the total unrecognized compensation expense related to unvested options was $0.7 million, which the Company expects to recognize over an estimated weighted average period of 0.17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222222"/>
        </w:rPr>
        <w:t>A summary of restricted stock award activity within the Company’s equity plans and changes for the nine months ended September 30, 2021 is as follows: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January 1, 2021</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3,259,389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2,020,697</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(2,072,829)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(280,997)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September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2,926,260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September 30, 2021, the total unrecognized compensation expense related to unvested shares of restricted common stock was $26.5 million, which the Company expects to recognize over an estimated weighted-average period of 1.69 years.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222222"/>
        </w:rPr>
        <w:t>Stock-based compensation expense is allocated based on the cost center to which the award holder belongs. The following table summarizes the total stock-based compensation expense by function, including expense related to consultants, for the three and nine months ended September 30, 2020 and 2021:</w:t>
      </w:r>
    </w:p>
    <w:p>
      <w:pPr>
        <w:sectPr>
          <w:pgSz w:w="11900" w:h="16838" w:orient="portrait"/>
          <w:cols w:equalWidth="0" w:num="1">
            <w:col w:w="11240"/>
          </w:cols>
          <w:pgMar w:left="320" w:top="557" w:right="339" w:bottom="1440" w:gutter="0" w:footer="0" w:header="0"/>
        </w:sectPr>
      </w:pPr>
    </w:p>
    <w:p>
      <w:pPr>
        <w:spacing w:after="0" w:line="129" w:lineRule="exact"/>
        <w:rPr>
          <w:sz w:val="20"/>
          <w:szCs w:val="20"/>
          <w:color w:val="auto"/>
        </w:rPr>
      </w:pPr>
    </w:p>
    <w:p>
      <w:pPr>
        <w:jc w:val="center"/>
        <w:ind w:left="614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wp:posOffset>
            </wp:positionV>
            <wp:extent cx="1105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220"/>
        <w:spacing w:after="0"/>
        <w:tabs>
          <w:tab w:leader="none" w:pos="71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-3175</wp:posOffset>
            </wp:positionV>
            <wp:extent cx="1036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tabs>
          <w:tab w:leader="none" w:pos="8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460" w:space="560"/>
            <w:col w:w="3220"/>
          </w:cols>
          <w:pgMar w:left="320" w:top="557" w:right="339" w:bottom="1440" w:gutter="0" w:footer="0" w:header="0"/>
          <w:type w:val="continuous"/>
        </w:sectPr>
      </w:pPr>
    </w:p>
    <w:tbl>
      <w:tblPr>
        <w:tblLayout w:type="fixed"/>
        <w:tblInd w:w="1700" w:type="dxa"/>
        <w:tblCellMar>
          <w:top w:w="0" w:type="dxa"/>
          <w:left w:w="0" w:type="dxa"/>
          <w:bottom w:w="0" w:type="dxa"/>
          <w:right w:w="0" w:type="dxa"/>
        </w:tblCellMar>
      </w:tblPr>
      <w:tr>
        <w:trPr>
          <w:trHeight w:val="155"/>
        </w:trPr>
        <w:tc>
          <w:tcPr>
            <w:tcW w:w="3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4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310"/>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9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2,444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80" w:type="dxa"/>
            <w:vAlign w:val="bottom"/>
            <w:shd w:val="clear" w:color="auto" w:fill="CFF0FC"/>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5,350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12,480</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12,482</w:t>
            </w:r>
          </w:p>
        </w:tc>
        <w:tc>
          <w:tcPr>
            <w:tcW w:w="80" w:type="dxa"/>
            <w:vAlign w:val="bottom"/>
            <w:shd w:val="clear" w:color="auto" w:fill="CFF0FC"/>
          </w:tcPr>
          <w:p>
            <w:pPr>
              <w:spacing w:after="0"/>
              <w:rPr>
                <w:sz w:val="19"/>
                <w:szCs w:val="19"/>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6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4,861</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9,570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17,472</w:t>
            </w:r>
          </w:p>
        </w:tc>
        <w:tc>
          <w:tcPr>
            <w:tcW w:w="1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21,330</w:t>
            </w:r>
          </w:p>
        </w:tc>
        <w:tc>
          <w:tcPr>
            <w:tcW w:w="80" w:type="dxa"/>
            <w:vAlign w:val="bottom"/>
          </w:tcPr>
          <w:p>
            <w:pPr>
              <w:spacing w:after="0"/>
              <w:rPr>
                <w:sz w:val="19"/>
                <w:szCs w:val="19"/>
                <w:color w:val="auto"/>
              </w:rPr>
            </w:pPr>
          </w:p>
        </w:tc>
      </w:tr>
    </w:tbl>
    <w:p>
      <w:pPr>
        <w:spacing w:after="0" w:line="18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center"/>
              <w:ind w:right="55"/>
              <w:spacing w:after="0" w:line="155"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tcPr>
          <w:p>
            <w:pPr>
              <w:jc w:val="center"/>
              <w:ind w:right="35"/>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(110,556)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(18,772)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(229,415)</w:t>
            </w:r>
          </w:p>
        </w:tc>
        <w:tc>
          <w:tcPr>
            <w:tcW w:w="16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Weighted-average number of 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940" w:type="dxa"/>
            <w:vAlign w:val="bottom"/>
            <w:gridSpan w:val="2"/>
          </w:tcPr>
          <w:p>
            <w:pPr>
              <w:ind w:left="1700"/>
              <w:spacing w:after="0"/>
              <w:rPr>
                <w:sz w:val="20"/>
                <w:szCs w:val="20"/>
                <w:color w:val="auto"/>
              </w:rPr>
            </w:pPr>
            <w:r>
              <w:rPr>
                <w:rFonts w:ascii="Arial" w:cs="Arial" w:eastAsia="Arial" w:hAnsi="Arial"/>
                <w:sz w:val="18"/>
                <w:szCs w:val="18"/>
                <w:color w:val="auto"/>
              </w:rPr>
              <w:t>outstanding used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40" w:type="dxa"/>
            <w:vAlign w:val="bottom"/>
          </w:tcPr>
          <w:p>
            <w:pPr>
              <w:jc w:val="center"/>
              <w:ind w:right="50"/>
              <w:spacing w:after="0"/>
              <w:rPr>
                <w:sz w:val="20"/>
                <w:szCs w:val="20"/>
                <w:color w:val="auto"/>
              </w:rPr>
            </w:pPr>
            <w:r>
              <w:rPr>
                <w:rFonts w:ascii="Arial" w:cs="Arial" w:eastAsia="Arial" w:hAnsi="Arial"/>
                <w:sz w:val="18"/>
                <w:szCs w:val="18"/>
                <w:color w:val="auto"/>
                <w:w w:val="88"/>
              </w:rPr>
              <w:t>computing net loss per share, basic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4940" w:type="dxa"/>
            <w:vAlign w:val="bottom"/>
            <w:gridSpan w:val="2"/>
          </w:tcPr>
          <w:p>
            <w:pPr>
              <w:ind w:left="17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17,090,050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35,359,999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15,903,517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30,383,375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240" w:type="dxa"/>
            <w:vAlign w:val="bottom"/>
            <w:tcBorders>
              <w:top w:val="single" w:sz="8" w:color="CFF0FC"/>
              <w:bottom w:val="single" w:sz="8" w:color="CFF0FC"/>
            </w:tcBorders>
            <w:shd w:val="clear" w:color="auto" w:fill="CFF0FC"/>
          </w:tcPr>
          <w:p>
            <w:pPr>
              <w:jc w:val="center"/>
              <w:ind w:right="70"/>
              <w:spacing w:after="0"/>
              <w:rPr>
                <w:sz w:val="20"/>
                <w:szCs w:val="20"/>
                <w:color w:val="auto"/>
              </w:rPr>
            </w:pPr>
            <w:r>
              <w:rPr>
                <w:rFonts w:ascii="Arial" w:cs="Arial" w:eastAsia="Arial" w:hAnsi="Arial"/>
                <w:sz w:val="18"/>
                <w:szCs w:val="18"/>
                <w:color w:val="auto"/>
                <w:w w:val="89"/>
              </w:rPr>
              <w:t>Net loss per share, basic and diluted</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59"/>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7" w:name="page28"/>
    <w:bookmarkEnd w:id="27"/>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Sales or Other Similar Taxes</w:t>
      </w:r>
      <w:r>
        <w:rPr>
          <w:rFonts w:ascii="Arial" w:cs="Arial" w:eastAsia="Arial" w:hAnsi="Arial"/>
          <w:sz w:val="17"/>
          <w:szCs w:val="17"/>
          <w:color w:val="auto"/>
        </w:rPr>
        <w:t>—Based on the location of the Company’s current operations, the majority of sales tax is collected and remitted either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on its behalf by e-commerce marketplaces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2020 and September 30, 2021, the Company estimates that the potential liability, including current sales tax payable is approximately $0.5 million and $0.7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7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U.S. Department of Energy</w:t>
      </w:r>
      <w:r>
        <w:rPr>
          <w:rFonts w:ascii="Arial" w:cs="Arial" w:eastAsia="Arial" w:hAnsi="Arial"/>
          <w:sz w:val="17"/>
          <w:szCs w:val="17"/>
          <w:color w:val="auto"/>
        </w:rPr>
        <w:t>—In September 2019, the Company received a Test Notice from the U.S. Department of Energy (“DOE”) indicating that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standards,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7"/>
          <w:szCs w:val="17"/>
          <w:color w:val="222222"/>
        </w:rPr>
        <w:t>The</w:t>
      </w:r>
      <w:r>
        <w:rPr>
          <w:rFonts w:ascii="Arial" w:cs="Arial" w:eastAsia="Arial" w:hAnsi="Arial"/>
          <w:sz w:val="17"/>
          <w:szCs w:val="17"/>
          <w:color w:val="auto"/>
        </w:rPr>
        <w:t xml:space="preserve"> </w:t>
      </w:r>
      <w:r>
        <w:rPr>
          <w:rFonts w:ascii="Arial" w:cs="Arial" w:eastAsia="Arial" w:hAnsi="Arial"/>
          <w:sz w:val="17"/>
          <w:szCs w:val="17"/>
          <w:color w:val="222222"/>
        </w:rPr>
        <w:t xml:space="preserve">Company believes that its products are compliant, and the Company, in conjunction with its manufacturing partner, has disputed the Test Notice received from the DOE. </w:t>
      </w:r>
      <w:r>
        <w:rPr>
          <w:rFonts w:ascii="Arial" w:cs="Arial" w:eastAsia="Arial" w:hAnsi="Arial"/>
          <w:sz w:val="17"/>
          <w:szCs w:val="17"/>
          <w:color w:val="000000"/>
        </w:rPr>
        <w:t>As of the date of the issuance of the accompanying condensed consolidated financial statements, the Company cannot reasonably estimate</w:t>
      </w:r>
      <w:r>
        <w:rPr>
          <w:rFonts w:ascii="Arial" w:cs="Arial" w:eastAsia="Arial" w:hAnsi="Arial"/>
          <w:sz w:val="17"/>
          <w:szCs w:val="17"/>
          <w:color w:val="222222"/>
        </w:rPr>
        <w:t xml:space="preserve"> </w:t>
      </w:r>
      <w:r>
        <w:rPr>
          <w:rFonts w:ascii="Arial" w:cs="Arial" w:eastAsia="Arial" w:hAnsi="Arial"/>
          <w:sz w:val="17"/>
          <w:szCs w:val="17"/>
          <w:color w:val="000000"/>
        </w:rPr>
        <w:t>what, if any, penalties may be levied.</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U.S. Environmental Protection Agency</w:t>
      </w:r>
      <w:r>
        <w:rPr>
          <w:rFonts w:ascii="Arial" w:cs="Arial" w:eastAsia="Arial" w:hAnsi="Arial"/>
          <w:sz w:val="17"/>
          <w:szCs w:val="17"/>
          <w:color w:val="auto"/>
        </w:rPr>
        <w:t>—</w:t>
      </w:r>
      <w:r>
        <w:rPr>
          <w:rFonts w:ascii="Arial" w:cs="Arial" w:eastAsia="Arial" w:hAnsi="Arial"/>
          <w:sz w:val="17"/>
          <w:szCs w:val="17"/>
          <w:color w:val="222222"/>
        </w:rPr>
        <w:t>In September 2019, the Company received notice from the U.S. Environmental Protection Agency (“EPA”) that</w:t>
      </w:r>
      <w:r>
        <w:rPr>
          <w:rFonts w:ascii="Arial" w:cs="Arial" w:eastAsia="Arial" w:hAnsi="Arial"/>
          <w:sz w:val="17"/>
          <w:szCs w:val="17"/>
          <w:b w:val="1"/>
          <w:bCs w:val="1"/>
          <w:color w:val="auto"/>
        </w:rPr>
        <w:t xml:space="preserve"> </w:t>
      </w:r>
      <w:r>
        <w:rPr>
          <w:rFonts w:ascii="Arial" w:cs="Arial" w:eastAsia="Arial" w:hAnsi="Arial"/>
          <w:sz w:val="17"/>
          <w:szCs w:val="17"/>
          <w:color w:val="222222"/>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7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has placed a hold on the sale of certain of the Company's dehumidifier inventory while it reviews the matter with the Company. As of October 2020, the Company is able to resume selling the products identified by the EPA, and discussions are continuing with the EPA. The Company cannot be certain of the outcome with the EPA, and the Company may incur costs and penalties that cannot presently be calculated in the event that the Company is unable to resolve this matter with the EPA.</w:t>
      </w:r>
    </w:p>
    <w:p>
      <w:pPr>
        <w:spacing w:after="0" w:line="18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Settlement Agreement</w:t>
      </w:r>
      <w:r>
        <w:rPr>
          <w:rFonts w:ascii="Arial" w:cs="Arial" w:eastAsia="Arial" w:hAnsi="Arial"/>
          <w:sz w:val="16"/>
          <w:szCs w:val="16"/>
          <w:color w:val="auto"/>
        </w:rPr>
        <w:t>—</w:t>
      </w:r>
      <w:r>
        <w:rPr>
          <w:rFonts w:ascii="Arial" w:cs="Arial" w:eastAsia="Arial" w:hAnsi="Arial"/>
          <w:sz w:val="16"/>
          <w:szCs w:val="16"/>
          <w:color w:val="222222"/>
        </w:rPr>
        <w:t>On May 2, 2021, the Company entered into a settlement agreement with one of the Company’s suppliers to agree to pay the</w:t>
      </w:r>
      <w:r>
        <w:rPr>
          <w:rFonts w:ascii="Arial" w:cs="Arial" w:eastAsia="Arial" w:hAnsi="Arial"/>
          <w:sz w:val="16"/>
          <w:szCs w:val="16"/>
          <w:b w:val="1"/>
          <w:bCs w:val="1"/>
          <w:color w:val="auto"/>
        </w:rPr>
        <w:t xml:space="preserve"> </w:t>
      </w:r>
      <w:r>
        <w:rPr>
          <w:rFonts w:ascii="Arial" w:cs="Arial" w:eastAsia="Arial" w:hAnsi="Arial"/>
          <w:sz w:val="16"/>
          <w:szCs w:val="16"/>
          <w:color w:val="222222"/>
        </w:rPr>
        <w:t>amount of $3.0 million to the Company in three installments of $1.0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 million nor has it delivered the required quantity of goods. As such, the Company has fully reserved $4.1 million of prepaid asset within condensed consolidated financial statements during the nine months ended September 30, 2021. The Company has commenced legal action against the supplier and continues to reserve its legal options and rights on this matter.</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15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Securities Class Action</w:t>
      </w:r>
      <w:r>
        <w:rPr>
          <w:rFonts w:ascii="Arial" w:cs="Arial" w:eastAsia="Arial" w:hAnsi="Arial"/>
          <w:sz w:val="18"/>
          <w:szCs w:val="18"/>
          <w:color w:val="auto"/>
        </w:rPr>
        <w:t>—On May 13, 2021, a securities class action complaint was filed in the U.S. District Court for the Southern District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Andrew Tate naming the Company as well as Yaniv Sarig, and Fabrice </w:t>
      </w:r>
      <w:r>
        <w:rPr>
          <w:rFonts w:ascii="Arial" w:cs="Arial" w:eastAsia="Arial" w:hAnsi="Arial"/>
          <w:sz w:val="18"/>
          <w:szCs w:val="18"/>
          <w:color w:val="222222"/>
        </w:rPr>
        <w:t>Hamaide as defendants. On June 10, 2021, a substantially similar securities class</w:t>
      </w:r>
      <w:r>
        <w:rPr>
          <w:rFonts w:ascii="Arial" w:cs="Arial" w:eastAsia="Arial" w:hAnsi="Arial"/>
          <w:sz w:val="18"/>
          <w:szCs w:val="18"/>
          <w:color w:val="auto"/>
        </w:rPr>
        <w:t xml:space="preserve"> </w:t>
      </w:r>
      <w:r>
        <w:rPr>
          <w:rFonts w:ascii="Arial" w:cs="Arial" w:eastAsia="Arial" w:hAnsi="Arial"/>
          <w:sz w:val="18"/>
          <w:szCs w:val="18"/>
          <w:color w:val="222222"/>
        </w:rPr>
        <w:t>action complaint was filed in the same court by Jeff Coon against the same defendants.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3" w:right="359" w:bottom="1440" w:gutter="0" w:footer="0" w:header="0"/>
        </w:sectPr>
      </w:pPr>
    </w:p>
    <w:bookmarkStart w:id="28" w:name="page29"/>
    <w:bookmarkEnd w:id="28"/>
    <w:p>
      <w:pPr>
        <w:spacing w:after="0" w:line="291" w:lineRule="auto"/>
        <w:rPr>
          <w:sz w:val="20"/>
          <w:szCs w:val="20"/>
          <w:color w:val="auto"/>
        </w:rPr>
      </w:pPr>
      <w:r>
        <w:rPr>
          <w:rFonts w:ascii="Arial" w:cs="Arial" w:eastAsia="Arial" w:hAnsi="Arial"/>
          <w:sz w:val="16"/>
          <w:szCs w:val="16"/>
          <w:color w:val="222222"/>
        </w:rPr>
        <w:t>Thereafter, other stockholders asserted similar claims. On August 10, 2021, the court appointed Joseph Nolff as the lead plaintiff of the putative class action, and on October 12, 2021, he filed an amended complaint, (i) adding Arturo Rodriguez as a defendant, (ii) asserting violations of Sections 10(b) and 20(a) of the Securities Exchange Act of 1934, as amended (the “Exchange Act”), and Rule 10b-5 promulgated thereunder and (iii) claiming that the defendants made false and materially misleading statements and failed to disclose material adverse facts regarding the Company’s business, operations, and prospects and that this was revealed on May 4, 2021, when Culper Research published a report allegedly exposing these alleged misrepresentations and omissions. The Company intends to vigorously defend against these actions. However, the outcome of this legal proceeding is uncertain at this point. Based on information available to the Company at present, the Company cannot reasonably estimate a range of loss for this action.</w:t>
      </w:r>
    </w:p>
    <w:p>
      <w:pPr>
        <w:spacing w:after="0" w:line="16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222222"/>
        </w:rPr>
        <w:t xml:space="preserve">Shareholder Derivative Actions Related to the </w:t>
      </w:r>
      <w:r>
        <w:rPr>
          <w:rFonts w:ascii="Arial" w:cs="Arial" w:eastAsia="Arial" w:hAnsi="Arial"/>
          <w:sz w:val="17"/>
          <w:szCs w:val="17"/>
          <w:b w:val="1"/>
          <w:bCs w:val="1"/>
          <w:color w:val="000000"/>
        </w:rPr>
        <w:t>Securities Class Action</w:t>
      </w:r>
      <w:r>
        <w:rPr>
          <w:rFonts w:ascii="Arial" w:cs="Arial" w:eastAsia="Arial" w:hAnsi="Arial"/>
          <w:sz w:val="17"/>
          <w:szCs w:val="17"/>
          <w:color w:val="000000"/>
        </w:rPr>
        <w:t>—On October 21 and 25, 2021, two</w:t>
      </w:r>
      <w:r>
        <w:rPr>
          <w:rFonts w:ascii="Arial" w:cs="Arial" w:eastAsia="Arial" w:hAnsi="Arial"/>
          <w:sz w:val="17"/>
          <w:szCs w:val="17"/>
          <w:b w:val="1"/>
          <w:bCs w:val="1"/>
          <w:color w:val="222222"/>
        </w:rPr>
        <w:t xml:space="preserve"> </w:t>
      </w:r>
      <w:r>
        <w:rPr>
          <w:rFonts w:ascii="Arial" w:cs="Arial" w:eastAsia="Arial" w:hAnsi="Arial"/>
          <w:sz w:val="17"/>
          <w:szCs w:val="17"/>
          <w:color w:val="222222"/>
        </w:rPr>
        <w:t>shareholder derivative actions</w:t>
      </w:r>
      <w:r>
        <w:rPr>
          <w:rFonts w:ascii="Arial" w:cs="Arial" w:eastAsia="Arial" w:hAnsi="Arial"/>
          <w:sz w:val="17"/>
          <w:szCs w:val="17"/>
          <w:b w:val="1"/>
          <w:bCs w:val="1"/>
          <w:color w:val="222222"/>
        </w:rPr>
        <w:t xml:space="preserve"> </w:t>
      </w:r>
      <w:r>
        <w:rPr>
          <w:rFonts w:ascii="Arial" w:cs="Arial" w:eastAsia="Arial" w:hAnsi="Arial"/>
          <w:sz w:val="17"/>
          <w:szCs w:val="17"/>
          <w:color w:val="000000"/>
        </w:rPr>
        <w:t>were filed on</w:t>
      </w:r>
      <w:r>
        <w:rPr>
          <w:rFonts w:ascii="Arial" w:cs="Arial" w:eastAsia="Arial" w:hAnsi="Arial"/>
          <w:sz w:val="17"/>
          <w:szCs w:val="17"/>
          <w:b w:val="1"/>
          <w:bCs w:val="1"/>
          <w:color w:val="222222"/>
        </w:rPr>
        <w:t xml:space="preserve"> </w:t>
      </w:r>
      <w:r>
        <w:rPr>
          <w:rFonts w:ascii="Arial" w:cs="Arial" w:eastAsia="Arial" w:hAnsi="Arial"/>
          <w:sz w:val="17"/>
          <w:szCs w:val="17"/>
          <w:color w:val="000000"/>
        </w:rPr>
        <w:t xml:space="preserve">behalf of the Company by Shaoxuan Zhang and </w:t>
      </w:r>
      <w:r>
        <w:rPr>
          <w:rFonts w:ascii="Arial" w:cs="Arial" w:eastAsia="Arial" w:hAnsi="Arial"/>
          <w:sz w:val="17"/>
          <w:szCs w:val="17"/>
          <w:color w:val="222222"/>
        </w:rPr>
        <w:t>Michael Sheller in the</w:t>
      </w:r>
      <w:r>
        <w:rPr>
          <w:rFonts w:ascii="Arial" w:cs="Arial" w:eastAsia="Arial" w:hAnsi="Arial"/>
          <w:sz w:val="17"/>
          <w:szCs w:val="17"/>
          <w:color w:val="000000"/>
        </w:rPr>
        <w:t xml:space="preserve"> U.S. District Court for the Southern District of New York. These actions, collectively, name </w:t>
      </w:r>
      <w:r>
        <w:rPr>
          <w:rFonts w:ascii="Arial" w:cs="Arial" w:eastAsia="Arial" w:hAnsi="Arial"/>
          <w:sz w:val="17"/>
          <w:szCs w:val="17"/>
          <w:color w:val="222222"/>
        </w:rPr>
        <w:t>Yaniv Sarig, Fabrice Hamaide, Arturo Rodriguez, Greg B. Petersen, Bari A. Harlam, Amy von Walter, and William Kurtz as individual</w:t>
      </w:r>
      <w:r>
        <w:rPr>
          <w:rFonts w:ascii="Arial" w:cs="Arial" w:eastAsia="Arial" w:hAnsi="Arial"/>
          <w:sz w:val="17"/>
          <w:szCs w:val="17"/>
          <w:color w:val="000000"/>
        </w:rPr>
        <w:t xml:space="preserve"> </w:t>
      </w:r>
      <w:r>
        <w:rPr>
          <w:rFonts w:ascii="Arial" w:cs="Arial" w:eastAsia="Arial" w:hAnsi="Arial"/>
          <w:sz w:val="17"/>
          <w:szCs w:val="17"/>
          <w:color w:val="222222"/>
        </w:rPr>
        <w:t>defendants, and the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the Company is held liable in the Securities Class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The Company believes the allegations are without merit and intends to vigorously defend against these actions. However, the outcome of these legal proceedings are uncertain at this point. Based on information available to the Company at present, the Company cannot reasonably estimate a range of loss or income for these actions.</w:t>
      </w:r>
    </w:p>
    <w:p>
      <w:pPr>
        <w:spacing w:after="0" w:line="1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Sabby Contract Action</w:t>
      </w:r>
      <w:r>
        <w:rPr>
          <w:rFonts w:ascii="Arial" w:cs="Arial" w:eastAsia="Arial" w:hAnsi="Arial"/>
          <w:sz w:val="17"/>
          <w:szCs w:val="17"/>
          <w:color w:val="222222"/>
        </w:rPr>
        <w:t>—On September 20, 2021, Sabby Volatility Warrant Master Fund Ltd. (“Sabby”) sued the Company in the Supreme Court of the</w:t>
      </w:r>
      <w:r>
        <w:rPr>
          <w:rFonts w:ascii="Arial" w:cs="Arial" w:eastAsia="Arial" w:hAnsi="Arial"/>
          <w:sz w:val="17"/>
          <w:szCs w:val="17"/>
          <w:b w:val="1"/>
          <w:bCs w:val="1"/>
          <w:color w:val="auto"/>
        </w:rPr>
        <w:t xml:space="preserve"> </w:t>
      </w:r>
      <w:r>
        <w:rPr>
          <w:rFonts w:ascii="Arial" w:cs="Arial" w:eastAsia="Arial" w:hAnsi="Arial"/>
          <w:sz w:val="17"/>
          <w:szCs w:val="17"/>
          <w:color w:val="222222"/>
        </w:rPr>
        <w:t>State of New York, New York County, alleging that the Company breached the Securities Purchase Agreement , dated June 10, 2021 (the “Purchase Agreement”), pursuant to which Sabby purchased 400,000 shares of the Company’s common stock, for an aggregate price of approximately $6 million. Sabby contends that certain of the representations and warranties made by the Company in the Purchase Agreement concerning its financial condition and the accuracy of its prior disclosures were untrue and that the Company breached the Purchase Agreement’s anti-dilution and use-of-proceeds covenants on both, August 9, 2021 and September 23, 2021, when the Company resolved certain defaults with High Trail. The Company intends to vigorously defend against this action. However, the outcome of this legal proceeding is uncertain at this point. Based on information available to the Company at present, the Company cannot reasonably estimate a range of loss for this action.</w:t>
      </w:r>
    </w:p>
    <w:p>
      <w:pPr>
        <w:spacing w:after="0" w:line="280" w:lineRule="exact"/>
        <w:rPr>
          <w:sz w:val="20"/>
          <w:szCs w:val="20"/>
          <w:color w:val="auto"/>
        </w:rPr>
      </w:pPr>
    </w:p>
    <w:p>
      <w:pPr>
        <w:ind w:right="9720" w:firstLine="8"/>
        <w:spacing w:after="0" w:line="400" w:lineRule="auto"/>
        <w:tabs>
          <w:tab w:leader="none" w:pos="27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Healing Solutions</w:t>
      </w:r>
    </w:p>
    <w:p>
      <w:pPr>
        <w:ind w:right="40"/>
        <w:spacing w:after="0" w:line="289" w:lineRule="auto"/>
        <w:rPr>
          <w:sz w:val="20"/>
          <w:szCs w:val="20"/>
          <w:color w:val="auto"/>
        </w:rPr>
      </w:pPr>
      <w:r>
        <w:rPr>
          <w:rFonts w:ascii="Arial" w:cs="Arial" w:eastAsia="Arial" w:hAnsi="Arial"/>
          <w:sz w:val="16"/>
          <w:szCs w:val="16"/>
          <w:color w:val="auto"/>
        </w:rPr>
        <w:t>On February 2, 2021 (the “Closing Date”), the Company entered into and closed the Asset Purchase Agreement with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Acquisition was accounted for as a business combination using the acquisition method of accounting in accordance with ASC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Healing Solutions will also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Healing Solutions is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Purchaser in its sole discretion, acting reasonably. If, on or before the date that is 15 months after the Closing Date, an Earn-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right="160"/>
        <w:spacing w:after="0" w:line="263" w:lineRule="auto"/>
        <w:rPr>
          <w:sz w:val="20"/>
          <w:szCs w:val="20"/>
          <w:color w:val="auto"/>
        </w:rPr>
      </w:pPr>
      <w:r>
        <w:rPr>
          <w:rFonts w:ascii="Arial" w:cs="Arial" w:eastAsia="Arial" w:hAnsi="Arial"/>
          <w:sz w:val="18"/>
          <w:szCs w:val="18"/>
          <w:color w:val="auto"/>
        </w:rPr>
        <w:t>Out Consideration Event (as defined in the Asset Purchase Agreement) has occurred, then Healing Solutions shall be entitled to receive up to a maximum of 528,670 shares of Common Stock (the “Earn-Out Shares”), which number of shares is subject to reduction in accordance with the terms of the Asset Purchase Agreement based on the time period within which the Earn-Out Consideration Event occurs.</w:t>
      </w:r>
    </w:p>
    <w:p>
      <w:pPr>
        <w:spacing w:after="0" w:line="184"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8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8"/>
              </w:rPr>
              <w:t>(in thousands, except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Cash purchase price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1,387,759 shares of common stock issued</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Estimated common share consideration for inventory</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7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consideration</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2"/>
          </w:tcPr>
          <w:p>
            <w:pPr>
              <w:jc w:val="center"/>
              <w:ind w:right="710"/>
              <w:spacing w:after="0"/>
              <w:rPr>
                <w:sz w:val="20"/>
                <w:szCs w:val="20"/>
                <w:color w:val="auto"/>
              </w:rPr>
            </w:pPr>
            <w:r>
              <w:rPr>
                <w:rFonts w:ascii="Arial" w:cs="Arial" w:eastAsia="Arial" w:hAnsi="Arial"/>
                <w:sz w:val="18"/>
                <w:szCs w:val="18"/>
                <w:color w:val="auto"/>
                <w:w w:val="89"/>
              </w:rPr>
              <w:t>(in thousands)</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Inventory</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8,215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Trademarks (10 year useful life)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Net assets acquired</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Healing Solutions Assets acquisition on the Company’s net revenue for the three and nine months ended September 30, 2020 and 2021. The acquisition of the Healing Solutions Assets is reflected in the following pro forma information as if the acquisition had occurred on January 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20"/>
                <w:szCs w:val="20"/>
                <w:color w:val="auto"/>
              </w:rPr>
            </w:pPr>
          </w:p>
        </w:tc>
      </w:tr>
      <w:tr>
        <w:trPr>
          <w:trHeight w:val="237"/>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center"/>
              <w:ind w:left="137"/>
              <w:spacing w:after="0"/>
              <w:rPr>
                <w:sz w:val="20"/>
                <w:szCs w:val="20"/>
                <w:color w:val="auto"/>
              </w:rPr>
            </w:pPr>
            <w:r>
              <w:rPr>
                <w:rFonts w:ascii="Arial" w:cs="Arial" w:eastAsia="Arial" w:hAnsi="Arial"/>
                <w:sz w:val="14"/>
                <w:szCs w:val="14"/>
                <w:color w:val="auto"/>
                <w:w w:val="92"/>
              </w:rPr>
              <w:t>(in thousands)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center"/>
              <w:ind w:left="397"/>
              <w:spacing w:after="0"/>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58,783</w:t>
            </w:r>
          </w:p>
        </w:tc>
        <w:tc>
          <w:tcPr>
            <w:tcW w:w="104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68,121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184,446</w:t>
            </w:r>
          </w:p>
        </w:tc>
        <w:tc>
          <w:tcPr>
            <w:tcW w:w="12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Healing Solutions net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61,014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9"/>
                <w:szCs w:val="19"/>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68,121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205,226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as reported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4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(7,527)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(15,610)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(30,812)</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Healing Solutions operating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7,454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(7,527)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In the accompanying condensed consolidated financial statements for the three and nine months ended September 30, 2021, net revenue as reported includes $6.8 million and $27.1 million of net revenue, respectively, from this acquisition. For the three and nine months ended September 30, 2021, operating income (loss) as reported, includes $1.1 million and $6.3 million of operating income, respectively, from this acquisition.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Squatty Potty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7"/>
          <w:szCs w:val="17"/>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 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w:t>
      </w:r>
    </w:p>
    <w:p>
      <w:pPr>
        <w:spacing w:after="0" w:line="177"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10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Transition services payments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Total consideration</w:t>
            </w:r>
          </w:p>
        </w:tc>
        <w:tc>
          <w:tcPr>
            <w:tcW w:w="8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Goodwill (1)</w:t>
            </w:r>
          </w:p>
        </w:tc>
        <w:tc>
          <w:tcPr>
            <w:tcW w:w="8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Net assets acquired</w:t>
            </w:r>
          </w:p>
        </w:tc>
        <w:tc>
          <w:tcPr>
            <w:tcW w:w="8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is expected to be deductible for tax purposes. The goodwill is attributable to expected synergies resulting from integrating the Squatty Potty products into the Company’s existing sales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Squatty Potty acquisition on the Company’s net revenue for the three and nine months ended September 30, 2021 and 2020. The acquisition of the Squatty Potty Assets is reflected in the following pro forma information as if the acquisition had occurred on January 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20"/>
                <w:szCs w:val="20"/>
                <w:color w:val="auto"/>
              </w:rPr>
            </w:pPr>
          </w:p>
        </w:tc>
      </w:tr>
      <w:tr>
        <w:trPr>
          <w:trHeight w:val="236"/>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center"/>
              <w:ind w:left="137"/>
              <w:spacing w:after="0"/>
              <w:rPr>
                <w:sz w:val="20"/>
                <w:szCs w:val="20"/>
                <w:color w:val="auto"/>
              </w:rPr>
            </w:pPr>
            <w:r>
              <w:rPr>
                <w:rFonts w:ascii="Arial" w:cs="Arial" w:eastAsia="Arial" w:hAnsi="Arial"/>
                <w:sz w:val="14"/>
                <w:szCs w:val="14"/>
                <w:color w:val="auto"/>
                <w:w w:val="92"/>
              </w:rPr>
              <w:t>(in thousands)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center"/>
              <w:ind w:left="397"/>
              <w:spacing w:after="0"/>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58,783</w:t>
            </w:r>
          </w:p>
        </w:tc>
        <w:tc>
          <w:tcPr>
            <w:tcW w:w="104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68,121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184,446</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Squatty Potty net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62,875</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68,121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153,702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as reported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4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(7,527)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(15,610)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(30,812)</w:t>
            </w: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Squatty Potty operating income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(7,527)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(11,612)</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color w:val="auto"/>
        </w:rPr>
        <w:t>In the accompanying condensed consolidated financial statements for the three and nine months ended September 30, 2021, net revenue as reported includes $3.2 million and $5.4 million of net revenue, respectively, from this acquisition. For the three and nine months ended September 30, 2021, operating income (loss) as reported, includes $2.0 million and $2.8 million of operating income, respectively, from this acquisition.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Photo Paper Direct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5, 2021, the Company closed the acquisition of all outstanding stock of e-commerce company Photo Paper Direct Ltd. (“Photo Paper Direct''), a leading online seller of printing supplies. As consideration for Photo Paper Direct’s stock, the Company paid 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w:t>
      </w:r>
    </w:p>
    <w:p>
      <w:pPr>
        <w:spacing w:after="0" w:line="178"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8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Cash purchase price</w:t>
            </w:r>
          </w:p>
        </w:tc>
        <w:tc>
          <w:tcPr>
            <w:tcW w:w="10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704,548 shares of common stock issued</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consideration</w:t>
            </w:r>
          </w:p>
        </w:tc>
        <w:tc>
          <w:tcPr>
            <w:tcW w:w="78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gridSpan w:val="4"/>
          </w:tcPr>
          <w:p>
            <w:pPr>
              <w:jc w:val="center"/>
              <w:ind w:right="92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PP&amp;E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Real Property</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(1)</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
        <w:spacing w:after="0" w:line="311"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Photo Paper Direct acquisition on the Company’s net revenue for the three and nine months ended September 30, 2021 and 2020. The acquisition of the Photo Paper Direct is reflected in the following pro forma information as if the acquisition had occurred on January 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3"/>
          </w:tcPr>
          <w:p>
            <w:pPr>
              <w:jc w:val="center"/>
              <w:ind w:left="137"/>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6"/>
        </w:trPr>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20"/>
                <w:szCs w:val="20"/>
                <w:color w:val="auto"/>
              </w:rPr>
            </w:pPr>
          </w:p>
        </w:tc>
      </w:tr>
      <w:tr>
        <w:trPr>
          <w:trHeight w:val="237"/>
        </w:trPr>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center"/>
              <w:ind w:left="137"/>
              <w:spacing w:after="0"/>
              <w:rPr>
                <w:sz w:val="20"/>
                <w:szCs w:val="20"/>
                <w:color w:val="auto"/>
              </w:rPr>
            </w:pPr>
            <w:r>
              <w:rPr>
                <w:rFonts w:ascii="Arial" w:cs="Arial" w:eastAsia="Arial" w:hAnsi="Arial"/>
                <w:sz w:val="14"/>
                <w:szCs w:val="14"/>
                <w:color w:val="auto"/>
                <w:w w:val="92"/>
              </w:rPr>
              <w:t>(in thousands)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center"/>
              <w:ind w:left="397"/>
              <w:spacing w:after="0"/>
              <w:rPr>
                <w:sz w:val="20"/>
                <w:szCs w:val="20"/>
                <w:color w:val="auto"/>
              </w:rPr>
            </w:pPr>
            <w:r>
              <w:rPr>
                <w:rFonts w:ascii="Arial" w:cs="Arial" w:eastAsia="Arial" w:hAnsi="Arial"/>
                <w:sz w:val="14"/>
                <w:szCs w:val="14"/>
                <w:color w:val="auto"/>
                <w:w w:val="92"/>
              </w:rPr>
              <w:t>(in thousands)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18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58,783</w:t>
            </w:r>
          </w:p>
        </w:tc>
        <w:tc>
          <w:tcPr>
            <w:tcW w:w="104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68,121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184,446</w:t>
            </w:r>
          </w:p>
        </w:tc>
        <w:tc>
          <w:tcPr>
            <w:tcW w:w="120" w:type="dxa"/>
            <w:vAlign w:val="bottom"/>
            <w:shd w:val="clear" w:color="auto" w:fill="CFF0FC"/>
          </w:tcPr>
          <w:p>
            <w:pPr>
              <w:spacing w:after="0"/>
              <w:rPr>
                <w:sz w:val="19"/>
                <w:szCs w:val="19"/>
                <w:color w:val="auto"/>
              </w:rPr>
            </w:pPr>
          </w:p>
        </w:tc>
      </w:tr>
      <w:tr>
        <w:trPr>
          <w:trHeight w:val="229"/>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Photo Paper Direct net revenue</w:t>
            </w:r>
          </w:p>
        </w:tc>
        <w:tc>
          <w:tcPr>
            <w:tcW w:w="1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1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62,813</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68,121</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153,493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as reported</w:t>
            </w:r>
          </w:p>
        </w:tc>
        <w:tc>
          <w:tcPr>
            <w:tcW w:w="18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4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4"/>
              </w:rPr>
              <w:t>(7,527)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(15,610)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(30,812)</w:t>
            </w: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Photo Paper Direct operating income</w:t>
            </w:r>
          </w:p>
        </w:tc>
        <w:tc>
          <w:tcPr>
            <w:tcW w:w="1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2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1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(7,527)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(13,584)</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100" w:type="dxa"/>
            <w:vAlign w:val="bottom"/>
          </w:tcPr>
          <w:p>
            <w:pPr>
              <w:spacing w:after="0"/>
              <w:rPr>
                <w:sz w:val="24"/>
                <w:szCs w:val="24"/>
                <w:color w:val="auto"/>
              </w:rPr>
            </w:pPr>
          </w:p>
        </w:tc>
        <w:tc>
          <w:tcPr>
            <w:tcW w:w="1880" w:type="dxa"/>
            <w:vAlign w:val="bottom"/>
            <w:gridSpan w:val="2"/>
          </w:tcPr>
          <w:p>
            <w:pPr>
              <w:jc w:val="right"/>
              <w:ind w:right="170"/>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right="600"/>
        <w:spacing w:after="0" w:line="311" w:lineRule="auto"/>
        <w:rPr>
          <w:sz w:val="20"/>
          <w:szCs w:val="20"/>
          <w:color w:val="auto"/>
        </w:rPr>
      </w:pPr>
      <w:r>
        <w:rPr>
          <w:rFonts w:ascii="Arial" w:cs="Arial" w:eastAsia="Arial" w:hAnsi="Arial"/>
          <w:sz w:val="16"/>
          <w:szCs w:val="16"/>
          <w:color w:val="auto"/>
        </w:rPr>
        <w:t>In the accompanying condensed consolidated financial statements for the three and nine months ended September 30, 2021, net revenue as reported includes $4.2 million and $7.2 million of net revenue, respectively, from this acquisition. For the three and nine months ended September 30, 2021, operating income (loss) as reported, includes $1.5 million and $2.1 million of operating income, respectively, from this acquisition.</w:t>
      </w:r>
    </w:p>
    <w:p>
      <w:pPr>
        <w:spacing w:after="0" w:line="14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Company engaged a third-party valuation specialist to perform a valuation of the intangible assets acquired for all acquisitions. In performing the valuation, the Company’s management assessed the reasonableness of the projected financial information (“PFI”) by comparing it to the Company’s historical results and financial information for a peer group of the most similar public companies. Based on this review, the Company’s management determined the PFI is reasonable for business and intangible asset valuation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During the year-ending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December 1, 2020, the acquisition date, the initial fair value amount of the earn-out payment was appropriately $9.8 million. As of December 31, 2020, the fair value amount of the earn-out payment with respect to the Smash Assets was approximately $22.5 million, representing a change of fair value impact of approximately $12.7 million. As of September 30, 2021, the fair value amount of the earn-out payment with respect to the Smash Assets was approximately $18.2 million, representing a change of fair value impact of $4.3 million for the nine months ended September 30, 2021.</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acquisition of the Healing Solutions Assets, Healing Solutions is entitled to earn-out payments based on the achievement of certain contribution margin thresholds on certain products of the acquired business. If the earn-out consideration event occurs: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will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will issue 264,335 shares of common stock to Healing Solutions; or after 15 months, the Company will not have any obligation to issue any shares of its common stock to Healing Solutions.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February 2, 2021, the acquisition date, the initial fair value amount of the earn-out payment with respect to the Healing Solutions Assets was appropriately $16.5 million. As of September 30, 2021, the fair value amount of the earn-out payment with respect to the Healing Solutions Assets was approximately $7.2 million, representing a change of fair value impact of approximately $9.4 million for nine months ended September 30, 2021.</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 months ending December 31, 2021 and the maximum payment amount is $3.9 million and if the termination of the transition service agreement is prior to the date that is nine months following the Closing Date, an additional $3.9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7"/>
          <w:szCs w:val="17"/>
          <w:color w:val="auto"/>
        </w:rPr>
        <w:t>As of May 5, 2021, the acquisition date, the initial fair value amount of the earn-out payment with respect to the Squatty Potty Assets was appropriately $3.5 million. As of September 30, 2021, the fair value amount of the earn-out payment with respect to the Squatty Potty Assets was approximately $4.0 million, representing a change of fair value impact of approximately $0.5 million for nine months ended September 30, 2021.</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May 5, 2021, the acquisition date, the initial fair value amount of the earn-out payment with respect to the Photo Paper Direct was appropriately $0.9 million. As of September 30, 2021, the fair value amount of the earn-out payment with respect to the Photo Paper Direct Assets was approximately $2.2 million, representing a change of fair value impact of approximately $1.3 million for nine months ended September 30, 2021.</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carrying value of estimated contingent earn-out liabilities (in thousands) as of September 30, 2021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b w:val="1"/>
                <w:bCs w:val="1"/>
                <w:color w:val="auto"/>
                <w:w w:val="93"/>
              </w:rPr>
              <w:t>September 30, 2021</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8"/>
              </w:rPr>
              <w:t>Healing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0"/>
              </w:rPr>
              <w:t>Squatty</w:t>
            </w:r>
          </w:p>
        </w:tc>
        <w:tc>
          <w:tcPr>
            <w:tcW w:w="1300" w:type="dxa"/>
            <w:vAlign w:val="bottom"/>
            <w:gridSpan w:val="3"/>
          </w:tcPr>
          <w:p>
            <w:pPr>
              <w:jc w:val="center"/>
              <w:ind w:right="260"/>
              <w:spacing w:after="0" w:line="205" w:lineRule="exact"/>
              <w:rPr>
                <w:sz w:val="20"/>
                <w:szCs w:val="20"/>
                <w:color w:val="auto"/>
              </w:rPr>
            </w:pPr>
            <w:r>
              <w:rPr>
                <w:rFonts w:ascii="Arial" w:cs="Arial" w:eastAsia="Arial" w:hAnsi="Arial"/>
                <w:sz w:val="18"/>
                <w:szCs w:val="18"/>
                <w:b w:val="1"/>
                <w:bCs w:val="1"/>
                <w:color w:val="auto"/>
                <w:w w:val="90"/>
              </w:rPr>
              <w:t>Photo Paper</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2"/>
              </w:rPr>
              <w:t>Smash Assets</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5"/>
              </w:rPr>
              <w:t>Solutions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Potty</w:t>
            </w:r>
          </w:p>
        </w:tc>
        <w:tc>
          <w:tcPr>
            <w:tcW w:w="18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Direct</w:t>
            </w:r>
          </w:p>
        </w:tc>
        <w:tc>
          <w:tcPr>
            <w:tcW w:w="16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Acquisition date fair value of contingent earn-out liabilities and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inventory to be settled in shares</w:t>
            </w:r>
          </w:p>
        </w:tc>
        <w:tc>
          <w:tcPr>
            <w:tcW w:w="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tcPr>
          <w:p>
            <w:pPr>
              <w:spacing w:after="0"/>
              <w:rPr>
                <w:sz w:val="20"/>
                <w:szCs w:val="20"/>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(9,408)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(11,949)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Earn-out payments</w:t>
            </w:r>
          </w:p>
        </w:tc>
        <w:tc>
          <w:tcPr>
            <w:tcW w:w="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Balance—September 30,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changes in the Company’s intangible assets as of December 31, 2020 and September 30, 2021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left="120"/>
              <w:spacing w:after="0"/>
              <w:rPr>
                <w:sz w:val="20"/>
                <w:szCs w:val="20"/>
                <w:color w:val="auto"/>
              </w:rPr>
            </w:pPr>
            <w:r>
              <w:rPr>
                <w:rFonts w:ascii="Arial" w:cs="Arial" w:eastAsia="Arial" w:hAnsi="Arial"/>
                <w:sz w:val="14"/>
                <w:szCs w:val="14"/>
                <w:b w:val="1"/>
                <w:bCs w:val="1"/>
                <w:color w:val="auto"/>
                <w:w w:val="95"/>
              </w:rPr>
              <w:t>Year-Ended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6"/>
              </w:rPr>
              <w:t>December 31, 2020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46,573</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78"/>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3260" w:type="dxa"/>
            <w:vAlign w:val="bottom"/>
          </w:tcPr>
          <w:p>
            <w:pPr>
              <w:spacing w:after="0"/>
              <w:rPr>
                <w:sz w:val="24"/>
                <w:szCs w:val="2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5"/>
          </w:tcPr>
          <w:p>
            <w:pPr>
              <w:jc w:val="center"/>
              <w:ind w:left="100"/>
              <w:spacing w:after="0"/>
              <w:rPr>
                <w:sz w:val="20"/>
                <w:szCs w:val="20"/>
                <w:color w:val="auto"/>
              </w:rPr>
            </w:pPr>
            <w:r>
              <w:rPr>
                <w:rFonts w:ascii="Arial" w:cs="Arial" w:eastAsia="Arial" w:hAnsi="Arial"/>
                <w:sz w:val="14"/>
                <w:szCs w:val="14"/>
                <w:b w:val="1"/>
                <w:bCs w:val="1"/>
                <w:color w:val="auto"/>
                <w:w w:val="94"/>
              </w:rPr>
              <w:t>Nine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September 30, 2021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4"/>
                <w:szCs w:val="14"/>
                <w:b w:val="1"/>
                <w:bCs w:val="1"/>
                <w:color w:val="auto"/>
                <w:w w:val="91"/>
              </w:rPr>
              <w:t>September 30, 2021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47,318</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71,301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78"/>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118,619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118,619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11240" w:type="dxa"/>
            <w:vAlign w:val="bottom"/>
            <w:gridSpan w:val="29"/>
          </w:tcPr>
          <w:p>
            <w:pPr>
              <w:spacing w:after="0"/>
              <w:rPr>
                <w:sz w:val="20"/>
                <w:szCs w:val="20"/>
                <w:color w:val="auto"/>
              </w:rPr>
            </w:pPr>
            <w:r>
              <w:rPr>
                <w:rFonts w:ascii="Arial" w:cs="Arial" w:eastAsia="Arial" w:hAnsi="Arial"/>
                <w:sz w:val="18"/>
                <w:szCs w:val="18"/>
                <w:color w:val="auto"/>
                <w:w w:val="95"/>
              </w:rPr>
              <w:t>The following tables summarize the changes in the Company’s intangible assets as of December 31, 2020 and September 30, 2021 (in thousands):</w:t>
            </w:r>
          </w:p>
        </w:tc>
        <w:tc>
          <w:tcPr>
            <w:tcW w:w="0" w:type="dxa"/>
            <w:vAlign w:val="bottom"/>
          </w:tcPr>
          <w:p>
            <w:pPr>
              <w:spacing w:after="0"/>
              <w:rPr>
                <w:sz w:val="1"/>
                <w:szCs w:val="1"/>
                <w:color w:val="auto"/>
              </w:rPr>
            </w:pPr>
          </w:p>
        </w:tc>
      </w:tr>
      <w:tr>
        <w:trPr>
          <w:trHeight w:val="355"/>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5"/>
          </w:tcPr>
          <w:p>
            <w:pPr>
              <w:jc w:val="center"/>
              <w:ind w:left="120"/>
              <w:spacing w:after="0"/>
              <w:rPr>
                <w:sz w:val="20"/>
                <w:szCs w:val="20"/>
                <w:color w:val="auto"/>
              </w:rPr>
            </w:pPr>
            <w:r>
              <w:rPr>
                <w:rFonts w:ascii="Arial" w:cs="Arial" w:eastAsia="Arial" w:hAnsi="Arial"/>
                <w:sz w:val="14"/>
                <w:szCs w:val="14"/>
                <w:b w:val="1"/>
                <w:bCs w:val="1"/>
                <w:color w:val="auto"/>
                <w:w w:val="95"/>
              </w:rPr>
              <w:t>Year-Ended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6"/>
              </w:rPr>
              <w:t>December 31, 2020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left="100"/>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w:t>
            </w: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31,500</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78"/>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(442)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Pr>
          <w:p>
            <w:pPr>
              <w:ind w:left="260"/>
              <w:spacing w:after="0"/>
              <w:rPr>
                <w:sz w:val="20"/>
                <w:szCs w:val="20"/>
                <w:color w:val="auto"/>
              </w:rPr>
            </w:pPr>
            <w:r>
              <w:rPr>
                <w:rFonts w:ascii="Arial" w:cs="Arial" w:eastAsia="Arial" w:hAnsi="Arial"/>
                <w:sz w:val="18"/>
                <w:szCs w:val="18"/>
                <w:color w:val="auto"/>
              </w:rPr>
              <w:t>Total intangibles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31,611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(484)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0"/>
              </w:rPr>
              <w:t>September 30, 2021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Additions</w:t>
            </w: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Impairments</w:t>
            </w: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34,791</w:t>
            </w: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7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66,601</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(4,801)</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Customer relations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376"/>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(5,089)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2020 included in our Annual Report on Form 10-K for the year ended December 31, 2020 as filed with the Securities and Exchange Commission (the “SEC”) on March 16, 2021, as amended.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Unless the context otherwise requires, the terms “Aterian,” the “Company,” “we,” “us” and “our” in this Quarterly Report on Form 10-Q refer to Aterian, Inc. and our consolidated subsidiaries, including Aterian Group,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Aterian is a technology-enabled consumer products platform that builds, acquires and partners with e-commerce brands. Aterian was founded on the premise that if a company selling consumer packaged goods was founded today, it would apply AI and machine learning,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15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have launched and sold hundreds of SKUs on e-commerce platforms. Through the success of a number of those products we have incubated our own brands. We also have purchased brands and products when we believe it is more advantageous. Today, we own and operate fourteen brands which sell products in multiple categories, including home and kitchen appliances, kitchenware, heating, cooling and air quality appliances (dehumidifiers, humidifiers and air conditioners), health and beauty products and essential oils. Our fourteen brands include, hOmeLabs; Vremi, Xtava; RIF6; Aussie Health; Holonix; Truweo; Mueller; Pursteam; Pohl and Schmitt; Spiralizer; Healing Solutions, Squatty Potty; and Photo Paper Direct.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and changes in our product mix.</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58" w:lineRule="exact"/>
        <w:rPr>
          <w:sz w:val="20"/>
          <w:szCs w:val="20"/>
          <w:color w:val="auto"/>
        </w:rPr>
      </w:pPr>
    </w:p>
    <w:p>
      <w:pPr>
        <w:ind w:left="500"/>
        <w:spacing w:after="0"/>
        <w:tabs>
          <w:tab w:leader="none" w:pos="860" w:val="left"/>
          <w:tab w:leader="none" w:pos="9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Launch phase: During this phase, we leverage our technology to target opportunities identified using AIMEE (Artificial</w:t>
      </w:r>
      <w:r>
        <w:rPr>
          <w:sz w:val="20"/>
          <w:szCs w:val="20"/>
          <w:color w:val="auto"/>
        </w:rPr>
        <w:tab/>
      </w:r>
      <w:r>
        <w:rPr>
          <w:rFonts w:ascii="Arial" w:cs="Arial" w:eastAsia="Arial" w:hAnsi="Arial"/>
          <w:sz w:val="17"/>
          <w:szCs w:val="17"/>
          <w:b w:val="1"/>
          <w:bCs w:val="1"/>
          <w:color w:val="auto"/>
        </w:rPr>
        <w:t>I</w:t>
      </w:r>
      <w:r>
        <w:rPr>
          <w:rFonts w:ascii="Arial" w:cs="Arial" w:eastAsia="Arial" w:hAnsi="Arial"/>
          <w:sz w:val="17"/>
          <w:szCs w:val="17"/>
          <w:color w:val="auto"/>
        </w:rPr>
        <w:t>ntelligence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M</w:t>
      </w:r>
      <w:r>
        <w:rPr>
          <w:rFonts w:ascii="Arial" w:cs="Arial" w:eastAsia="Arial" w:hAnsi="Arial"/>
          <w:sz w:val="16"/>
          <w:szCs w:val="16"/>
          <w:color w:val="auto"/>
        </w:rPr>
        <w:t>arketplace</w:t>
      </w:r>
      <w:r>
        <w:rPr>
          <w:rFonts w:ascii="Arial" w:cs="Arial" w:eastAsia="Arial" w:hAnsi="Arial"/>
          <w:sz w:val="16"/>
          <w:szCs w:val="16"/>
          <w:b w:val="1"/>
          <w:bCs w:val="1"/>
          <w:color w:val="auto"/>
        </w:rPr>
        <w:t xml:space="preserve"> e</w:t>
      </w:r>
      <w:r>
        <w:rPr>
          <w:rFonts w:ascii="Arial" w:cs="Arial" w:eastAsia="Arial" w:hAnsi="Arial"/>
          <w:sz w:val="16"/>
          <w:szCs w:val="16"/>
          <w:color w:val="auto"/>
        </w:rPr>
        <w:t>-Commerce</w:t>
      </w:r>
      <w:r>
        <w:rPr>
          <w:rFonts w:ascii="Arial" w:cs="Arial" w:eastAsia="Arial" w:hAnsi="Arial"/>
          <w:sz w:val="16"/>
          <w:szCs w:val="16"/>
          <w:b w:val="1"/>
          <w:bCs w:val="1"/>
          <w:color w:val="auto"/>
        </w:rPr>
        <w:t xml:space="preserve"> E</w:t>
      </w:r>
      <w:r>
        <w:rPr>
          <w:rFonts w:ascii="Arial" w:cs="Arial" w:eastAsia="Arial" w:hAnsi="Arial"/>
          <w:sz w:val="16"/>
          <w:szCs w:val="16"/>
          <w:color w:val="auto"/>
        </w:rPr>
        <w:t>ngine) and other sources. During this period of time and due to the combination of discounts and investment in</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marketing, our net margin for a product could be as low as approximately negative 35%. Net margin is calculated by taking net revenue less the</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cost of goods sold, less fulfillment, online advertising and selling expenses. These costs primarily reflect the estimated variable costs related to</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sale of a product.</w:t>
      </w:r>
    </w:p>
    <w:p>
      <w:pPr>
        <w:spacing w:after="0" w:line="103" w:lineRule="exact"/>
        <w:rPr>
          <w:sz w:val="20"/>
          <w:szCs w:val="20"/>
          <w:color w:val="auto"/>
        </w:rPr>
      </w:pPr>
    </w:p>
    <w:p>
      <w:pPr>
        <w:ind w:left="880" w:hanging="373"/>
        <w:spacing w:after="0" w:line="25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880" w:right="120" w:hanging="373"/>
        <w:spacing w:after="0" w:line="255"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through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 Due to the Covid-19 pandemic impact on the global supply chain, the company is forced to increase its inventory on hand to avoid disruption in sales. The unpredictability of container availability, space on vessels and shipping lead times, as well as associated manufacturing lead time, forces us to secure more inventory upfront. Having more inventory on hand, not only impacts our working capital but also requires us to increase our storage capacity (warehouse network) which of itself has a capital impact.</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shows the number of launches of new products included in our net revenue that have achieved, or are expected to achieve, more than $0.5 million in net revenue per year.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5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5400" w:type="dxa"/>
            <w:vAlign w:val="bottom"/>
          </w:tcPr>
          <w:p>
            <w:pPr>
              <w:spacing w:after="0"/>
              <w:rPr>
                <w:sz w:val="13"/>
                <w:szCs w:val="13"/>
                <w:color w:val="auto"/>
              </w:rPr>
            </w:pPr>
          </w:p>
        </w:tc>
        <w:tc>
          <w:tcPr>
            <w:tcW w:w="100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1580" w:type="dxa"/>
            <w:vAlign w:val="bottom"/>
            <w:tcBorders>
              <w:top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Borders>
              <w:top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growth in direct revenue can be impacted by the timing and the season in which products are launched as well as impact of merger and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new product launches in the quarter ended September 30, 2021 due to global supply chain unpredictability.</w:t>
      </w:r>
    </w:p>
    <w:p>
      <w:pPr>
        <w:spacing w:after="0" w:line="21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Due to the COVID-19 pandemic’s impact on the global supply chain, we have increased our inventory on hand to avoid disruption in sales. The unpredictability of container availability, space on vessels and shipping lead times, as well as associated manufacturing lead time, requires us to secure more inventory than normal during each of a product’s phases (i.e., launch and sustain). Having more inventory on hand not only impacts our working capital but also requires us to increase our storage capacity (warehouse network), which of itself has a negative capital impact.</w:t>
      </w:r>
    </w:p>
    <w:p>
      <w:pPr>
        <w:spacing w:after="0" w:line="17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due to the COVID-19 pandemic’s impact on the global supply chain, we will be temporarily pausing the launch of new products manufactured in Asia, which is currently the majority source of our product launches. The sharp increase in shipping cost has made our target competitive pricing difficult to achieve and the current unpredictability of container availability makes it more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auto"/>
        </w:rPr>
        <w:t>difficult for us to maintain the required inventory levels, which in turn makes the potential and profitable success of product launches even more difficult to achieve in this current environment.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Net Revenue</w:t>
      </w:r>
      <w:r>
        <w:rPr>
          <w:rFonts w:ascii="Arial" w:cs="Arial" w:eastAsia="Arial" w:hAnsi="Arial"/>
          <w:sz w:val="17"/>
          <w:szCs w:val="17"/>
          <w:b w:val="1"/>
          <w:bCs w:val="1"/>
          <w:color w:val="auto"/>
        </w:rPr>
        <w:t>—</w:t>
      </w:r>
      <w:r>
        <w:rPr>
          <w:rFonts w:ascii="Arial" w:cs="Arial" w:eastAsia="Arial" w:hAnsi="Arial"/>
          <w:sz w:val="17"/>
          <w:szCs w:val="17"/>
          <w:color w:val="auto"/>
        </w:rPr>
        <w:t>We derive our revenue from the sale of consumer products, primarily in the United States. We sell products directly to consumers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6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Cost of Goods Sold—</w:t>
      </w:r>
      <w:r>
        <w:rPr>
          <w:rFonts w:ascii="Arial" w:cs="Arial" w:eastAsia="Arial" w:hAnsi="Arial"/>
          <w:sz w:val="16"/>
          <w:szCs w:val="16"/>
          <w:color w:val="auto"/>
        </w:rPr>
        <w:t>Cost of goods sold consists of the book value of inventory sold to customers during the reporting period. When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These increases may affect the way and the amount of product we order. If tariff increases are enacted in the future, our pricing actions are intended to offset the full gross margin impact from such tariffs. However, there are no assurances that these pricing actions will not reduce customer orders. Further, we can provide no assurances that future tariff increases will not be enacted.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Sales and Distribution Expenses—</w:t>
      </w:r>
      <w:r>
        <w:rPr>
          <w:rFonts w:ascii="Arial" w:cs="Arial" w:eastAsia="Arial" w:hAnsi="Arial"/>
          <w:sz w:val="16"/>
          <w:szCs w:val="16"/>
          <w:color w:val="auto"/>
        </w:rPr>
        <w:t>Shipping and handling expenses are included in our consolidated statements of operations in sales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for approximately 76% of the U.S., within one day and over 98% of the U.S. within two days, based on our sales history. We continually review the locations and capacity of our third-party warehouse to ensure we have the appropriate geographic reach, which helps to reduce the average last mile shipping zones to the end customer and as such our speed of delivery improves while our shipping costs to customers decreases, prior to the impacts in shipping providers rates.</w:t>
      </w:r>
    </w:p>
    <w:p>
      <w:pPr>
        <w:spacing w:after="0" w:line="164"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Interest Expense, Net</w:t>
      </w:r>
      <w:r>
        <w:rPr>
          <w:rFonts w:ascii="Arial" w:cs="Arial" w:eastAsia="Arial" w:hAnsi="Arial"/>
          <w:sz w:val="16"/>
          <w:szCs w:val="16"/>
          <w:color w:val="auto"/>
        </w:rPr>
        <w:t>— Interest expense, net includes the interest cost from our credit facility and term loan, and includes amortization of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costs and debt discounts from our credit facility (the “Credit Facility”) with MidCap Funding IV Trust (“MidCap”) and our term loans with High Trail Investments SA LLC (“High Trail SA”) and High Trail Investments ON LLC (“High Trail ON” and, together with High Trail SA, “High Trail”).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2021</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2020 and 2021, together with the changes in those items in dollars and percentages: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8"/>
          </w:tcPr>
          <w:p>
            <w:pPr>
              <w:jc w:val="right"/>
              <w:ind w:right="27"/>
              <w:spacing w:after="0" w:line="155" w:lineRule="exact"/>
              <w:rPr>
                <w:sz w:val="20"/>
                <w:szCs w:val="20"/>
                <w:color w:val="auto"/>
              </w:rPr>
            </w:pPr>
            <w:r>
              <w:rPr>
                <w:rFonts w:ascii="Arial" w:cs="Arial" w:eastAsia="Arial" w:hAnsi="Arial"/>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68,121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8"/>
              </w:rPr>
              <w:t>Change in fair value of contingent earn-out liabilities</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(4,245)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(7,527)</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(7,633)</w:t>
            </w:r>
          </w:p>
        </w:tc>
        <w:tc>
          <w:tcPr>
            <w:tcW w:w="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(7,200.9)</w:t>
            </w: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Derivative liability discount related to term loan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(109,730)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(13,631.1)</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(13633.7)%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8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gridSpan w:val="3"/>
          </w:tcPr>
          <w:p>
            <w:pPr>
              <w:jc w:val="right"/>
              <w:ind w:right="67"/>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32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6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3,335</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4"/>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Total stock-based compensation expense</w:t>
            </w:r>
          </w:p>
        </w:tc>
        <w:tc>
          <w:tcPr>
            <w:tcW w:w="1400" w:type="dxa"/>
            <w:vAlign w:val="bottom"/>
          </w:tcPr>
          <w:p>
            <w:pPr>
              <w:spacing w:after="0"/>
              <w:rPr>
                <w:sz w:val="19"/>
                <w:szCs w:val="19"/>
                <w:color w:val="auto"/>
              </w:rPr>
            </w:pPr>
          </w:p>
        </w:tc>
        <w:tc>
          <w:tcPr>
            <w:tcW w:w="920" w:type="dxa"/>
            <w:vAlign w:val="bottom"/>
          </w:tcPr>
          <w:p>
            <w:pPr>
              <w:jc w:val="right"/>
              <w:ind w:right="74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4,861</w:t>
            </w:r>
          </w:p>
        </w:tc>
        <w:tc>
          <w:tcPr>
            <w:tcW w:w="22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9,570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74"/>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38</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325"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Three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49.8%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Sales and distribution expenses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Derivative liability discount related to term loan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Change in fair market value of warrant liability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Loss before income taxes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39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00" w:type="dxa"/>
            <w:vAlign w:val="bottom"/>
            <w:tcBorders>
              <w:top w:val="single" w:sz="8" w:color="auto"/>
            </w:tcBorders>
            <w:gridSpan w:val="6"/>
          </w:tcPr>
          <w:p>
            <w:pPr>
              <w:jc w:val="right"/>
              <w:ind w:right="10"/>
              <w:spacing w:after="0" w:line="155" w:lineRule="exact"/>
              <w:rPr>
                <w:sz w:val="20"/>
                <w:szCs w:val="20"/>
                <w:color w:val="auto"/>
              </w:rPr>
            </w:pPr>
            <w:r>
              <w:rPr>
                <w:rFonts w:ascii="Arial" w:cs="Arial" w:eastAsia="Arial" w:hAnsi="Arial"/>
                <w:sz w:val="14"/>
                <w:szCs w:val="14"/>
                <w:color w:val="auto"/>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66,075</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17,654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Wholesale</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(8,043)</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Managed PaaS</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(273)</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6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58,783</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68,121</w:t>
            </w:r>
          </w:p>
        </w:tc>
        <w:tc>
          <w:tcPr>
            <w:tcW w:w="2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9,338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revenue increased $9.3 million, or 15.9%, during the three months ended September 30, 2021 to $68.1 million, compared to $58.8 million for the three months ended September 30, 2020. The increase in net revenue was primarily attributable to an increase in direct net revenue of $17.7 million, or a 36.5% increase. Direct net revenue is comprised of both organic net revenue and net revenue from our merger and acquisitions (“M&amp;A”). For the three months ended September 30, 2021, organic revenue was $35.4 million and revenue from our M&amp;A was $30.7 million. For the three months ended September 30, 2020, organic revenue was $46.9 million and revenue from our M&amp;A was $1.4 million. Our organic revenue decreased by $11.6 million, or 24.6%, during the three months ended September 30, 2021, as compared to the three months ended September 30, 2020. This decrease was primarily driven by reduced sales volume, which we attribute to reduced demand due to the reopening of retail and increased average sale prices to offset increased delivery costs which has also reduced sales volume and in inventory shorts due to delayed receipt of goods. Included in our organic net revenue for the three months ended September 30, 2021, is approximately $4.9 million of revenue for products launched in 2021. Included in our organic net revenue for the three months ended September 30, 2020 is approximately $7.9 million of revenue for products launched in 2020.</w:t>
      </w:r>
    </w:p>
    <w:p>
      <w:pPr>
        <w:spacing w:after="0" w:line="16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also saw a decrease in wholesale revenue of $8.0 million versus the corresponding period of the prior year, primarily from the sale of PPE in the three months ended September 30, 2020. Finally, we saw a decrease in PaaS revenue of $0.3 million in the three months ended September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9"/>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40" w:type="dxa"/>
            <w:vAlign w:val="bottom"/>
            <w:gridSpan w:val="4"/>
          </w:tcPr>
          <w:p>
            <w:pPr>
              <w:jc w:val="right"/>
              <w:ind w:right="669"/>
              <w:spacing w:after="0" w:line="155"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35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31,986</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6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29,988</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Home office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10,418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58,443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68,054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Managed PaaS</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58,783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68,121</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Heating, cooling and air quality accounted for $30.0 million in net revenue for the three months ended September 30, 2021 versus $31.9 million for the three months ended September 30, 2020 driven by reduced sales volume, which we attribute to reduced demand due to the reopening of retail and increased average sale prices to offset increased delivery costs which has also reduced sales volume and in inventory shorts due to delayed receipt of goods.</w:t>
      </w:r>
    </w:p>
    <w:p>
      <w:pPr>
        <w:spacing w:after="0" w:line="1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Kitchen appliances accounted for $8.1 million in net revenue for the three months ended September 30, 2021 and accounted for $9.6 million in net revenue for the corresponding period in 2020, a decrease of $1.5 million. Cookware, kitchen tools and gadgets accounted for approximately $5.2 million in net revenue for the three months ended September 30, 2021 and accounted for $1.0 million in net revenue for the corresponding period in 2020, an increase of $4.2 million from new products launched and growth in our existing products during the three months ended September 30, 2021, including acquisitions. Net revenue from housewares increased approximately $9.9 million quarter-over-quarter from growth in our existing products and new products obtained through acquisitions. We started selling essential oils and related accessories in 2021, which generated $5.7 million in net revenue for the three months ended September 30,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94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5"/>
          </w:tcPr>
          <w:p>
            <w:pPr>
              <w:jc w:val="right"/>
              <w:ind w:right="120"/>
              <w:spacing w:after="0" w:line="155" w:lineRule="exact"/>
              <w:rPr>
                <w:sz w:val="20"/>
                <w:szCs w:val="20"/>
                <w:color w:val="auto"/>
              </w:rPr>
            </w:pPr>
            <w:r>
              <w:rPr>
                <w:rFonts w:ascii="Arial" w:cs="Arial" w:eastAsia="Arial" w:hAnsi="Arial"/>
                <w:sz w:val="14"/>
                <w:szCs w:val="14"/>
                <w:color w:val="auto"/>
              </w:rPr>
              <w:t>(in thousands, except percentage)</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30,688</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33,946</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28,095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34,175</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6,080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bl>
    <w:p>
      <w:pPr>
        <w:spacing w:after="0" w:line="2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increase in cost of goods sold was primarily attributable to an increase of $12.7 million from our M&amp;A additions, offset by a $9.5 million decrease in cost of goods sold from our organic business and wholesale. Included in cost of goods for the three months ended September 30, 2021 is an expense of $0.5 million related to obsolescence reserve related to slow moving inventory, which primarily impacts our organic business.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Gross margin improved from 47.8% for the three months ended September 30, 2020 to 50.2% for the three months ended September 30, 2021. The improvement in gross margin was due to a change of product mix as our net revenue from our M&amp;A drives better gross margin of 57.8% than our organic business of 45.9%. The obsolescence expense impact in the three months ended September 30, 2021 accounts for less than a 1% margin impact on our organic business. The majority of our M&amp;A net revenue tends to be smaller products that have higher gross margins versus our organic business which tend to be oversized goods that have lower gross margins. We expect to see future impacts in our gross margin on both our M&amp;A and organic businesses as the COVID-19 pandemic and related global supply chain disruption continues to drive shipping container costs higher and cause reductions in delivery reliability, which also increases related shipping container delivery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504"/>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5"/>
          </w:tcPr>
          <w:p>
            <w:pPr>
              <w:jc w:val="center"/>
              <w:ind w:left="744"/>
              <w:spacing w:after="0" w:line="155" w:lineRule="exact"/>
              <w:rPr>
                <w:sz w:val="20"/>
                <w:szCs w:val="20"/>
                <w:color w:val="auto"/>
              </w:rPr>
            </w:pPr>
            <w:r>
              <w:rPr>
                <w:rFonts w:ascii="Arial" w:cs="Arial" w:eastAsia="Arial" w:hAnsi="Arial"/>
                <w:sz w:val="14"/>
                <w:szCs w:val="14"/>
                <w:color w:val="auto"/>
                <w:w w:val="90"/>
              </w:rPr>
              <w:t>(in thousands, except percentage)</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18,944</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Sales and distribution expenses which included e-commerce platform commissions, online advertising and logistics expenses (i.e., variable sales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 increased to $32.3 million for the three months ended September 30, 2021 from $18.9 million for the three months ended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2020. These increases are primarily attributable to the increase in the volume of products sold in the three months ended September 30, 2021, of $9.9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 our e-commerce platform commissions, online advertising, selling and logistics expenses increased to $26.8 million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as compared to $16.9 million in the prior period. Our sales and distribution fixed costs (i.e., salary and office expenses)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million for the three months ended September 30, 2021 from $1.3 million for the three months ended September 30, 2020, primarily due to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headcount expenses for branding, marketing and customer service. Sales and distribution expenses for the three months ended September 30,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an increase in stock-based compensation expense of $2.4 million as compared to approximately $0.8 million as the quarter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included reversals of expense of certain restricted stock awards granted pursuant to the Aterian, Inc. 2019 Equity Plan (the “2019 Equity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which were cancelled upon termination of certain employees.</w:t>
      </w:r>
    </w:p>
    <w:p>
      <w:pPr>
        <w:spacing w:after="0" w:line="2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a percentage of net revenue, sales and distribution expenses increased to 47.5% for the three months ended September 30, 2021 from 32.2% for the three months ended September 30, 2020 primarily from an increase in last mile shipping costs and stock-based compensation expense (2.5% as a percentage of net revenue). E-commerce platform commissions, online advertising, selling and logistics expenses included within sales and distribution expenses, as a percentage of net revenue, were 39.4% for the three months ended September 30, 2021 as compared to 28.7% for the three months ended September 30, 2020, this increase was predominantly due to product mix and an increase in last mile shipping costs, specifically around oversized goods, due to the demand on those third party providers delivery networks. We expect to continue to see these cost increases in the near-term.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w:t>
            </w: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3"/>
              </w:rPr>
              <w:t>1,846</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49.9%</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research and development expenses was primarily attributable to an increase of stock-based compensation expense of approximately $1.0 million from expenses of certain restricted stock awards granted.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5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55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5"/>
          </w:tcPr>
          <w:p>
            <w:pPr>
              <w:jc w:val="center"/>
              <w:ind w:left="99"/>
              <w:spacing w:after="0" w:line="155" w:lineRule="exact"/>
              <w:rPr>
                <w:sz w:val="20"/>
                <w:szCs w:val="20"/>
                <w:color w:val="auto"/>
              </w:rPr>
            </w:pPr>
            <w:r>
              <w:rPr>
                <w:rFonts w:ascii="Arial" w:cs="Arial" w:eastAsia="Arial" w:hAnsi="Arial"/>
                <w:sz w:val="14"/>
                <w:szCs w:val="14"/>
                <w:color w:val="auto"/>
                <w:w w:val="90"/>
              </w:rPr>
              <w:t>(in thousands, except percentage)</w:t>
            </w: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88"/>
              </w:rPr>
              <w:t>7,199</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10,843</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general and administrative expenses was primarily due to an increase of stock-based compensation expense of approximately $2.0 million from expenses of certain restricted stock awards granted pursuant to the 2019 Equity Plan and an increase in intangibles amortization of approximately $1.5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2"/>
              </w:rPr>
              <w:t>(in thousands)</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5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(4,245)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(4,245)</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decrease in change in fair value of contingent earn-out liabilities was related to our acquisitions, which include re-assessment of the estimated fair value of contingent consideration as part of the purchase price, primarily driven by the decrease of our share price since the date of each acquisition and contribution margin projections.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w w:val="98"/>
              </w:rPr>
              <w:t>Three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582"/>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160" w:type="dxa"/>
            <w:vAlign w:val="bottom"/>
          </w:tcPr>
          <w:p>
            <w:pPr>
              <w:jc w:val="right"/>
              <w:ind w:right="44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02"/>
              <w:spacing w:after="0" w:line="155" w:lineRule="exact"/>
              <w:rPr>
                <w:sz w:val="20"/>
                <w:szCs w:val="20"/>
                <w:color w:val="auto"/>
              </w:rPr>
            </w:pPr>
            <w:r>
              <w:rPr>
                <w:rFonts w:ascii="Arial" w:cs="Arial" w:eastAsia="Arial" w:hAnsi="Arial"/>
                <w:sz w:val="14"/>
                <w:szCs w:val="14"/>
                <w:color w:val="auto"/>
                <w:w w:val="92"/>
              </w:rPr>
              <w:t>(in thousands)</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198.3%</w:t>
            </w:r>
          </w:p>
        </w:tc>
      </w:tr>
    </w:tbl>
    <w:p>
      <w:pPr>
        <w:spacing w:after="0" w:line="20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increase in interest expense was primarily related to the increase in loan interest and related amortization of deferred financing fees and warrant discounts compared to the prior period’s credit facility and term loan, which had lower borrowings compared to this current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44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02"/>
              <w:spacing w:after="0" w:line="155" w:lineRule="exact"/>
              <w:rPr>
                <w:sz w:val="20"/>
                <w:szCs w:val="20"/>
                <w:color w:val="auto"/>
              </w:rPr>
            </w:pPr>
            <w:r>
              <w:rPr>
                <w:rFonts w:ascii="Arial" w:cs="Arial" w:eastAsia="Arial" w:hAnsi="Arial"/>
                <w:sz w:val="14"/>
                <w:szCs w:val="14"/>
                <w:color w:val="auto"/>
                <w:w w:val="92"/>
              </w:rPr>
              <w:t>(in thousands)</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106,991</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106,991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is attributable to the extinguishment of the majority of the April 2021 Note loan, which resulted in $107.0 million in loss on extinguishment of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center"/>
              <w:ind w:left="19"/>
              <w:spacing w:after="0" w:line="155" w:lineRule="exact"/>
              <w:rPr>
                <w:sz w:val="20"/>
                <w:szCs w:val="20"/>
                <w:color w:val="auto"/>
              </w:rPr>
            </w:pPr>
            <w:r>
              <w:rPr>
                <w:rFonts w:ascii="Arial" w:cs="Arial" w:eastAsia="Arial" w:hAnsi="Arial"/>
                <w:sz w:val="14"/>
                <w:szCs w:val="14"/>
                <w:color w:val="auto"/>
                <w:w w:val="91"/>
              </w:rPr>
              <w:t>(in thousands, except percentage)</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(8,134)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(8,134)</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decrease is attributable to the change in the fair value of warrant liability from warrants in connection with the December 2020 Note, the February 2021 Note and April 2021 Note from the decrease of our share price since the issuances of the warrants.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1"/>
              </w:rPr>
              <w:t>(in thousands, except percentage)</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648"/>
        </w:trPr>
        <w:tc>
          <w:tcPr>
            <w:tcW w:w="4140" w:type="dxa"/>
            <w:vAlign w:val="bottom"/>
          </w:tcPr>
          <w:p>
            <w:pPr>
              <w:spacing w:after="0"/>
              <w:rPr>
                <w:sz w:val="24"/>
                <w:szCs w:val="24"/>
                <w:color w:val="auto"/>
              </w:rPr>
            </w:pPr>
          </w:p>
        </w:tc>
        <w:tc>
          <w:tcPr>
            <w:tcW w:w="1720" w:type="dxa"/>
            <w:vAlign w:val="bottom"/>
            <w:gridSpan w:val="2"/>
          </w:tcPr>
          <w:p>
            <w:pPr>
              <w:jc w:val="right"/>
              <w:ind w:right="68"/>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The decrease is attributable to the change in fair-value of the embedded derivatives related to default interest rates within the High Trail term loan .</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2021</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2020 and 2021, together with the changes in those items in dollars and percentages: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467"/>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5"/>
          </w:tcPr>
          <w:p>
            <w:pPr>
              <w:ind w:left="240"/>
              <w:spacing w:after="0" w:line="155" w:lineRule="exact"/>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right"/>
              <w:ind w:right="340"/>
              <w:spacing w:after="0" w:line="155" w:lineRule="exact"/>
              <w:rPr>
                <w:sz w:val="20"/>
                <w:szCs w:val="20"/>
                <w:color w:val="auto"/>
              </w:rPr>
            </w:pPr>
            <w:r>
              <w:rPr>
                <w:rFonts w:ascii="Arial" w:cs="Arial" w:eastAsia="Arial" w:hAnsi="Arial"/>
                <w:sz w:val="14"/>
                <w:szCs w:val="14"/>
                <w:color w:val="auto"/>
                <w:w w:val="99"/>
              </w:rPr>
              <w:t>(in thousands)</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144,212</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184,446</w:t>
            </w:r>
          </w:p>
        </w:tc>
        <w:tc>
          <w:tcPr>
            <w:tcW w:w="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40,234</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78,218</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91,464</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13,246</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65,994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92,982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26,988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51,472</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96,716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45,244</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23,554</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31,807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8,253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(11,949)</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92"/>
              </w:rPr>
              <w:t>(11,949)</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(15,610)</w:t>
            </w:r>
          </w:p>
        </w:tc>
        <w:tc>
          <w:tcPr>
            <w:tcW w:w="180" w:type="dxa"/>
            <w:vAlign w:val="bottom"/>
          </w:tcPr>
          <w:p>
            <w:pPr>
              <w:spacing w:after="0"/>
              <w:rPr>
                <w:sz w:val="22"/>
                <w:szCs w:val="22"/>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(30,812)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(15,202)</w:t>
            </w:r>
          </w:p>
        </w:tc>
        <w:tc>
          <w:tcPr>
            <w:tcW w:w="20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11,877</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Derivative liability discount related to term loan</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3,254</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136,763</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136,763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26,455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26,455</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vMerge w:val="continue"/>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(18,726)</w:t>
            </w: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(229,351)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(210,625)</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(18,772)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(229,415)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(210,643)</w:t>
            </w:r>
          </w:p>
        </w:tc>
        <w:tc>
          <w:tcPr>
            <w:tcW w:w="20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60" w:type="dxa"/>
            <w:vAlign w:val="bottom"/>
            <w:gridSpan w:val="5"/>
          </w:tcPr>
          <w:p>
            <w:pPr>
              <w:ind w:left="380"/>
              <w:spacing w:after="0"/>
              <w:rPr>
                <w:sz w:val="20"/>
                <w:szCs w:val="20"/>
                <w:color w:val="auto"/>
              </w:rPr>
            </w:pPr>
            <w:r>
              <w:rPr>
                <w:rFonts w:ascii="Arial" w:cs="Arial" w:eastAsia="Arial" w:hAnsi="Arial"/>
                <w:sz w:val="18"/>
                <w:szCs w:val="18"/>
                <w:color w:val="auto"/>
              </w:rPr>
              <w:t>(1)  Amounts include stock-based compensation expense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10"/>
          </w:tcPr>
          <w:p>
            <w:pPr>
              <w:jc w:val="center"/>
              <w:ind w:right="11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5"/>
          </w:tcPr>
          <w:p>
            <w:pPr>
              <w:jc w:val="center"/>
              <w:ind w:right="140"/>
              <w:spacing w:after="0" w:line="155" w:lineRule="exact"/>
              <w:rPr>
                <w:sz w:val="20"/>
                <w:szCs w:val="20"/>
                <w:color w:val="auto"/>
              </w:rPr>
            </w:pPr>
            <w:r>
              <w:rPr>
                <w:rFonts w:ascii="Arial" w:cs="Arial" w:eastAsia="Arial" w:hAnsi="Arial"/>
                <w:sz w:val="14"/>
                <w:szCs w:val="14"/>
                <w:color w:val="auto"/>
                <w:w w:val="92"/>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5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w:t>
            </w:r>
          </w:p>
        </w:tc>
        <w:tc>
          <w:tcPr>
            <w:tcW w:w="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17,472</w:t>
            </w:r>
          </w:p>
        </w:tc>
        <w:tc>
          <w:tcPr>
            <w:tcW w:w="3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00" w:lineRule="exact"/>
        <w:rPr>
          <w:sz w:val="20"/>
          <w:szCs w:val="20"/>
          <w:color w:val="auto"/>
        </w:rPr>
      </w:pPr>
    </w:p>
    <w:p>
      <w:pPr>
        <w:spacing w:after="0" w:line="233"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2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tcPr>
          <w:p>
            <w:pPr>
              <w:jc w:val="right"/>
              <w:ind w:right="75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54.2%</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45.8%</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Arial" w:cs="Arial" w:eastAsia="Arial" w:hAnsi="Arial"/>
                <w:sz w:val="18"/>
                <w:szCs w:val="18"/>
                <w:color w:val="auto"/>
              </w:rPr>
              <w:t>Sales and distribution expenses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35.7%</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4.6%</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2.2%</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Derivative liability discount related to term loan</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Arial" w:cs="Arial" w:eastAsia="Arial" w:hAnsi="Arial"/>
                <w:sz w:val="18"/>
                <w:szCs w:val="18"/>
                <w:color w:val="auto"/>
              </w:rPr>
              <w:t>Change in fair market value of warrant liability</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Other expense, net</w:t>
            </w:r>
          </w:p>
        </w:tc>
        <w:tc>
          <w:tcPr>
            <w:tcW w:w="1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(13.0)%</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(13.0)%</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44</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8"/>
              </w:rPr>
              <w:t>Nine Months Ended September 30,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45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6"/>
          </w:tcPr>
          <w:p>
            <w:pPr>
              <w:jc w:val="right"/>
              <w:ind w:right="110"/>
              <w:spacing w:after="0" w:line="155" w:lineRule="exact"/>
              <w:rPr>
                <w:sz w:val="20"/>
                <w:szCs w:val="20"/>
                <w:color w:val="auto"/>
              </w:rPr>
            </w:pPr>
            <w:r>
              <w:rPr>
                <w:rFonts w:ascii="Arial" w:cs="Arial" w:eastAsia="Arial" w:hAnsi="Arial"/>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180,308</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52,950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Wholesale</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15,808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(12,027)</w:t>
            </w: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Managed PaaS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(689)</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9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144,212</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184,446</w:t>
            </w:r>
          </w:p>
        </w:tc>
        <w:tc>
          <w:tcPr>
            <w:tcW w:w="26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40,234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Net revenue increased $40.2 million, or 27.9% during the nine months ended September 30, 2021 to $184.4 million compared to $144.2 million for the nine months ended September 30, 2020. The increase in net revenue was primarily attributable to increased direct sales volume of $180.3 million, or a</w:t>
      </w:r>
    </w:p>
    <w:p>
      <w:pPr>
        <w:ind w:right="100"/>
        <w:spacing w:after="0" w:line="268" w:lineRule="auto"/>
        <w:rPr>
          <w:sz w:val="20"/>
          <w:szCs w:val="20"/>
          <w:color w:val="auto"/>
        </w:rPr>
      </w:pPr>
      <w:r>
        <w:rPr>
          <w:rFonts w:ascii="Arial" w:cs="Arial" w:eastAsia="Arial" w:hAnsi="Arial"/>
          <w:sz w:val="17"/>
          <w:szCs w:val="17"/>
          <w:color w:val="auto"/>
        </w:rPr>
        <w:t>41.6% increase. Direct net revenue is comprised of both organic net revenue and net revenue from our M&amp;A. For the nine months ended September 30, 2021, organic revenue was $87.8 million and revenue from our M&amp;A was $92.7 million. For the nine months ended September 30, 2020, organic revenue was $125.9 million and revenue from our M&amp;A was $1.4 million. Our organic revenue decreased by $38.1 million or 30.3% during the nine months September 30, 2021, as compared to the nine months ended September 30, 2020. This decrease was primarily driven by reduced sales volume, which we attribute to reduced demand due to the reopening of retail and increased average sale prices to offset increased delivery costs which has also reduced sales volume and in inventory shorts due to delayed receipt of goods. Included in our organic net revenue for the nine months ended September 30, 2021 is approximately $12.2 million of revenue for products launched in 2021. Included in our organic net revenue for the nine months ended September 30, 2020 is approximately $17.7 million of revenue for products launched in 2020.</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also saw a decrease in wholesale revenue of approximately $12.0 million versus the corresponding period of the prior year, primarily from a decrease in the sale of PPE in the nine months ended September 30, 2021. Finally, we saw a decrease in Managed PaaS revenue of approximately $0.6 million in the nine months ended September 30, 2021.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gridSpan w:val="4"/>
          </w:tcPr>
          <w:p>
            <w:pPr>
              <w:jc w:val="right"/>
              <w:ind w:right="609"/>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34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71,403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27,805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29,208</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Home office</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7,710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143,166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184,089</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Managed PaaS</w:t>
            </w:r>
          </w:p>
        </w:tc>
        <w:tc>
          <w:tcPr>
            <w:tcW w:w="25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Pr>
          <w:p>
            <w:pPr>
              <w:spacing w:after="0"/>
              <w:rPr>
                <w:sz w:val="19"/>
                <w:szCs w:val="19"/>
                <w:color w:val="auto"/>
              </w:rPr>
            </w:pP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144,212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184,446</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Heating, cooling and air quality accounted for $63.0 million in net revenue for the nine months ended September 30, 2021 versus $71.4 million for the nine months ended September 30, 2020 driven by reduced sales volume, which we attribute to reduced demand due to the reopening of retail and increased average sale prices to offset increased delivery costs which has also reduced sales volume and in inventory shorts due to delayed receipt of goods.</w:t>
      </w:r>
    </w:p>
    <w:p>
      <w:pPr>
        <w:spacing w:after="0" w:line="1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Kitchen appliances accounted for $29.2 million in net revenue for the nine months ended September 30, 2021 and accounted for $27.8 million in net revenue for the corresponding period in 2020, an increase of $1.4 million from new products launched and growth in our existing products during the nine months ended September 30, 2021, including acquisitions. Cookware, kitchen tools and gadgets accounted for approximately $4.0 million in net revenue for the nine months ended September 30, 2020 and accounted for $16.9 million in net revenue for the corresponding period in 2021, an increase of $12.9 million from new products launched and growth in our existing products during the nine months ended September 30, 2021, including acquisitions. Net revenue from housewares increased approximately $23.6 million from growth in our existing products and new products obtained through acquisitions. We started selling essential oils and related accessories in 2021, which generated $23.0 million in net revenue for the nine months ended September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right"/>
              <w:ind w:right="200"/>
              <w:spacing w:after="0" w:line="155" w:lineRule="exact"/>
              <w:rPr>
                <w:sz w:val="20"/>
                <w:szCs w:val="20"/>
                <w:color w:val="auto"/>
              </w:rPr>
            </w:pPr>
            <w:r>
              <w:rPr>
                <w:rFonts w:ascii="Arial" w:cs="Arial" w:eastAsia="Arial" w:hAnsi="Arial"/>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5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87"/>
              </w:rPr>
              <w:t>78,218</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258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w w:val="87"/>
              </w:rPr>
              <w:t>65,994</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92,982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26,988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r>
    </w:tbl>
    <w:p>
      <w:pPr>
        <w:spacing w:after="0" w:line="20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increase in cost of goods sold was primarily attributable to an increase of $38.3 million from our M&amp;A additions, offset by a $17.7 million decrease in cost of goods sold from our organic business and $7.4 million from PPE. Included in cost of goods for the nine months ended September 30, 2021, is an expense of $3.0 million related to obsolescence reserve related to slow moving inventory, which primarily impacts our organic business.</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margin improved from 45.8% for the nine months ended September 30, 2020 to 50.4% for the nine months ended September 30, 2021. The improvement in gross margin was due to a change of product mix as our net revenue from our M&amp;A drives better gross margin of 58.4% than our organic business of 43.2%. The obsolescence expense impact in the nine months ended September 30, 2021, accounts for approximately 1.6% of the margin impact on our organic business. The majority of our M&amp;A net revenue tends to be smaller products that have higher gross margins versus our organic business, which tend to be oversized goods that have lower gross margins. We expect to see future impacts in our gross margin on both our M&amp;A and organic businesses as the international shipping container crisis continues to drive shipping container costs higher and cause reductions in delivery reliability which also increases related shipping container delivery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center"/>
              <w:ind w:left="17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1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87"/>
              </w:rPr>
              <w:t>51,472</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87.9%</w:t>
            </w:r>
          </w:p>
        </w:tc>
      </w:tr>
    </w:tbl>
    <w:p>
      <w:pPr>
        <w:spacing w:after="0" w:line="20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Sales and distribution expenses which included e-commerce platform commissions, online advertising and logistics expenses (i.e., variable sales and distribution expense), increased to $96.7 million for the nine months ended September 30, 2021 from $51.5 million for the nine months ended September 30, 2020. These increases are primarily attributable to the increase in the volume of products sold in the nine months ended September 30, 2021, of $32.4 million as our e-commerce platform commissions, online advertising, selling and logistics expenses increased to $77.9 million in the nine months ended September 30, 2021 as compared to $45.5 million in the prior period, approximately $4.1 million of bad debt reserve from our dispute with certain a PPE supplier and approximately $1.5 million of professional fees from transition services charges from certain of our M&amp;A businesses. Our sales and distribution fixed costs (i.e., salary and office expenses) increased to $8.3 million for the nine months ended September 30, 2021 from $4.2 million for the nine months ended September 30, 2020 primarily due to an increase in headcount expenses versus the prior period primarily for branding, marketing and customer service. Sales and distribution expenses for the nine months ended September 30, 2021 included an increase in stock-based compensation expense of $3.2 million as the prior quarter period included reversals of expense of certain restricted stock awards granted pursuant to the 2019 Equity Plan, which were cancelled upon termination of certain employees.</w:t>
      </w:r>
    </w:p>
    <w:p>
      <w:pPr>
        <w:spacing w:after="0" w:line="18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As a percentage of net revenue, sales and distribution expenses increased to 52.24% for the nine months ended September 30, 2021 from 35.7% for the nine months ended September 30, 2020 primarily from an increase in last mile shipping costs, bad debt reserve (2.2% as a percentage of net revenue), professional fees from transition services (1.0% as a percentage of net revenue) and stock-based compensation expense (1.7% as a percentage of net revenue). E-commerce platform commissions, online advertising, selling and logistics expenses included within sales and distribution expenses, as a percentage of net revenue, were 42.2% for the nine months ended September 30, 2021 as compared to 31.6% for the nine months ended September 30, 2020, this increase is predominantly due to product mix and an to the increase in last mile shipping costs, specifically around oversized goods, due to the demand on those third party providers delivery networks. We expect to see these cost increases continue in the near-term.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5"/>
          </w:tcPr>
          <w:p>
            <w:pPr>
              <w:jc w:val="center"/>
              <w:ind w:left="139"/>
              <w:spacing w:after="0" w:line="155" w:lineRule="exact"/>
              <w:rPr>
                <w:sz w:val="20"/>
                <w:szCs w:val="20"/>
                <w:color w:val="auto"/>
              </w:rPr>
            </w:pPr>
            <w:r>
              <w:rPr>
                <w:rFonts w:ascii="Arial" w:cs="Arial" w:eastAsia="Arial" w:hAnsi="Arial"/>
                <w:sz w:val="14"/>
                <w:szCs w:val="14"/>
                <w:color w:val="auto"/>
                <w:w w:val="90"/>
              </w:rPr>
              <w:t>(in thousands, except percentage)</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7"/>
              </w:rPr>
              <w:t>6,578</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7,220</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increase in research and development expenses was primarily attributable to an increase of stock-based compensation expense of approximately $0.6 million from expenses of certain restricted stock awards granted.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5"/>
          </w:tcPr>
          <w:p>
            <w:pPr>
              <w:jc w:val="center"/>
              <w:ind w:left="179"/>
              <w:spacing w:after="0" w:line="155" w:lineRule="exact"/>
              <w:rPr>
                <w:sz w:val="20"/>
                <w:szCs w:val="20"/>
                <w:color w:val="auto"/>
              </w:rPr>
            </w:pPr>
            <w:r>
              <w:rPr>
                <w:rFonts w:ascii="Arial" w:cs="Arial" w:eastAsia="Arial" w:hAnsi="Arial"/>
                <w:sz w:val="14"/>
                <w:szCs w:val="14"/>
                <w:color w:val="auto"/>
                <w:w w:val="90"/>
              </w:rPr>
              <w:t>(in thousands, except percentage)</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87"/>
              </w:rPr>
              <w:t>23,554</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31,807</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increase in general and administrative expenses was primarily due to an increase of professional fees of approximately $3.2 million related to merger and acquisition costs, including legal, audit and internal control related fees and an increase in intangibles amortization of approximately $4.1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1"/>
              </w:rPr>
              <w:t>(in thousands, except percentage)</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5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(11,949)</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change in fair value of contingent earn-out liabilities was related to our acquisitions, which include re-assessment of the estimated fair value of contingent consideration as part of the purchase price, primarily driven by the increase of our share price since the date of each acquisition and contribution margin projections.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342"/>
              <w:spacing w:after="0"/>
              <w:rPr>
                <w:sz w:val="20"/>
                <w:szCs w:val="20"/>
                <w:color w:val="auto"/>
              </w:rPr>
            </w:pPr>
            <w:r>
              <w:rPr>
                <w:rFonts w:ascii="Arial" w:cs="Arial" w:eastAsia="Arial" w:hAnsi="Arial"/>
                <w:sz w:val="14"/>
                <w:szCs w:val="14"/>
                <w:b w:val="1"/>
                <w:bCs w:val="1"/>
                <w:color w:val="auto"/>
                <w:w w:val="98"/>
              </w:rPr>
              <w:t>Nine Months Ended September 30,</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8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1180" w:type="dxa"/>
            <w:vAlign w:val="bottom"/>
          </w:tcPr>
          <w:p>
            <w:pPr>
              <w:jc w:val="right"/>
              <w:ind w:right="46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22"/>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3,120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11,877</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280.7%</w:t>
            </w:r>
          </w:p>
        </w:tc>
      </w:tr>
    </w:tbl>
    <w:p>
      <w:pPr>
        <w:spacing w:after="0" w:line="20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increase in interest expense was primarily related to the increase in loan interest and related amortization of deferred financing fees and warrant discounts compared to the prior period’s credit facility and term loan, which had lower borrowings compared to this current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136,763</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136,763</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18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increase is attributable to the payment and termination of the High Trail December 2020 Note, February 2021 Note and the termination of the Credit Facility, which resulted in $29.8 million in loss on extinguishment of debt consisting of unamortized deferred finance costs and the extinguishment of the majority of the April 2021 Note loan, which resulted in $107.0 million in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980" w:type="dxa"/>
            <w:vAlign w:val="bottom"/>
          </w:tcPr>
          <w:p>
            <w:pPr>
              <w:jc w:val="right"/>
              <w:ind w:right="51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5"/>
          </w:tcPr>
          <w:p>
            <w:pPr>
              <w:ind w:left="320"/>
              <w:spacing w:after="0" w:line="155" w:lineRule="exact"/>
              <w:rPr>
                <w:sz w:val="20"/>
                <w:szCs w:val="20"/>
                <w:color w:val="auto"/>
              </w:rPr>
            </w:pPr>
            <w:r>
              <w:rPr>
                <w:rFonts w:ascii="Arial" w:cs="Arial" w:eastAsia="Arial" w:hAnsi="Arial"/>
                <w:sz w:val="14"/>
                <w:szCs w:val="14"/>
                <w:color w:val="auto"/>
                <w:w w:val="99"/>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Loss on initial issuance of warrant</w:t>
            </w:r>
          </w:p>
        </w:tc>
        <w:tc>
          <w:tcPr>
            <w:tcW w:w="17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20,147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20,147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increase is attributable to the change in the fair value of warrant liability from warrants in connection with the December 2020 Note and the February 2021 Note from the increase of our share price since the issuances of the warrants. The loss on initial issuance of warrants for the nine months ended September 30, 2021 was primarily driven by the increase of our share price since the issuance of the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1"/>
              </w:rPr>
              <w:t>(in thousands, except percentage)</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is attributable to the term loan from High Trail as we fair-valued certain embedded derivatives within the term loan, primarily around default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2020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three months ended September 30, 2020 and 2021, respectively:</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56"/>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3"/>
          </w:tcPr>
          <w:p>
            <w:pPr>
              <w:jc w:val="right"/>
              <w:ind w:right="30"/>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operating activities</w:t>
            </w:r>
          </w:p>
        </w:tc>
        <w:tc>
          <w:tcPr>
            <w:tcW w:w="8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(40,449)</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(14,065)</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(44,887)</w:t>
            </w: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95,272</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Net cash provided by operating activities was $7.6 million for the nine months ended September 30, 2020, resulting from our net cash losses from operations of $0.1 million, offset by cash from working capital of $7.7 million from changes in accounts receivable, purchase of inventory and insurance and payments of accounts payable.</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cash used in operating activities was $40.5 million for the three months ended September 30, 2021, resulting from our net cash losses from operations of $15.9 million, offset by cash from working capital of $24.5 million from changes in accounts receivable, purchases of inventory and insurance and payments of accounts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2020 was primarily for the acquisition of the assets of Truweo (the “Truweo Assets”) for $14.0 million.</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the nine months ended September 30, 2021, net cash used in investing activities of $44.9 million was primarily for the acquisition of the assets from Healing Solutions, LLC for $15.3 million, the assets from Squatty Potty, LLC for $19.0 million and the acquisition of Photo Paper Direct Ltd. of $10.6 million.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cash provided by financing activities of $13.5 million for the nine months ended September 30, 2020 was primarily from $23.4 million of net proceeds received from our underwritten public offering that was completed in August 2020 and was offset by repayments on the Credit Facility of $8.7 million and repayments of the five-year $15.0 million term loan with Horizon of $1.0 million.</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nine months ended September 30, 2021, cash provided by financing activities of $95.2 million was primarily from proceeds from borrowings from the High Trail April 2021 Notes of $110.0 million, proceeds from cancellation of a warrant of $16.9 million and proceeds from an equity offering of $36.7 million, offset by repayments of the High Trail December 2020 Note and February 2021 Note of $59.5 million, repayments of the High Trail April 2021 Note of $10.1 million and $9.2 million of repayments of notes issued to certain sellers in connection with our M&amp;A activity.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Going Concern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been affected by the impact of the COVID-19 pandemic and related global supply chain disruptions. Together, these have led to substantial increases in the costs our supply chain, in particular, shipping containers, which we rely on to import our goods, and have reduced the reliability and timely delivery of such shipping containers and substantially increased our last-mile shipping costs on our oversized goods. These cost increases have been particularly substantial for oversized goods, which are a material part of our business. The increased cost of the shipping containers has negatively impacted us in the three months ended September 30, 2021, and we believe it will continue to negatively impact us for at least the next six to nine months. The reduced reliability and delivery of such shipping containers is forcing us to spend more on premium shipping to ensure space on board of the vessels, if at all, and the lack of reliability and timely delivery has further down supply chain impacts as it takes longer for containers to be offloaded and returned. Further, this global supply chain disruption is forcing us to increase our inventory on-hand, including advance ordering and taking possession of inventory earlier than expected, impacting our working capital.</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Third party last-mile shipping partners, such as UPS and Fedex, continue to increase the cost of delivering goods to the end consumers as their delivery networks continue to be impacted by the COVID-19 pandemic. In addition, we may be adversely impacted by rising costs of the commodity raw materials used to produce our products.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COVID-19 global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in consumer buying habits, which may have reduced demand for our products. Further, we have increased sale prices on the goods we sell to offset the increased supply chain costs which led to reduced demand for our goods. As such, we have reduced our forecasts for 2021 and in August 2021 we withdrew our guidance for 2021 net revenue and Adjusted EBITDA.</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such, these impacts led us to breach certain of our covenants with our lender, High Trail, and High Trail equitized a portion of its loan during the third quarter of 2021, reducing an aggregate of $76.3 million of principal of its notes through the issuance of an aggregate of 12,154,161 shares of our common stock and paying down $8.7 million of principal in cash. The remaining $25.0 million term loan is now due in April 2023, the financial Adjusted EBITDA covenants were renegotiated and all other material terms have remained the same. As of the date of this Quarterly Report on Form 10-Q, we are in compliance with our financial covenants with High Trail.</w:t>
      </w:r>
    </w:p>
    <w:p>
      <w:pPr>
        <w:spacing w:after="0" w:line="2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Further, due to this global supply chain disruption, we have reduced our forecast for the next twelve months. We have been taking, and plan to continue to take, various actions to help improve our financial forecasts and allow us to navigate through this disruption. Our actions include, but are not limited to, obtaining new third party vendors for shipping containers, renegotiating rates with third party last-mile providers, postponing or cancelling some or all of our product launches, reducing fixed costs and increasing our inventory on-hand to ensure products are available on time to sell. As there can be no assurance that these actions along with our operating forecast for the twelve months following the issuance of the accompanying consolidated financial statements will be attained such that we will be able to maintain compliance with our financial covenants with our lender and meet its obligations as they become due, these negative financial conditions raise substantial doubt about our ability to continue as a going concern.</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COVID-19 Pandemic—</w:t>
      </w:r>
      <w:r>
        <w:rPr>
          <w:rFonts w:ascii="Arial" w:cs="Arial" w:eastAsia="Arial" w:hAnsi="Arial"/>
          <w:sz w:val="18"/>
          <w:szCs w:val="18"/>
          <w:color w:val="auto"/>
        </w:rPr>
        <w:t>The full impact of the COVID-19 pandemic, including the impact associated with preventative and precautionary measures that</w:t>
      </w:r>
      <w:r>
        <w:rPr>
          <w:rFonts w:ascii="Arial" w:cs="Arial" w:eastAsia="Arial" w:hAnsi="Arial"/>
          <w:sz w:val="18"/>
          <w:szCs w:val="18"/>
          <w:b w:val="1"/>
          <w:bCs w:val="1"/>
          <w:color w:val="auto"/>
        </w:rPr>
        <w:t xml:space="preserve"> </w:t>
      </w:r>
      <w:r>
        <w:rPr>
          <w:rFonts w:ascii="Arial" w:cs="Arial" w:eastAsia="Arial" w:hAnsi="Arial"/>
          <w:sz w:val="18"/>
          <w:szCs w:val="18"/>
          <w:color w:val="auto"/>
        </w:rPr>
        <w:t>we, other businesses and governments are taking, continue to evolve as of the date of this Quarterly Report on Form 10-Q. During the first half of 2021, we experienced negative impacts to our margins related to increased international freight demands, lack of shipping containers and general international freight congestion due to the continued increased demand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0" w:name="page51"/>
    <w:bookmarkEnd w:id="50"/>
    <w:p>
      <w:pPr>
        <w:ind w:right="60"/>
        <w:spacing w:after="0" w:line="289" w:lineRule="auto"/>
        <w:rPr>
          <w:sz w:val="20"/>
          <w:szCs w:val="20"/>
          <w:color w:val="auto"/>
        </w:rPr>
      </w:pPr>
      <w:r>
        <w:rPr>
          <w:rFonts w:ascii="Arial" w:cs="Arial" w:eastAsia="Arial" w:hAnsi="Arial"/>
          <w:sz w:val="16"/>
          <w:szCs w:val="16"/>
          <w:color w:val="auto"/>
        </w:rPr>
        <w:t>goods being sold on ecommerce marketplaces. We have experienced, and expect to continue to experience, an increase in last-mile shipping costs as shipping providers’ delivery networks continue to be stressed due to increased demand from the increase of goods sold on ecommerce marketplaces.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in consumer buying habits that may have reduced demand for our products. We continue to consider the impact of COVID-19 based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our results of operations, financial position, and liquidity.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presented the following non-GAAP measures to assist investors in understanding our core net operating results on an on-going basis: (i) Contribution margin; (ii) Contribution margin as a percentage of net revenue; (iii) Adjusted EBITDA; and (iv) Adjusted EBITDA as a percentage of net revenue. These non-GAAP financial measures may also assist investors in making comparisons of our core operating results with those of other companies.</w:t>
      </w:r>
    </w:p>
    <w:p>
      <w:pPr>
        <w:spacing w:after="0" w:line="1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used herein, Contribution margin represents gross profit less amortization of inventory step-up from acquisitions (included in cost of goods sold) and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changes in fair-market value of earn-outs, amortization of inventory step-up from acquisitions (included in cost of goods sold), changes in fair-market value of warrant liability, loss on initial issuance of warrant, professional fees and transition fees related to acquisitions, reserve on dispute with a PPE supplier, loss from extinguishment of debt, changes of fair-market value of derivative liability related to the term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1" w:name="page52"/>
    <w:bookmarkEnd w:id="51"/>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interest expense or the cash requirements necessary to service interest expense or principal payments, associated with indebtedness;</w:t>
      </w:r>
    </w:p>
    <w:p>
      <w:pPr>
        <w:spacing w:after="0" w:line="275" w:lineRule="exact"/>
        <w:rPr>
          <w:rFonts w:ascii="Arial" w:cs="Arial" w:eastAsia="Arial" w:hAnsi="Arial"/>
          <w:sz w:val="16"/>
          <w:szCs w:val="16"/>
          <w:color w:val="auto"/>
        </w:rPr>
      </w:pPr>
    </w:p>
    <w:p>
      <w:pPr>
        <w:ind w:left="1120" w:right="50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70" w:lineRule="exact"/>
        <w:rPr>
          <w:rFonts w:ascii="Arial" w:cs="Arial" w:eastAsia="Arial" w:hAnsi="Arial"/>
          <w:sz w:val="18"/>
          <w:szCs w:val="18"/>
          <w:color w:val="auto"/>
        </w:rPr>
      </w:pPr>
    </w:p>
    <w:p>
      <w:pPr>
        <w:ind w:left="1120" w:hanging="370"/>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 or</w:t>
      </w:r>
    </w:p>
    <w:p>
      <w:pPr>
        <w:spacing w:after="0" w:line="252"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 and transition costs from acquisitions.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is expected to remain a key element of our overall long-term incentive compensation package.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70"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 or</w:t>
      </w:r>
    </w:p>
    <w:p>
      <w:pPr>
        <w:spacing w:after="0" w:line="252"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ectPr>
          <w:pgSz w:w="11900" w:h="16838" w:orient="portrait"/>
          <w:cols w:equalWidth="0" w:num="1">
            <w:col w:w="11240"/>
          </w:cols>
          <w:pgMar w:left="320" w:top="557" w:right="339" w:bottom="1440" w:gutter="0" w:footer="0" w:header="0"/>
        </w:sectPr>
      </w:pPr>
    </w:p>
    <w:p>
      <w:pPr>
        <w:spacing w:after="0" w:line="270" w:lineRule="exact"/>
        <w:rPr>
          <w:sz w:val="20"/>
          <w:szCs w:val="20"/>
          <w:color w:val="auto"/>
        </w:rPr>
      </w:pPr>
    </w:p>
    <w:p>
      <w:pPr>
        <w:jc w:val="center"/>
        <w:ind w:left="49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20059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7" w:lineRule="exact"/>
        <w:rPr>
          <w:sz w:val="20"/>
          <w:szCs w:val="20"/>
          <w:color w:val="auto"/>
        </w:rPr>
      </w:pPr>
    </w:p>
    <w:p>
      <w:pPr>
        <w:ind w:left="5380"/>
        <w:spacing w:after="0"/>
        <w:tabs>
          <w:tab w:leader="none" w:pos="7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0</wp:posOffset>
            </wp:positionV>
            <wp:extent cx="20059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3"/>
          <w:szCs w:val="13"/>
          <w:color w:val="auto"/>
        </w:rPr>
        <w:t>(in thousands, except percentages)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13970</wp:posOffset>
            </wp:positionV>
            <wp:extent cx="16548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spacing w:after="0" w:line="17" w:lineRule="exact"/>
        <w:rPr>
          <w:sz w:val="20"/>
          <w:szCs w:val="20"/>
          <w:color w:val="auto"/>
        </w:rPr>
      </w:pPr>
    </w:p>
    <w:p>
      <w:pPr>
        <w:ind w:left="200"/>
        <w:spacing w:after="0"/>
        <w:tabs>
          <w:tab w:leader="none" w:pos="17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0</wp:posOffset>
            </wp:positionV>
            <wp:extent cx="16548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3"/>
          <w:szCs w:val="13"/>
          <w:color w:val="auto"/>
        </w:rPr>
        <w:t>(in thousands, except percentages)</w:t>
      </w:r>
    </w:p>
    <w:p>
      <w:pPr>
        <w:spacing w:after="0" w:line="31" w:lineRule="exact"/>
        <w:rPr>
          <w:sz w:val="20"/>
          <w:szCs w:val="20"/>
          <w:color w:val="auto"/>
        </w:rPr>
      </w:pPr>
    </w:p>
    <w:p>
      <w:pPr>
        <w:sectPr>
          <w:pgSz w:w="11900" w:h="16838" w:orient="portrait"/>
          <w:cols w:equalWidth="0" w:num="2">
            <w:col w:w="7900" w:space="720"/>
            <w:col w:w="262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28,095</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34,175</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65,994</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92,982</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Contribution margin</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11,210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8,232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20,492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20,028</w:t>
            </w: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Gross profit as a percentage of net revenue</w:t>
            </w:r>
          </w:p>
        </w:tc>
        <w:tc>
          <w:tcPr>
            <w:tcW w:w="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47.8%</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50.2%</w:t>
            </w: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45.8%</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98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19.1%</w:t>
            </w:r>
          </w:p>
        </w:tc>
        <w:tc>
          <w:tcPr>
            <w:tcW w:w="50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(805)</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(110,556)</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(18,772)</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(229,415)</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EBITDA</w:t>
            </w: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229</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(105,877)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(15,427)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(212,717)</w:t>
            </w: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5,067</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728</w:t>
            </w:r>
          </w:p>
        </w:tc>
        <w:tc>
          <w:tcPr>
            <w:tcW w:w="4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2,041</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(4,198)</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loss as a percentage of net revenue</w:t>
            </w:r>
          </w:p>
        </w:tc>
        <w:tc>
          <w:tcPr>
            <w:tcW w:w="9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9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8.6%</w:t>
            </w:r>
          </w:p>
        </w:tc>
        <w:tc>
          <w:tcPr>
            <w:tcW w:w="5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4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Contribution Margin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Contribution margin represents gross profit less amortization of inventory step-up from acquisitions (included in cost of goods sold) and e-commerce platform commissions, online advertising, selling and logistics expenses (included in sales and distribution expenses). Contribution margin as a percentage of net revenue represents Contribution margin divided by net revenue. 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56"/>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r>
      <w:tr>
        <w:trPr>
          <w:trHeight w:val="155"/>
        </w:trPr>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4"/>
          </w:tcPr>
          <w:p>
            <w:pPr>
              <w:jc w:val="right"/>
              <w:ind w:right="293"/>
              <w:spacing w:after="0" w:line="155" w:lineRule="exact"/>
              <w:rPr>
                <w:sz w:val="20"/>
                <w:szCs w:val="20"/>
                <w:color w:val="auto"/>
              </w:rPr>
            </w:pPr>
            <w:r>
              <w:rPr>
                <w:rFonts w:ascii="Arial" w:cs="Arial" w:eastAsia="Arial" w:hAnsi="Arial"/>
                <w:sz w:val="14"/>
                <w:szCs w:val="14"/>
                <w:color w:val="auto"/>
                <w:w w:val="98"/>
              </w:rPr>
              <w:t>(in thousands, except percentages)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313"/>
              <w:spacing w:after="0" w:line="155" w:lineRule="exact"/>
              <w:rPr>
                <w:sz w:val="20"/>
                <w:szCs w:val="20"/>
                <w:color w:val="auto"/>
              </w:rPr>
            </w:pPr>
            <w:r>
              <w:rPr>
                <w:rFonts w:ascii="Arial" w:cs="Arial" w:eastAsia="Arial" w:hAnsi="Arial"/>
                <w:sz w:val="14"/>
                <w:szCs w:val="14"/>
                <w:color w:val="auto"/>
                <w:w w:val="98"/>
              </w:rPr>
              <w:t>(in thousands, except percentages)</w:t>
            </w:r>
          </w:p>
        </w:tc>
        <w:tc>
          <w:tcPr>
            <w:tcW w:w="180" w:type="dxa"/>
            <w:vAlign w:val="bottom"/>
          </w:tcPr>
          <w:p>
            <w:pPr>
              <w:spacing w:after="0"/>
              <w:rPr>
                <w:sz w:val="13"/>
                <w:szCs w:val="13"/>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28,095</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34,175</w:t>
            </w:r>
          </w:p>
        </w:tc>
        <w:tc>
          <w:tcPr>
            <w:tcW w:w="2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65,994</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92,982</w:t>
            </w:r>
          </w:p>
        </w:tc>
        <w:tc>
          <w:tcPr>
            <w:tcW w:w="180" w:type="dxa"/>
            <w:vAlign w:val="bottom"/>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4"/>
              </w:rPr>
              <w:t>Amortization of inventory step-up from acquisitions (included in cost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of goods sold)</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180" w:type="dxa"/>
            <w:vAlign w:val="bottom"/>
            <w:shd w:val="clear" w:color="auto" w:fill="CFF0FC"/>
          </w:tcPr>
          <w:p>
            <w:pPr>
              <w:spacing w:after="0"/>
              <w:rPr>
                <w:sz w:val="20"/>
                <w:szCs w:val="20"/>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6"/>
              </w:rPr>
              <w:t>E-commerce platform commissions, online advertising, selling and</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logistics expenses</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(16,885)</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(26,818)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(45,502)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(77,870)</w:t>
            </w:r>
          </w:p>
        </w:tc>
      </w:tr>
      <w:tr>
        <w:trPr>
          <w:trHeight w:val="26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Contribution margin</w:t>
            </w: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3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20,492</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20,028</w:t>
            </w:r>
          </w:p>
        </w:tc>
        <w:tc>
          <w:tcPr>
            <w:tcW w:w="180" w:type="dxa"/>
            <w:vAlign w:val="bottom"/>
            <w:tcBorders>
              <w:bottom w:val="single" w:sz="8" w:color="CFF0FC"/>
            </w:tcBorders>
          </w:tcPr>
          <w:p>
            <w:pPr>
              <w:spacing w:after="0"/>
              <w:rPr>
                <w:sz w:val="22"/>
                <w:szCs w:val="22"/>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Gross Profit as a percentage of net revenue</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47.8%</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50.4%</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Contribution margin as a percentage of net revenue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EBITDA represents net loss plus depreciation and amortization, interest expense, net and income tax expense. Adjusted EBITDA represents EBITDA plus stock-based compensation expense, changes in fair-market value of earn-outs, amortization of inventory step-up from acquisitions (included in cost of goods sold), change in fair-market value of warrant liability, loss on initial issuance of warrant, professional fees and transition fees related to acquisitions, reserve on dispute with a PPE supplier, loss from extinguishment of debt, changes of fair-market value of derivative liability related to the term loan and other expenses, net. As used herein, Adjusted EBITDA as a percentage of net revenue represents Adjusted EBITDA divided by net revenue. The following table provides a reconciliation of EBITDA and Adjusted EBITDA to net loss, which is the most directly comparable financial measure presented in accordance with GAAP: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9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760" w:type="dxa"/>
            <w:vAlign w:val="bottom"/>
            <w:gridSpan w:val="6"/>
          </w:tcPr>
          <w:p>
            <w:pPr>
              <w:jc w:val="right"/>
              <w:ind w:right="311"/>
              <w:spacing w:after="0" w:line="155" w:lineRule="exact"/>
              <w:rPr>
                <w:sz w:val="20"/>
                <w:szCs w:val="20"/>
                <w:color w:val="auto"/>
              </w:rPr>
            </w:pPr>
            <w:r>
              <w:rPr>
                <w:rFonts w:ascii="Arial" w:cs="Arial" w:eastAsia="Arial" w:hAnsi="Arial"/>
                <w:sz w:val="14"/>
                <w:szCs w:val="14"/>
                <w:color w:val="auto"/>
              </w:rPr>
              <w:t>(in thousands, except percentages)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5"/>
          </w:tcPr>
          <w:p>
            <w:pPr>
              <w:jc w:val="right"/>
              <w:ind w:right="331"/>
              <w:spacing w:after="0" w:line="155" w:lineRule="exact"/>
              <w:rPr>
                <w:sz w:val="20"/>
                <w:szCs w:val="20"/>
                <w:color w:val="auto"/>
              </w:rPr>
            </w:pPr>
            <w:r>
              <w:rPr>
                <w:rFonts w:ascii="Arial" w:cs="Arial" w:eastAsia="Arial" w:hAnsi="Arial"/>
                <w:sz w:val="14"/>
                <w:szCs w:val="14"/>
                <w:color w:val="auto"/>
                <w:w w:val="98"/>
              </w:rPr>
              <w:t>(in thousands, except percentages)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FF0FC"/>
          </w:tcPr>
          <w:p>
            <w:pPr>
              <w:jc w:val="right"/>
              <w:ind w:right="581"/>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(110,556)</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(18,772)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(229,415)</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Add:</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(212,717)</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7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w w:val="99"/>
              </w:rPr>
              <w:t>Amortization of inventory step-up from acquisitions (included in</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7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7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(8,134)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discount related to term loan</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136,763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Professional fees related to acquisitions</w:t>
            </w:r>
          </w:p>
        </w:tc>
        <w:tc>
          <w:tcPr>
            <w:tcW w:w="7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Transition costs from acquisitions</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Professional fees related to Photo Paper Direct acquisition</w:t>
            </w:r>
          </w:p>
        </w:tc>
        <w:tc>
          <w:tcPr>
            <w:tcW w:w="76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Reserve on dispute with PPE supplier</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4,861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60" w:type="dxa"/>
            <w:vAlign w:val="bottom"/>
            <w:tcBorders>
              <w:bottom w:val="single" w:sz="8" w:color="auto"/>
            </w:tcBorders>
            <w:shd w:val="clear" w:color="auto" w:fill="CFF0FC"/>
          </w:tcPr>
          <w:p>
            <w:pPr>
              <w:jc w:val="right"/>
              <w:ind w:right="5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5,067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as a percentage of net revenue</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Our unaudited condensed consolidated financial statements have been prepared in accordance with U.S. generally accepted accounting principles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as disclosed in our Annual Report on Form 10-K filed with the SEC on March 16, 2021, as amended. For additional information, please refer to Note 2 of our condensed consolidated financial statements in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addition, we previously had outstanding debt under the Credit Facility that bore interest. As of September 30, 2021, we did not have any outstanding debt under the Credit Facility. The High Trail Notes are at a fixed rate and as such we were not exposed to interest rate effects for those loans.</w:t>
      </w:r>
    </w:p>
    <w:p>
      <w:pPr>
        <w:spacing w:after="0" w:line="1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5% of our net revenue for each of the nine months ended September 30, 2021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the three and nine months ended September 30,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2021, our Chief Executive Officer and Chief Financial Officer concluded that our disclosure controls and procedures were effective as of September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2021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information set forth in Note 9 of our condensed consolidated financial statements in this Quarterly Report on Form 10-Q is incorporated herein by reference in Note 9 “Securities Class Action” or “Shareholder Derivative Actions Related to the Securities Class Action”.</w:t>
      </w:r>
    </w:p>
    <w:p>
      <w:pPr>
        <w:spacing w:after="0" w:line="14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On October 21 and 25, 2021, two </w:t>
      </w:r>
      <w:r>
        <w:rPr>
          <w:rFonts w:ascii="Arial" w:cs="Arial" w:eastAsia="Arial" w:hAnsi="Arial"/>
          <w:sz w:val="16"/>
          <w:szCs w:val="16"/>
          <w:color w:val="222222"/>
        </w:rPr>
        <w:t>shareholder derivative actions</w:t>
      </w:r>
      <w:r>
        <w:rPr>
          <w:rFonts w:ascii="Arial" w:cs="Arial" w:eastAsia="Arial" w:hAnsi="Arial"/>
          <w:sz w:val="16"/>
          <w:szCs w:val="16"/>
          <w:color w:val="auto"/>
        </w:rPr>
        <w:t xml:space="preserve"> were filed on behalf of Aterian by Shaoxuan Zhang and </w:t>
      </w:r>
      <w:r>
        <w:rPr>
          <w:rFonts w:ascii="Arial" w:cs="Arial" w:eastAsia="Arial" w:hAnsi="Arial"/>
          <w:sz w:val="16"/>
          <w:szCs w:val="16"/>
          <w:color w:val="222222"/>
        </w:rPr>
        <w:t>Michael Sheller in the</w:t>
      </w:r>
      <w:r>
        <w:rPr>
          <w:rFonts w:ascii="Arial" w:cs="Arial" w:eastAsia="Arial" w:hAnsi="Arial"/>
          <w:sz w:val="16"/>
          <w:szCs w:val="16"/>
          <w:color w:val="auto"/>
        </w:rPr>
        <w:t xml:space="preserve"> U.S. District Court for the Southern District of New York. These actions, collectively, name </w:t>
      </w:r>
      <w:r>
        <w:rPr>
          <w:rFonts w:ascii="Arial" w:cs="Arial" w:eastAsia="Arial" w:hAnsi="Arial"/>
          <w:sz w:val="16"/>
          <w:szCs w:val="16"/>
          <w:color w:val="222222"/>
        </w:rPr>
        <w:t>Yaniv Sarig, Fabrice Hamaide, Arturo Rodriguez, Greg B. Petersen,</w:t>
      </w:r>
      <w:r>
        <w:rPr>
          <w:rFonts w:ascii="Arial" w:cs="Arial" w:eastAsia="Arial" w:hAnsi="Arial"/>
          <w:sz w:val="16"/>
          <w:szCs w:val="16"/>
          <w:color w:val="auto"/>
        </w:rPr>
        <w:t xml:space="preserve"> </w:t>
      </w:r>
      <w:r>
        <w:rPr>
          <w:rFonts w:ascii="Arial" w:cs="Arial" w:eastAsia="Arial" w:hAnsi="Arial"/>
          <w:sz w:val="16"/>
          <w:szCs w:val="16"/>
          <w:color w:val="222222"/>
        </w:rPr>
        <w:t>Bari A. Harlam, Amy von Walter, and William Kurtz as individual defendants, and Aterian as a nominal defendant. These actions are predicated</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222222"/>
        </w:rPr>
        <w:t>on substantively the same factual allegations contained in the above-described securities class action, and assert that the individual defendants (i) breached their fiduciary duties, (ii) misused their authority, (iii) were unjustly enriched, and (iv) wasted corporate assets. The Sheller action also alleges that individual defendants Sarig and Hamaide are liable for contribution pursuant to Sections 10(b) and 21D of the Exchange Act in the event the Company is held liable in the Securities Class Action; the Zhang action alleges analogous liability on the part of Sarig, Hamaide, and Rodriguez. Finally, the Zhang action also alleges that individual defendants Sarig, Harlam, Kurtz, Petersen, and von Walter are liable for violations of Section 14(a) of the Exchange Act. We regard these derivative actions as an attempt to usurp management authority and to divert Company resources into ill-founded litigation, and accordingly intend to vigorously defend against these actions. However, the outcome of these legal proceedings are uncertain at this point. Based on information available to us at present, we cannot reasonably estimate a range of loss or income for these actions.</w:t>
      </w:r>
    </w:p>
    <w:p>
      <w:pPr>
        <w:spacing w:after="0" w:line="19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222222"/>
        </w:rPr>
        <w:t>On September 20, 2021, Sabby Volatility Warrant Master Fund Ltd. (“Sabby”) sued Aterian in the Supreme Court of the State of New York, New York County, alleging that Aterian breached the Securities Purchase Agreement (“Purchase Agreement”), dated June 10, 2021, pursuant to which Sabby purchased 400,000 shares of common stock, for an aggregate price of approximately $6 million. Sabby contends that certain of our representations and warranties in the Purchase Agreement concerning our financial condition and the accuracy of its prior disclosures were untrue and that we breached the Purchase Agreement’s anti-dilution and use-of-proceeds covenants on August 9 and September 23, 2021, when we resolved certain defaults with High Trail. We intend to vigorously defend against this action. However, the outcome of this legal proceeding is uncertain at this point. Based on information available to us at present, we cannot reasonably estimate a range of loss for this action.</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than as disclosed herein, 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You should carefully consider the factors discussed in Part I, Item 1A. “Risk Factors” in our Annual Report on Form 10-K for the year ended December 31, 2020, filed with the SEC on March 16, 2021, as amended, which could materially affect our business, financial condition, cash flows or future results. The risks described in our Annual Report on Form 10-K for the year ended December 31, 2020 are not the only risks facing our company. Additional risks and uncertainties not currently known to us or that we currently deem to be immaterial also may materially adversely affect our business, financial condition or future results. </w:t>
      </w:r>
      <w:r>
        <w:rPr>
          <w:rFonts w:ascii="Arial" w:cs="Arial" w:eastAsia="Arial" w:hAnsi="Arial"/>
          <w:sz w:val="17"/>
          <w:szCs w:val="17"/>
          <w:color w:val="212529"/>
        </w:rPr>
        <w:t>Except as presented below, there have been no material changes from the risk factors associated with our business previously disclosed in our</w:t>
      </w:r>
      <w:r>
        <w:rPr>
          <w:rFonts w:ascii="Arial" w:cs="Arial" w:eastAsia="Arial" w:hAnsi="Arial"/>
          <w:sz w:val="17"/>
          <w:szCs w:val="17"/>
          <w:color w:val="auto"/>
        </w:rPr>
        <w:t xml:space="preserve"> </w:t>
      </w:r>
      <w:r>
        <w:rPr>
          <w:rFonts w:ascii="Arial" w:cs="Arial" w:eastAsia="Arial" w:hAnsi="Arial"/>
          <w:sz w:val="17"/>
          <w:szCs w:val="17"/>
          <w:color w:val="212529"/>
        </w:rPr>
        <w:t>Annual Report on Form 10-K for the year ended December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Our Business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Due to the impact of the COVID-19 pandemic and related global supply chain disruption, our management has expressed substantial doubt about our ability to continue as a going concern.</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have been affected by the impact of the COVID-19 pandemic and related global supply chain disruption. Together, these have led to substantial increases in the costs of our supply chain, in particular, shipping containers, which we rely on to import our goods,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spacing w:after="0" w:line="272" w:lineRule="auto"/>
        <w:rPr>
          <w:sz w:val="20"/>
          <w:szCs w:val="20"/>
          <w:color w:val="auto"/>
        </w:rPr>
      </w:pPr>
      <w:r>
        <w:rPr>
          <w:rFonts w:ascii="Arial" w:cs="Arial" w:eastAsia="Arial" w:hAnsi="Arial"/>
          <w:sz w:val="17"/>
          <w:szCs w:val="17"/>
          <w:color w:val="auto"/>
        </w:rPr>
        <w:t>have reduced the reliability and timely delivery of such shipping containers and substantially increased our last mile shipping costs on our oversized goods. These cost increases have been particularly substantial to oversized goods, which are a material part of our business. The increased cost of the shipping containers has impacted us in the three months ended September 30, 2021, and we believe it will continue to negatively impact us for at least the next six to nine months. The reduced reliability and delivery of such shipping containers is forcing us to spend more on premium shipping to ensure space on board of the vessels, if at all, and the lack of reliability and timely delivery has further down supply chain impacts as it takes longer for containers to be offloaded and returned. Further, this global supply chain disruption is forcing us to increase our inventory on-hand, including advance ordering and taking possession of inventory earlier than expected, which impacts our working capital.</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impacted by the COVID-19 pandemic. In addition, we may be adversely impacted by rising costs of the commodity raw materials used to produce our products.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to consumer buying habits which may have reduced demand for our products. Further, we have increased sale prices on the goods we sell to offset the increased supply chain costs which led to reduced demand for our goods.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been taking, and plan to continue to take, various actions to help improve our financial forecasts and allow us to navigate through the global supply chain disruption. These actions include, but are not limited to, obtaining new third party vendors for shipping containers, renegotiating rates with third party last mile providers, postponing or cancelling some or all of our product launches, reducing fixed costs and increasing our inventory on-hand to ensure products are available on time to sell. As there can be no assurance that these actions along with our operating forecast for the twelve months following the issuance of the accompanying consolidated financial statements will be attained such that we will be able to maintain compliance with our financial covenants with our lender and meet our obligations as they become due, these negative financial conditions raise substantial doubt about our ability to continue as a going concern.</w:t>
      </w:r>
    </w:p>
    <w:p>
      <w:pPr>
        <w:spacing w:after="0" w:line="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Management plans to continue to closely monitor our operating forecast and may pursue additional sources of financing and/or capital to fund our operations or to continue our merger and acquisition strategy. If we are unable to improve our operating results, secure waivers from our lender, and/or obtain additional sources of financing and capital on acceptable terms (if at all) for our merger and acquisition strategy, we may have to make significant changes to our operating plan, such as delay expenditures, reduce investments in new products, delay the development of our software, reduce our sale and distribution infrastructure, or otherwise significantly reduce the scope of our business.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in an evolving industry.</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25"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acquire, operate and efficiently integrate third-party Amazon sellers;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52"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We have launched numerous products over the last several quarters and have experienced a lower than expected success rate of products reaching the sustain phase. In addition, in certain instances, even when a product has reached the sustain phase, our forecasts, at times, have resulted in inventory overages. During 2020, we launched our Holonix Health brand, which was developed to address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jc w:val="both"/>
        <w:ind w:right="140"/>
        <w:spacing w:after="0" w:line="263" w:lineRule="auto"/>
        <w:rPr>
          <w:sz w:val="20"/>
          <w:szCs w:val="20"/>
          <w:color w:val="auto"/>
        </w:rPr>
      </w:pPr>
      <w:r>
        <w:rPr>
          <w:rFonts w:ascii="Arial" w:cs="Arial" w:eastAsia="Arial" w:hAnsi="Arial"/>
          <w:sz w:val="18"/>
          <w:szCs w:val="18"/>
          <w:color w:val="auto"/>
        </w:rPr>
        <w:t>the personal protective equipment and wellness product category in light of the COVID-19 pandemic. Our marketing strategy relies to a significant extent on our ability to sell such products on the Amazon marketplace and we can provide no assurances that we will be allowed to sell any such products on the Amazon marketplace or that we will be successful in selling our products in other sales channels.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our Managed Platform as a Service (“PaaS”) business is still nascent and we may be unable to successfully maintain or grow our Managed PaaS business. We can provide no assurance that we will be successful in growing or retaining this business which would result in the loss of PaaS and associated revenues. If we fail to address the risks and difficulties that we face, including those associated with the challenges listed above as well as those described in the “PaaS” section and elsewhere in this “Risk Factors” section, our business, financial condition and our operating results will be adversely affected.</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Starting in the second half of 2020, we have initiated an accretive acquisition strategy to acquire Amazon sellers. Competition for such acquisition targets is intense and we may be unable to acquire targets at attractive valuations or at all. While we believe the opportunity to make such acquisitions is significant, we can provide no assurance that our acquisitions will ultimately be accretive in the longer term and we may experience operational challenges with respect to such acquisitions. We have recently acquired several Amazon third-party sellers and we may be unable to sustain the level of financial performance relating to these acquisitions due to a variety of factors including changes in the competitive landscape of the product category and adverse actions of competing sellers. For example, our Truweo acquisition has experienced numerous “black hat” attacks from competitors which has caused the financial performance of that business to decline. Further, certain of these acquired third party sellers prior to our acquisition may have engaged in selling tactics that violated terms of service on the various marketplaces in which they operate. While we discontinue such practices, there can be no assurance that marketplaces will not take adverse action against these businesses, which could lead to reduced future financial performance. Due to the COVID-19 pandemic’s impact on the global supply chain, we intend to reduce the number of acquisitions we complete until the supply chain stabilizes.</w:t>
      </w:r>
    </w:p>
    <w:p>
      <w:pPr>
        <w:spacing w:after="0" w:line="16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Due to the COVID-19 pandemic’s impact on the global supply chain, we have increased our inventory on hand to avoid disruption in sales. The unpredictability of container availability, space on vessels and shipping lead times, as well as associated manufacturing lead time, requires us to secure more inventory than normal during each of a product’s phases (i.e., launch and sustain). Having more inventory on hand not only impacts our working capital but also requires us to increase our storage capacity (warehouse network), which of itself has a negative capital impact.</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Further, due to the COVID-19 pandemic’s impact on the global supply chain, we temporarily paused the launch of new products manufactured in Asia, which is currently the majority source of our product launches. The sharp increase in shipping cost has made our target competitive pricing difficult to achieve and current unpredictability of container availability makes it more difficult for us to maintain the required inventory levels, which in turn makes the potential and profitable success of product launches even more difficult to achieve in this current environment.</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full impact of the COVID-19 pandemic, including the impact associated with preventative and precautionary measures that we, other businesses and governments are taking, continue to evolve as of the date of this Quarterly Report on Form 10-Q. During the first nine months of 2021, we experienced negative impacts to our margins related to increased international freight demands, lack of shipping containers and general international freight congestion due to the continued increased demand of goods being sold on ecommerce marketplaces. We have experienced, and expect to continue to experience, an increase in last-mile shipping costs as shipping providers’ delivery networks continue to be stressed due to increased demand from the increase of goods sold on ecommerce marketplaces. For example, in certain instances, we have been unable to launch new products, replenish inventory for existing products, ship into or receive inventory in our third-party warehouses or ship or sell products to customers, on a timely basis. During the fourth quarter of 2020 and first nine months of 2021, we have experienced production and shipment delays for certain of our products that could result in stock outs on the Amazon marketplace resulting in a decrease of net revenue. We also may be unable to forecast demand for our products during the pendency of this pandemic and we may experience a substantial decrease in the demand for our products, most of which are considered not essential. In addition, the majority of our personnel are currently working remotely which creates challenges in the way we operate our business, including with respect to the manner in which we ensure the quality of our products and meet our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At times we have preserved our liquidity and capital resources through various actions which included delaying and negotiating the delay of payments to certain vendors, the effect of such actions could have an adverse impact on our business, including our relationships with these vendors. For example, payment delays to certain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of our manufacturing vendors in China during April 2020 had resulted in a temporary loss of availability of export credit insurance from the China Export</w:t>
      </w:r>
    </w:p>
    <w:p>
      <w:pPr>
        <w:spacing w:after="0" w:line="46" w:lineRule="exact"/>
        <w:rPr>
          <w:sz w:val="20"/>
          <w:szCs w:val="20"/>
          <w:color w:val="auto"/>
        </w:rPr>
      </w:pPr>
    </w:p>
    <w:p>
      <w:pPr>
        <w:ind w:right="40" w:firstLine="8"/>
        <w:spacing w:after="0" w:line="302" w:lineRule="auto"/>
        <w:tabs>
          <w:tab w:leader="none" w:pos="1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Credit Insurance Corporation (“Sinosure”), a Chinese state-owned enterprise, that provides export credit insurance to our manufacturing vendors. Since late 2020,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taking actions in an attempt to combat the increased prices, inventory shorts and other market pressures we are facing. There are no assurances that any of these steps will be effective or that we will be able to continue to take such actions over the coming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Due to the uncertainty as to the severity and duration of the pandemic, the impact on our future revenues, profitability, liquidity, financial</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condition, business and results of operations is uncertain at this time. Our ability to forecast shipping costs, ability to procure inventory, and the COVID-19 pandemic continues to make near term consumer behavior patterns difficult to predict, therefore, we have withdrawn our 2021 net revenue and adjusted EBITDA guidance and cannot be certain if or when we will resume providing financial guidance. Further, if we are unable to remain in compliance with the terms of our existing loan agreement, our lender could accelerate our term loan in which case the lender has the right to receive payment in respect of principal and interest on the loan in shares of our common stock, which could lead to substantial dilution of your investment. Our lender may also increase the cost of capital of maintaining our loan, which could further impact our financial condition. See the risk factor “</w:t>
      </w:r>
      <w:r>
        <w:rPr>
          <w:rFonts w:ascii="Arial" w:cs="Arial" w:eastAsia="Arial" w:hAnsi="Arial"/>
          <w:sz w:val="16"/>
          <w:szCs w:val="16"/>
          <w:color w:val="212529"/>
        </w:rPr>
        <w:t>The terms of our outstanding debt</w:t>
      </w:r>
      <w:r>
        <w:rPr>
          <w:rFonts w:ascii="Arial" w:cs="Arial" w:eastAsia="Arial" w:hAnsi="Arial"/>
          <w:sz w:val="16"/>
          <w:szCs w:val="16"/>
          <w:color w:val="auto"/>
        </w:rPr>
        <w:t xml:space="preserve"> </w:t>
      </w:r>
      <w:r>
        <w:rPr>
          <w:rFonts w:ascii="Arial" w:cs="Arial" w:eastAsia="Arial" w:hAnsi="Arial"/>
          <w:sz w:val="16"/>
          <w:szCs w:val="16"/>
          <w:color w:val="212529"/>
        </w:rPr>
        <w:t xml:space="preserve">contain restrictive covenants that may limit our operating flexibility. We have previously defaulted on our debt and any future defaults could adversely affect our business, financial performance and results of operations.” below for additional information. </w:t>
      </w:r>
      <w:r>
        <w:rPr>
          <w:rFonts w:ascii="Arial" w:cs="Arial" w:eastAsia="Arial" w:hAnsi="Arial"/>
          <w:sz w:val="16"/>
          <w:szCs w:val="16"/>
          <w:color w:val="000000"/>
        </w:rPr>
        <w:t>Any financing, if successful may be expensive</w:t>
      </w:r>
      <w:r>
        <w:rPr>
          <w:rFonts w:ascii="Arial" w:cs="Arial" w:eastAsia="Arial" w:hAnsi="Arial"/>
          <w:sz w:val="16"/>
          <w:szCs w:val="16"/>
          <w:color w:val="212529"/>
        </w:rPr>
        <w:t xml:space="preserve"> </w:t>
      </w:r>
      <w:r>
        <w:rPr>
          <w:rFonts w:ascii="Arial" w:cs="Arial" w:eastAsia="Arial" w:hAnsi="Arial"/>
          <w:sz w:val="16"/>
          <w:szCs w:val="16"/>
          <w:color w:val="000000"/>
        </w:rPr>
        <w:t>and/or dilutive.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in consumer buying habits that may have reduced demand for our products. We continue to consider the impact of COVID-19 based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our results of operations, financial position, and liquidity.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accurately predict demand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been affected by the impact of the COVID-19 pandemic and related global supply chain disruption. For example, there has been an increase in the costs of shipping containers and a reduction in reliability and timely delivery of such shipping containers. The reduced reliability and delivery of such shipping containers has forced us to spend more on premium shipping to ensure goods are delivered, if at all, and the lack of reliability and timely delivery has had further down supply chain impacts as it takes longer for containers to be offloaded and returned. Further, this global supply chain disruption is forcing us to increase our inventory on-</w:t>
      </w:r>
      <w:r>
        <w:rPr>
          <w:rFonts w:ascii="Arial" w:cs="Arial" w:eastAsia="Arial" w:hAnsi="Arial"/>
          <w:sz w:val="17"/>
          <w:szCs w:val="17"/>
          <w:color w:val="auto"/>
        </w:rPr>
        <w:t>hand, i</w:t>
      </w:r>
      <w:r>
        <w:rPr>
          <w:rFonts w:ascii="Arial" w:cs="Arial" w:eastAsia="Arial" w:hAnsi="Arial"/>
          <w:sz w:val="18"/>
          <w:szCs w:val="18"/>
          <w:color w:val="auto"/>
        </w:rPr>
        <w:t xml:space="preserve">ncluding </w:t>
      </w:r>
      <w:r>
        <w:rPr>
          <w:rFonts w:ascii="Arial" w:cs="Arial" w:eastAsia="Arial" w:hAnsi="Arial"/>
          <w:sz w:val="17"/>
          <w:szCs w:val="17"/>
          <w:color w:val="auto"/>
        </w:rPr>
        <w:t>advance</w:t>
      </w:r>
      <w:r>
        <w:rPr>
          <w:rFonts w:ascii="Arial" w:cs="Arial" w:eastAsia="Arial" w:hAnsi="Arial"/>
          <w:sz w:val="18"/>
          <w:szCs w:val="18"/>
          <w:color w:val="auto"/>
        </w:rPr>
        <w:t xml:space="preserve"> ordering and taking possession of inventory earlier than expected, </w:t>
      </w:r>
      <w:r>
        <w:rPr>
          <w:rFonts w:ascii="Arial" w:cs="Arial" w:eastAsia="Arial" w:hAnsi="Arial"/>
          <w:sz w:val="17"/>
          <w:szCs w:val="17"/>
          <w:color w:val="auto"/>
        </w:rPr>
        <w:t>impacting our</w:t>
      </w:r>
      <w:r>
        <w:rPr>
          <w:rFonts w:ascii="Arial" w:cs="Arial" w:eastAsia="Arial" w:hAnsi="Arial"/>
          <w:sz w:val="18"/>
          <w:szCs w:val="18"/>
          <w:color w:val="auto"/>
        </w:rPr>
        <w:t xml:space="preserve"> working capital.</w:t>
      </w:r>
    </w:p>
    <w:p>
      <w:pPr>
        <w:spacing w:after="0" w:line="192"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Given the long-lasting effects of the COVID-19 pandemic, we expect our inventory management to continue to be impacted by the related global supply chain disruption and experience inventory shortages in the near term, each of which could adversely affect our operating results and financial condition.</w:t>
      </w: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i w:val="1"/>
          <w:iCs w:val="1"/>
          <w:color w:val="auto"/>
        </w:rPr>
        <w:t>Our business, including our costs and supply chain, is subject to risks associated with sourcing, manufacturing, shipping, importing and warehousing.</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20"/>
        <w:spacing w:after="0" w:line="284" w:lineRule="auto"/>
        <w:rPr>
          <w:sz w:val="20"/>
          <w:szCs w:val="20"/>
          <w:color w:val="auto"/>
        </w:rPr>
      </w:pPr>
      <w:r>
        <w:rPr>
          <w:rFonts w:ascii="Arial" w:cs="Arial" w:eastAsia="Arial" w:hAnsi="Arial"/>
          <w:sz w:val="16"/>
          <w:szCs w:val="16"/>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For example, in the first half of 2021, global prices for commodities such as plastic, aluminum, copper and steel have increased significantly. In addition, as we expand into new categories and product types, we expect that we may not have strong purchasing power in these new areas, which could lead to higher costs than we have historically seen in our current categories. In a number of instances, we have not been able to pass increased costs on to customers, which has adversely affected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extreme weather conditions (including conditions that may be attributable to, or result from, climate change), unforeseen public health crises, such as epidemics and pandemics, have in the past increased raw material costs, impacting pricing with certain of our vendors, and caused shipping delays for certain of our products. As a result, our ability to receive inbound inventory efficiently and ship merchandise to clients has been negatively affected by such natural disasters, pandemics, labor disputes, acts of war or terrorism, and similar factors, whether occurring in the United States or internationally. For example, we receive and warehouse a portion of our inventory in California. If any such disaster were to impact this facility, our operations would be disrupted. In addition, these types of events could negatively impact consumer spending in the impacted regions. We rely on the business continuity plans of third parties to operate during natural disasters or pandemics, like the COVID-19 pandemic, and we have limited ability to influence their plans. The sourcing, manufacturing, importing or warehousing of our products could be significantly disrupted if a third-party does not have a business continuity plan or such business continuity plan does not adequately support our products or operations. Further capacity fluctuations driven by various factors such as seasonality, severe weather events such as droughts, fires, flooding, heat waves, hurricanes, typhoons and other winter storms, tariffs, fuel- and greenhouse gas-related regulations affecting the shipping industry and other regulations that may be enacted to address the potential impacts of climate change,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7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cannot guarantee that products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accurately forecast revenues, profitability and appropriately plan our expenses.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12529"/>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 our operating results and financial condition could be adversely impacted. In addition, during the second quarter of 2020, we began selling personal protective equipment (“PPE”) to state and local governments in the U.S. The market for PPE is volatile and unpredictable, and we have limited experience sourcing and selling PPE. While we may continue to sell PPE, we can provide no assurances that we will be successful in selling products to such state and local governments or to private businesses, that the products we deliver will be of sufficient quality, the correct specifications or the goods secured at all and our cash deposits refunded, or that we will receive timely payment from the customers. For example, we recently entered into a settlement agreement with a vendor who did not timely supply product to us or refund our deposit after failing to timely supply us with the product. Pursuant to such settlement agreement, the vendor agreed to make payments to us of $4.3 million in the aggregate in cash and product over the next six to nine months. Said vendor has defaulted on the settlement agreement and we have taken a loss on this transaction. While we are pursuing legal action to recoup these funds, we can provide no assurance that we will be able to do so in a timely manner or at all. In addition, any failure to successfully deliver products to state and local governments may harm our business relationships with these state and local governments, our product manufacturers and ultimately our reputation.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sustain our revenue growth rate.</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212529"/>
        </w:rPr>
        <w:t>Our recent revenue growth should not be considered indicative of our future performance. Specifically, our net revenue increased by 15.9% for the three months ended September 30, 2021 compared to 2020 and by 27.9% for the nine months ended September 30, 2021 compared to 2020. As we grow our business, our revenue growth rates may slow in future periods due to a number of reasons,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40"/>
        <w:spacing w:after="0" w:line="259" w:lineRule="auto"/>
        <w:rPr>
          <w:sz w:val="20"/>
          <w:szCs w:val="20"/>
          <w:color w:val="auto"/>
        </w:rPr>
      </w:pPr>
      <w:r>
        <w:rPr>
          <w:rFonts w:ascii="Arial" w:cs="Arial" w:eastAsia="Arial" w:hAnsi="Arial"/>
          <w:sz w:val="18"/>
          <w:szCs w:val="18"/>
          <w:color w:val="212529"/>
        </w:rPr>
        <w:t>which may include our inability to successfully launch new products that reach our sustain phase and to keep those products in the sustain phase or to grow our PaaS business, as well as the maturation of our business. Our revenue growth rates may also slow in future periods to the extent we are unable to identify and complete acquisitions, or are unable to maintain or grow revenues from such businesses after closing. We can provide no assurance that we will continue to be able to maintain or sustain the same levels of historic revenue growth.</w:t>
      </w:r>
    </w:p>
    <w:p>
      <w:pPr>
        <w:spacing w:after="0" w:line="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212529"/>
        </w:rPr>
        <w:t>We believe that during 2019 investors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 In addition, we may reduce the number of new product launches in order to focus on product opportunities that have larger addressable markets but require increased levels of marketing investment and we can provide no assurances that such a shift will be successful.</w:t>
      </w:r>
    </w:p>
    <w:p>
      <w:pPr>
        <w:spacing w:after="0" w:line="8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212529"/>
        </w:rPr>
        <w:t>In addition, in 2020,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2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12529"/>
        </w:rPr>
        <w:t>We may require additional capital to support business growth, and this capital might not be available or may be available only by diluting existing stockholders.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212529"/>
        </w:rPr>
        <w:t xml:space="preserve">As we continue to make investments, while balancing the need to achieve profitability, to support our business growth we may require additional funds to maintain, grow and respond to business challenges. Accordingly, we need to engage in equity or debt financings to secure additional funds. If we raise additional funds through further issuances of equity or convertible debt securities, we expect our existing stockholders to suffer significant dilution, and any new equity securities we issue could have rights, preferences and privileges superior to those of holders of our common stock. In addition, we may not be able to raise sufficient equity or equity-like capital without first seeking stockholder approval, which could limit our ability to complete such transaction, or to complete such transaction on a timely basis. Any debt financing secured by us in the future would require the consent of our existing lender, and also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maintain, grow and respond to business challenges and opportunities would be significantly limited, and our business and prospects could fail or be adversely affected. If we require additional borrowings in order to achieve continued growth, but are unable to satisfy conditions required by High Trail, we can provide no assurance that we will be able to access borrowings on terms that will be acceptable to us, or that we would be able to refinance the High Trail term loans, on terms acceptable to us, or at all. In addition, if we were to breach our existing term loans with High Trail, High Trail could exercise remedies against us which could result in us having to prepay our existing loans earlier than required and could result in significant dilution to stockholders. See the risk factor “Due to the impact of the COVID-19 pandemic and related </w:t>
      </w:r>
      <w:r>
        <w:rPr>
          <w:rFonts w:ascii="Arial" w:cs="Arial" w:eastAsia="Arial" w:hAnsi="Arial"/>
          <w:sz w:val="17"/>
          <w:szCs w:val="17"/>
          <w:color w:val="000000"/>
        </w:rPr>
        <w:t>global supply chain disruption</w:t>
      </w:r>
      <w:r>
        <w:rPr>
          <w:rFonts w:ascii="Arial" w:cs="Arial" w:eastAsia="Arial" w:hAnsi="Arial"/>
          <w:sz w:val="17"/>
          <w:szCs w:val="17"/>
          <w:color w:val="212529"/>
        </w:rPr>
        <w:t>, our management has expressed substantial doubt about our ability to continue as a going concern.” above and the risk factor “The terms of our outstanding debt contain restrictive covenants that may limit our operating flexibility. We have previously defaulted on our debt and any future defaults could adversely affect our business, financial performance and results of operations.” below.</w:t>
      </w:r>
    </w:p>
    <w:p>
      <w:pPr>
        <w:spacing w:after="0" w:line="1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212529"/>
        </w:rPr>
        <w:t>We currently do not have an effective shelf registration statement on Form S-3 filed with the SEC. As further discussed in the risk factor “As a result of our failure to timely file certain financial statements relating to the Smash Assets, we are currently ineligible to file new short form registration statements on Form S-3, which may impair our ability to raise capital on terms favorable to us, in a timely manner or at all.” In our Annual Report on Form 10-K for the year ended December 31, 2020, we are not currently permitted to use our existing registration statements on Form S-3. Absent a waiver of the Form S-3 eligibility requirements and assuming we continue to timely file our required reports under the Securities Exchange Act of 1934, as amended (the “Exchange Act”), the earliest we would regain the ability to use Form S-3 is May 2022. At that time, we may use the shelf registration statement on Form S-3 to offer from time to time any combination of debt securities, common and preferred stock and warrants. In the interim, we intend to complete public offerings through the use of a Form S-1 registration statement and through privately placed financings and as a result we could experience a higher cost of capital and shareholders may experience increased dilution.</w:t>
      </w:r>
    </w:p>
    <w:p>
      <w:pPr>
        <w:spacing w:after="0" w:line="289" w:lineRule="exact"/>
        <w:rPr>
          <w:sz w:val="20"/>
          <w:szCs w:val="20"/>
          <w:color w:val="auto"/>
        </w:rPr>
      </w:pPr>
    </w:p>
    <w:p>
      <w:pPr>
        <w:jc w:val="both"/>
        <w:ind w:right="200"/>
        <w:spacing w:after="0" w:line="308" w:lineRule="auto"/>
        <w:rPr>
          <w:sz w:val="20"/>
          <w:szCs w:val="20"/>
          <w:color w:val="auto"/>
        </w:rPr>
      </w:pPr>
      <w:r>
        <w:rPr>
          <w:rFonts w:ascii="Arial" w:cs="Arial" w:eastAsia="Arial" w:hAnsi="Arial"/>
          <w:sz w:val="17"/>
          <w:szCs w:val="17"/>
          <w:b w:val="1"/>
          <w:bCs w:val="1"/>
          <w:i w:val="1"/>
          <w:iCs w:val="1"/>
          <w:color w:val="212529"/>
        </w:rPr>
        <w:t>The terms of our outstanding debt contain restrictive covenants that may limit our operating flexibility. We have previously defaulted on our debt and any future defaults could adversely affect our business, financial performance and results of operations.</w:t>
      </w:r>
    </w:p>
    <w:p>
      <w:pPr>
        <w:spacing w:after="0" w:line="3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212529"/>
        </w:rPr>
        <w:t xml:space="preserve">On April 8, 2021, we entered into a securities purchase and exchange agreement with High Trail SA and High Trail ON, pursuant to which, among other things, we issued and sold to High Trail, in a private placement transaction </w:t>
      </w:r>
      <w:r>
        <w:rPr>
          <w:rFonts w:ascii="Arial" w:cs="Arial" w:eastAsia="Arial" w:hAnsi="Arial"/>
          <w:sz w:val="18"/>
          <w:szCs w:val="18"/>
          <w:color w:val="000000"/>
        </w:rPr>
        <w:t>(i) senior secured promissory notes in an initial aggregate principal amount of</w:t>
      </w:r>
      <w:r>
        <w:rPr>
          <w:rFonts w:ascii="Arial" w:cs="Arial" w:eastAsia="Arial" w:hAnsi="Arial"/>
          <w:sz w:val="18"/>
          <w:szCs w:val="18"/>
          <w:color w:val="212529"/>
        </w:rPr>
        <w:t xml:space="preserve"> </w:t>
      </w:r>
      <w:r>
        <w:rPr>
          <w:rFonts w:ascii="Arial" w:cs="Arial" w:eastAsia="Arial" w:hAnsi="Arial"/>
          <w:sz w:val="18"/>
          <w:szCs w:val="18"/>
          <w:color w:val="000000"/>
        </w:rPr>
        <w:t>$110,000,000 (the “April 2021 Notes”) that accrue interest at a rate of 8% per annum and mature on April 8, 2024, and (ii) warrants to purchase up to an aggregate of 2,259,166 shares of our common stock in exchange for: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firstLine="8"/>
        <w:spacing w:after="0" w:line="283"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a cash payment by High Trail to us of $57.7 million, (b) that certain senior secured promissory note in an aggregate original principal amount of $43.0 million issued by us to High Trail SA in December 2020, and (c) that certain senior secured promissory note in an aggregate original principal amount of $16.5 million issued by us to High Trail ON in February 2021. </w:t>
      </w:r>
      <w:r>
        <w:rPr>
          <w:rFonts w:ascii="Arial" w:cs="Arial" w:eastAsia="Arial" w:hAnsi="Arial"/>
          <w:sz w:val="16"/>
          <w:szCs w:val="16"/>
          <w:color w:val="212529"/>
        </w:rPr>
        <w:t>The</w:t>
      </w:r>
      <w:r>
        <w:rPr>
          <w:rFonts w:ascii="Arial" w:cs="Arial" w:eastAsia="Arial" w:hAnsi="Arial"/>
          <w:sz w:val="16"/>
          <w:szCs w:val="16"/>
          <w:color w:val="auto"/>
        </w:rPr>
        <w:t xml:space="preserve"> April 2021 </w:t>
      </w:r>
      <w:r>
        <w:rPr>
          <w:rFonts w:ascii="Arial" w:cs="Arial" w:eastAsia="Arial" w:hAnsi="Arial"/>
          <w:sz w:val="16"/>
          <w:szCs w:val="16"/>
          <w:color w:val="212529"/>
        </w:rPr>
        <w:t>Notes contain affirmative and restrictive covenants that limit our</w:t>
      </w:r>
      <w:r>
        <w:rPr>
          <w:rFonts w:ascii="Arial" w:cs="Arial" w:eastAsia="Arial" w:hAnsi="Arial"/>
          <w:sz w:val="16"/>
          <w:szCs w:val="16"/>
          <w:color w:val="auto"/>
        </w:rPr>
        <w:t xml:space="preserve"> </w:t>
      </w:r>
      <w:r>
        <w:rPr>
          <w:rFonts w:ascii="Arial" w:cs="Arial" w:eastAsia="Arial" w:hAnsi="Arial"/>
          <w:sz w:val="16"/>
          <w:szCs w:val="16"/>
          <w:color w:val="212529"/>
        </w:rPr>
        <w:t xml:space="preserve">operating ability including to, among other things, transfer or dispose of assets, merge with other companies or consummate certain changes of control, pay dividends, incur additional indebtedness and liens and enter into new businesses. We therefore may not be able to engage in any of the foregoing transactions unless we obtain the consent of our lenders. In addition, the </w:t>
      </w:r>
      <w:r>
        <w:rPr>
          <w:rFonts w:ascii="Arial" w:cs="Arial" w:eastAsia="Arial" w:hAnsi="Arial"/>
          <w:sz w:val="16"/>
          <w:szCs w:val="16"/>
          <w:color w:val="000000"/>
        </w:rPr>
        <w:t>April 2021</w:t>
      </w:r>
      <w:r>
        <w:rPr>
          <w:rFonts w:ascii="Arial" w:cs="Arial" w:eastAsia="Arial" w:hAnsi="Arial"/>
          <w:sz w:val="16"/>
          <w:szCs w:val="16"/>
          <w:color w:val="212529"/>
        </w:rPr>
        <w:t xml:space="preserve"> Notes are secured by all of our assets, and the </w:t>
      </w:r>
      <w:r>
        <w:rPr>
          <w:rFonts w:ascii="Arial" w:cs="Arial" w:eastAsia="Arial" w:hAnsi="Arial"/>
          <w:sz w:val="16"/>
          <w:szCs w:val="16"/>
          <w:color w:val="000000"/>
        </w:rPr>
        <w:t>April 2021</w:t>
      </w:r>
      <w:r>
        <w:rPr>
          <w:rFonts w:ascii="Arial" w:cs="Arial" w:eastAsia="Arial" w:hAnsi="Arial"/>
          <w:sz w:val="16"/>
          <w:szCs w:val="16"/>
          <w:color w:val="212529"/>
        </w:rPr>
        <w:t xml:space="preserve"> Notes require us to satisfy certain covenants, including achieving certain adjusted EBITDA amounts.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the </w:t>
      </w:r>
      <w:r>
        <w:rPr>
          <w:rFonts w:ascii="Arial" w:cs="Arial" w:eastAsia="Arial" w:hAnsi="Arial"/>
          <w:sz w:val="16"/>
          <w:szCs w:val="16"/>
          <w:color w:val="000000"/>
        </w:rPr>
        <w:t>April 2021</w:t>
      </w:r>
      <w:r>
        <w:rPr>
          <w:rFonts w:ascii="Arial" w:cs="Arial" w:eastAsia="Arial" w:hAnsi="Arial"/>
          <w:sz w:val="16"/>
          <w:szCs w:val="16"/>
          <w:color w:val="212529"/>
        </w:rPr>
        <w:t xml:space="preserve"> Notes or to refinance them would adversely affect our business. Further, at any time, if we violate the terms of the </w:t>
      </w:r>
      <w:r>
        <w:rPr>
          <w:rFonts w:ascii="Arial" w:cs="Arial" w:eastAsia="Arial" w:hAnsi="Arial"/>
          <w:sz w:val="16"/>
          <w:szCs w:val="16"/>
          <w:color w:val="000000"/>
        </w:rPr>
        <w:t>April 2021</w:t>
      </w:r>
      <w:r>
        <w:rPr>
          <w:rFonts w:ascii="Arial" w:cs="Arial" w:eastAsia="Arial" w:hAnsi="Arial"/>
          <w:sz w:val="16"/>
          <w:szCs w:val="16"/>
          <w:color w:val="212529"/>
        </w:rPr>
        <w:t xml:space="preserve"> Notes or otherwise fail to meet our covenants, we may not be able to obtain a waiver from the lenders under satisfactory terms, if at all, which would limit our operating flexibility and/or liquidity and which would have an adverse effect on our business and prospects, and could also result in dilution to our stockholders in the event we are required to pay back the </w:t>
      </w:r>
      <w:r>
        <w:rPr>
          <w:rFonts w:ascii="Arial" w:cs="Arial" w:eastAsia="Arial" w:hAnsi="Arial"/>
          <w:sz w:val="16"/>
          <w:szCs w:val="16"/>
          <w:color w:val="000000"/>
        </w:rPr>
        <w:t>April 2021</w:t>
      </w:r>
      <w:r>
        <w:rPr>
          <w:rFonts w:ascii="Arial" w:cs="Arial" w:eastAsia="Arial" w:hAnsi="Arial"/>
          <w:sz w:val="16"/>
          <w:szCs w:val="16"/>
          <w:color w:val="212529"/>
        </w:rPr>
        <w:t xml:space="preserve"> Notes using our common stock. For example, as of June 30, 2021, we failed to achieve our Adjusted EBITDA covenants with our lender and subsequently obtained a waiver. With the waiver, High Trail waived the events of default relating to our failure to satisfy the Adjusted EBITDA covenant under the April 2021 Notes, effective upon the payment in cash of $10.1 million of the Current Event of Default Acceleration Amount and the issuance of the shares of our common stock for the remaining $11.7 million of the Current Event of Default Acceleration Amount. We paid High Trail an aggregate of $10.1 million in cash on August 9, 2021 and paid $11.7 million by issuing shares of common stock. </w:t>
      </w:r>
      <w:r>
        <w:rPr>
          <w:rFonts w:ascii="Arial" w:cs="Arial" w:eastAsia="Arial" w:hAnsi="Arial"/>
          <w:sz w:val="16"/>
          <w:szCs w:val="16"/>
          <w:color w:val="000000"/>
        </w:rPr>
        <w:t>On September 22, 2021, we</w:t>
      </w:r>
      <w:r>
        <w:rPr>
          <w:rFonts w:ascii="Arial" w:cs="Arial" w:eastAsia="Arial" w:hAnsi="Arial"/>
          <w:sz w:val="16"/>
          <w:szCs w:val="16"/>
          <w:color w:val="212529"/>
        </w:rPr>
        <w:t xml:space="preserve"> </w:t>
      </w:r>
      <w:r>
        <w:rPr>
          <w:rFonts w:ascii="Arial" w:cs="Arial" w:eastAsia="Arial" w:hAnsi="Arial"/>
          <w:sz w:val="16"/>
          <w:szCs w:val="16"/>
          <w:color w:val="000000"/>
        </w:rPr>
        <w:t>entered into letter agreements with High Trail with respect to those certain senior secured promissory notes due 2024 in an aggregate principal amount of $91.3 million (the “Letter Agreements”). Pursuant to the Letter Agreements, (i) High Trail notified us that High Trail declared events of default under the notes and further notified us that High Trail accelerated an aggregate of $66.3 million of the principal amount of the notes, requiring us to pay $76.6 million (such amount equal to 115% of the principal amount that was accelerated, as required under the terms of the April 2021 Notes, plus $0.3 million of accrued but unpaid interest on the principal amount that was accelerated) (collectively, the “Acceleration Amount”), (ii) High Trail agreed, contingent and effective upon the repayment of the Acceleration Amount in shares of our common stock in accordance with the April 2021 Notes and the September Letter Agreements and the satisfaction of all of our other obligations under the September Letter Agreements and the Second Omnibus Amendment (as defined below), to waive the events of default, (iii) we agreed that until November 1, 2021, we would not, subject to certain exceptions, issue, offer, sell or otherwise dispose of any equity security, equity-linked security or related security, and (iv) we agreed that, as a result of the occurrence of the events of default, we no longer have the right to require High Trail to exercise warrants to purchase an aggregate of 3,479,097 shares of our common stock previously issued to High Trail (collectively, the “</w:t>
      </w:r>
      <w:r>
        <w:rPr>
          <w:rFonts w:ascii="Arial" w:cs="Arial" w:eastAsia="Arial" w:hAnsi="Arial"/>
          <w:sz w:val="16"/>
          <w:szCs w:val="16"/>
          <w:u w:val="single" w:color="auto"/>
          <w:color w:val="000000"/>
        </w:rPr>
        <w:t>Warrants</w:t>
      </w:r>
      <w:r>
        <w:rPr>
          <w:rFonts w:ascii="Arial" w:cs="Arial" w:eastAsia="Arial" w:hAnsi="Arial"/>
          <w:sz w:val="16"/>
          <w:szCs w:val="16"/>
          <w:color w:val="000000"/>
        </w:rPr>
        <w:t>”) if the price of our common stock exceeds 200% of the exercise price of such Warrants for 20 consecutive trading days and certain other conditions were satisfied.</w:t>
      </w: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Letter Agreements, on September 22, 2021, we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notes was modified to include an exception for certain acquisitions of all or substantially all of the assets of another person or a majority of the equity interests of another person; (iii) the definition of “Target Adjusted EBITDA” was modified to reflect certain of our updated projections; (iv) the liquidity requirements as set forth in that certain Omnibus Amendment to Senior Secured Notes Due 2024 and Warrants to Purchase Common Stock with High Trail, dated August 9, 2021 were removed; (v) the minimum cash threshold covenant was changed from $30.0 million to $15.0 million; (vi) the definition of “Adjusted EBITDA” in the notes was modified to be equal to not less than the Target Adjusted EBITDA for the three-month period ending on the last day of each applicable fiscal quarter instead of the 12-month period ending on such day; and (vi) the exercise prices of the Warrants were modified to be equal to $0.01. High Trail reserved the right to void the term of the Second Omnibus Amendment in full or in part in the event that we breached any of the terms of the Letter Agreements or otherwise failed to timely deliver shares of our common to High Trail as required thereunder.</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the terms of the April 2021 Notes and the Letter Agreements, between September 22, 2021 and September 23, 2021, High Trail exercised its right, by delivering notices to us (each, a “Stock Payment Notice”) to require us to satisfy our obligation to repay the Acceleration Amount in shares of our common stock. As required under the Stock Payment Notices, (i) effective September 22, 2021, we issued to High Trail an aggregate of 3,474,814 shares our Company’s common stock (the “Sept 22nd Shares”), and (ii) effective September 23, 2021, we issued to High Trail an aggregate of 5,838,096 shares of our common stock (the “Sept 23rd Shares” and, together with Sept 22nd Shares, the “September Shares”). The Sept 22nd Shares were issued at a price of $8.1212 per share and the Sept 23rd Shares were issued at a price of $8.2808 per share. In accordance with the April 2021 Notes, the price at which the September Shares was issued was equal to 80% of the lesser of (A) the Daily VWAP (as defined in the April 2021Notes) on the date of delivery of the applicable Stock Payment Notice, and (B) the average of the lowest two Daily VWAPs during the ten (10) day VWAP trading period ending on the date of delivery of such Stock Payment Notice. Upon the issuance of such shares, we satisfied our obligation to repay the Acceleration Amount in full. Effective October 21, 2021, High Trail exercised all of the Warrants in full, and we issued an aggregate of 3,479,097 shares of our common stock upon such exercises.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40"/>
        <w:spacing w:after="0" w:line="259" w:lineRule="auto"/>
        <w:rPr>
          <w:sz w:val="20"/>
          <w:szCs w:val="20"/>
          <w:color w:val="auto"/>
        </w:rPr>
      </w:pPr>
      <w:r>
        <w:rPr>
          <w:rFonts w:ascii="Arial" w:cs="Arial" w:eastAsia="Arial" w:hAnsi="Arial"/>
          <w:sz w:val="18"/>
          <w:szCs w:val="18"/>
          <w:color w:val="212529"/>
        </w:rPr>
        <w:t xml:space="preserve">As of September 30, 2021, we are in compliance with our financial covenants with High Trail but there are no assurances we will continue to satisfy the financial covenants. Any additional failure to satisfy the financial covenants may result in another event of default. If an event of default occurs, </w:t>
      </w:r>
      <w:r>
        <w:rPr>
          <w:rFonts w:ascii="Arial" w:cs="Arial" w:eastAsia="Arial" w:hAnsi="Arial"/>
          <w:sz w:val="18"/>
          <w:szCs w:val="18"/>
          <w:color w:val="000000"/>
        </w:rPr>
        <w:t>High Trail</w:t>
      </w:r>
      <w:r>
        <w:rPr>
          <w:rFonts w:ascii="Arial" w:cs="Arial" w:eastAsia="Arial" w:hAnsi="Arial"/>
          <w:sz w:val="18"/>
          <w:szCs w:val="18"/>
          <w:color w:val="212529"/>
        </w:rPr>
        <w:t xml:space="preserve"> </w:t>
      </w:r>
      <w:r>
        <w:rPr>
          <w:rFonts w:ascii="Arial" w:cs="Arial" w:eastAsia="Arial" w:hAnsi="Arial"/>
          <w:sz w:val="18"/>
          <w:szCs w:val="18"/>
          <w:color w:val="000000"/>
        </w:rPr>
        <w:t>could accelerate our term loan in which case High Trail would have the right to receive payment in respect of principal and interest on the loan in shares of our common stock, which could lead to substantial dilution of your investment</w:t>
      </w:r>
      <w:r>
        <w:rPr>
          <w:rFonts w:ascii="Arial" w:cs="Arial" w:eastAsia="Arial" w:hAnsi="Arial"/>
          <w:sz w:val="18"/>
          <w:szCs w:val="18"/>
          <w:color w:val="212529"/>
        </w:rPr>
        <w: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Litigation and Government Regulation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12529"/>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12529"/>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12529"/>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6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212529"/>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 formal response copies of the energy-efficiency report and certification that were issued for the dehumidifier model at the time of production. We believe this product is compliant, and we, in conjunction with our manufacturing partner, have disputed the Test Notice received from the DOE. As of the date hereof, we cannot reasonably estimate what, if any, penalties may be levied.</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212529"/>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69" w:lineRule="exact"/>
        <w:rPr>
          <w:sz w:val="20"/>
          <w:szCs w:val="20"/>
          <w:color w:val="auto"/>
        </w:rPr>
      </w:pPr>
    </w:p>
    <w:p>
      <w:pPr>
        <w:spacing w:after="0" w:line="273" w:lineRule="auto"/>
        <w:rPr>
          <w:sz w:val="20"/>
          <w:szCs w:val="20"/>
          <w:color w:val="auto"/>
        </w:rPr>
      </w:pPr>
      <w:r>
        <w:rPr>
          <w:rFonts w:ascii="Arial" w:cs="Arial" w:eastAsia="Arial" w:hAnsi="Arial"/>
          <w:sz w:val="17"/>
          <w:szCs w:val="17"/>
          <w:color w:val="212529"/>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had placed a hold on the sale of certain of our dehumidifier inventory while it reviewed the matter with us. As of October 2020, we are able to resume selling the products identified by the EPA, and discussions are continuing with the EPA. No penalty has been assessed by the EPA or communicated to us. If we receive a similar notice from the EPA in the future with regards to regulatory compliance of any of our other products, the EPA may place a hold on the sale of our products while it reviews an open matter with us.</w:t>
      </w:r>
    </w:p>
    <w:p>
      <w:pPr>
        <w:spacing w:after="0" w:line="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212529"/>
        </w:rPr>
        <w:t>We cannot be certain of the outcome with the EPA, and we may incur costs and penalties that cannot presently be calculated in the event that we are unable to resolve this matter with the EPA. Notwithstanding the above, we have deemed it appropriate to record an accrual for a potential fine. The final costs and penalties, if any, may be material with respect to our financial condition once determined.</w:t>
      </w:r>
    </w:p>
    <w:p>
      <w:pPr>
        <w:spacing w:after="0" w:line="7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212529"/>
        </w:rPr>
        <w:t xml:space="preserve">In October 2021, we received a class action notification and pre-lawsuit demand with respect to the marketing, advertising and labeling of certain products under the Mueller Austria brand. </w:t>
      </w:r>
      <w:r>
        <w:rPr>
          <w:rFonts w:ascii="Arial" w:cs="Arial" w:eastAsia="Arial" w:hAnsi="Arial"/>
          <w:sz w:val="17"/>
          <w:szCs w:val="17"/>
          <w:color w:val="222222"/>
        </w:rPr>
        <w:t>We intend to vigorously defend against this action, however, the outcome is uncertain at this point.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212529"/>
        </w:rPr>
        <w:t>Risks Relating to the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Our share price may be volatile. Market volatility may affect the value of an investment in our common stock and could subject us to litigation.</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212529"/>
        </w:rPr>
        <w:t>Technology stocks have historically experienced high levels of volatility. There has been and could continue to be significant volatility in the market price and trading volume of equity securities. For example, our closing stock price ranged from $3.12 to $47.66 per share from January 4, 2021 to November 1, 2021. The market price of our common stock could be subject to wide fluctuations in response to many risk factors listed in this section, and others beyond our control, including:</w:t>
      </w:r>
    </w:p>
    <w:p>
      <w:pPr>
        <w:spacing w:after="0" w:line="187"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actual or perceived impact on our business due to the COVID-19 pandemic;</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actual or anticipated fluctuations in our financial condition and operating results;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the financial projections we may provide to the public, and any changes in projected operational and financial results;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addition or loss of significant customers;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changes in laws or regulations applicable to our products;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actual or anticipated changes in our growth rate relative to our competitors;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announcements of technological innovations or new offerings by us or our competitors;</w:t>
      </w:r>
    </w:p>
    <w:p>
      <w:pPr>
        <w:spacing w:after="0" w:line="36" w:lineRule="exact"/>
        <w:rPr>
          <w:rFonts w:ascii="Arial" w:cs="Arial" w:eastAsia="Arial" w:hAnsi="Arial"/>
          <w:sz w:val="18"/>
          <w:szCs w:val="18"/>
          <w:color w:val="212529"/>
        </w:rPr>
      </w:pPr>
    </w:p>
    <w:p>
      <w:pPr>
        <w:ind w:left="740" w:right="780" w:hanging="368"/>
        <w:spacing w:after="0" w:line="258" w:lineRule="auto"/>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announcements by us or our competitors of significant acquisitions, strategic partnerships, joint ventures or capital-raising activities or commitments;</w:t>
      </w:r>
    </w:p>
    <w:p>
      <w:pPr>
        <w:spacing w:after="0" w:line="1"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additions or departures of key personnel;</w:t>
      </w:r>
    </w:p>
    <w:p>
      <w:pPr>
        <w:spacing w:after="0" w:line="21"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changes in our financial guidance or securities analysts’ estimates of our financial performance;</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discussion of us or our stock price by the financial press and in online investor communities;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reaction to our press releases and filings with the SEC;</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changes in accounting principles;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lawsuits threatened or filed against us;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fluctuations in operating performance and the valuation of companies perceived by investors to be comparable to us;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sales of our common stock by us or our stockholders;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share price and volume fluctuations attributable to inconsistent trading volume levels of our shares;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price and volume fluctuations in the overall stock market, including as a result of trends in the economy as a whole;</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changes in laws or regulations applicable to our business;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changes in our capital structure, such as future issuances of debt or equity securities;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short sales, hedging and other derivative transactions involving our capital stock;</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short squeezes;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7"/>
          <w:szCs w:val="17"/>
          <w:color w:val="212529"/>
        </w:rPr>
      </w:pPr>
      <w:r>
        <w:rPr>
          <w:rFonts w:ascii="Arial" w:cs="Arial" w:eastAsia="Arial" w:hAnsi="Arial"/>
          <w:sz w:val="17"/>
          <w:szCs w:val="17"/>
          <w:color w:val="212529"/>
        </w:rPr>
        <w:t>comments by securities analysts or other third parties, including blogs, articles, message boards, forums and social and other media;</w:t>
      </w:r>
    </w:p>
    <w:p>
      <w:pPr>
        <w:spacing w:after="0" w:line="47" w:lineRule="exact"/>
        <w:rPr>
          <w:rFonts w:ascii="Arial" w:cs="Arial" w:eastAsia="Arial" w:hAnsi="Arial"/>
          <w:sz w:val="17"/>
          <w:szCs w:val="17"/>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the expiration of contractual lock-up periods, including in connection with acquisition transactions;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sales of common stock by our executives;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other events or factors, including those resulting from pandemics, war, incidents of terrorism or responses to these events; and</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7"/>
        </w:numPr>
        <w:rPr>
          <w:rFonts w:ascii="Arial" w:cs="Arial" w:eastAsia="Arial" w:hAnsi="Arial"/>
          <w:sz w:val="18"/>
          <w:szCs w:val="18"/>
          <w:color w:val="212529"/>
        </w:rPr>
      </w:pPr>
      <w:r>
        <w:rPr>
          <w:rFonts w:ascii="Arial" w:cs="Arial" w:eastAsia="Arial" w:hAnsi="Arial"/>
          <w:sz w:val="18"/>
          <w:szCs w:val="18"/>
          <w:color w:val="212529"/>
        </w:rPr>
        <w:t>general economic and market conditions.</w:t>
      </w:r>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212529"/>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Future sales and issuances of our capital stock, or the perception that such sales may occur, could cause our stock price to decline.</w:t>
      </w:r>
    </w:p>
    <w:p>
      <w:pPr>
        <w:spacing w:after="0" w:line="1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12529"/>
        </w:rPr>
        <w:t>We may issue additional securities following the date of this Quarterly Report on Form 10-Q. Our amended and restated certificate of incorporation, as amended,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4" w:name="page65"/>
    <w:bookmarkEnd w:id="64"/>
    <w:p>
      <w:pPr>
        <w:ind w:right="80"/>
        <w:spacing w:after="0" w:line="275" w:lineRule="auto"/>
        <w:rPr>
          <w:sz w:val="20"/>
          <w:szCs w:val="20"/>
          <w:color w:val="auto"/>
        </w:rPr>
      </w:pPr>
      <w:r>
        <w:rPr>
          <w:rFonts w:ascii="Arial" w:cs="Arial" w:eastAsia="Arial" w:hAnsi="Arial"/>
          <w:sz w:val="17"/>
          <w:szCs w:val="17"/>
          <w:color w:val="212529"/>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7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12529"/>
        </w:rPr>
        <w:t xml:space="preserve">We expect to continue to issue shares of our common stock in connection with acquisitions which could result in substantial dilution in the event such acquisitions are not accretive. In connection with the acquisition of the Smash Assets, we issued 4,220,000 shares of common stock, which we agreed to register for resale with the SEC. In connection with the acquisition of certain assets of Healing Solutions, LLC, we issued 1,387,759 shares of common stock, which we agreed to register for resale with the SEC. In addition, pursuant to a letter agreement with High Trail SA entered into on February 8, 2021, as amended, we agreed to prepare and file by September 30, 2021 a registration statement with the SEC for the purpose of registering for resale 980,000 shares of common stock issued to High Trail SA pursuant to the exercise of a warrant and 1,884,133 shares of common stock underlying a warrant issued to High Trail SA. Further, on April 8, 2021, pursuant to a letter agreement with High Trail, we agreed to prepare and file by September 30, 2021 a registration statement with the SEC for the purpose of registering for resale 130,000 shares of common stock issued to High Trail SA. On April 8, 2021, in connection with the issuance of the </w:t>
      </w:r>
      <w:r>
        <w:rPr>
          <w:rFonts w:ascii="Arial" w:cs="Arial" w:eastAsia="Arial" w:hAnsi="Arial"/>
          <w:sz w:val="16"/>
          <w:szCs w:val="16"/>
          <w:color w:val="000000"/>
        </w:rPr>
        <w:t>April 2021</w:t>
      </w:r>
      <w:r>
        <w:rPr>
          <w:rFonts w:ascii="Arial" w:cs="Arial" w:eastAsia="Arial" w:hAnsi="Arial"/>
          <w:sz w:val="16"/>
          <w:szCs w:val="16"/>
          <w:color w:val="212529"/>
        </w:rPr>
        <w:t xml:space="preserve"> Notes, we agreed to prepare and file by September 30, 2021 a registration statement with the SEC for the purpose of registering for resale 2,259,166 shares of common stock underlying warrants issued to High Trail. We filed a registration statement registering for resale all of the foregoing shares on May 28, 2021, and such registration statement was declared effective on June 15, 2021, which resulted in such shares becoming freely tradable without restriction under the Securities Act, subject to certain other conditions. </w:t>
      </w:r>
      <w:r>
        <w:rPr>
          <w:rFonts w:ascii="Arial" w:cs="Arial" w:eastAsia="Arial" w:hAnsi="Arial"/>
          <w:sz w:val="16"/>
          <w:szCs w:val="16"/>
          <w:color w:val="000000"/>
        </w:rPr>
        <w:t>Effective October 21, 2021, High Trail</w:t>
      </w:r>
      <w:r>
        <w:rPr>
          <w:rFonts w:ascii="Arial" w:cs="Arial" w:eastAsia="Arial" w:hAnsi="Arial"/>
          <w:sz w:val="16"/>
          <w:szCs w:val="16"/>
          <w:color w:val="212529"/>
        </w:rPr>
        <w:t xml:space="preserve"> </w:t>
      </w:r>
      <w:r>
        <w:rPr>
          <w:rFonts w:ascii="Arial" w:cs="Arial" w:eastAsia="Arial" w:hAnsi="Arial"/>
          <w:sz w:val="16"/>
          <w:szCs w:val="16"/>
          <w:color w:val="000000"/>
        </w:rPr>
        <w:t xml:space="preserve">exercised all of the Warrants in full, and we issued an aggregate of 3,479,097 shares of our common stock upon such exercises. </w:t>
      </w:r>
      <w:r>
        <w:rPr>
          <w:rFonts w:ascii="Arial" w:cs="Arial" w:eastAsia="Arial" w:hAnsi="Arial"/>
          <w:sz w:val="16"/>
          <w:szCs w:val="16"/>
          <w:color w:val="212529"/>
        </w:rPr>
        <w:t>Any sale of the shares we</w:t>
      </w:r>
      <w:r>
        <w:rPr>
          <w:rFonts w:ascii="Arial" w:cs="Arial" w:eastAsia="Arial" w:hAnsi="Arial"/>
          <w:sz w:val="16"/>
          <w:szCs w:val="16"/>
          <w:color w:val="000000"/>
        </w:rPr>
        <w:t xml:space="preserve"> </w:t>
      </w:r>
      <w:r>
        <w:rPr>
          <w:rFonts w:ascii="Arial" w:cs="Arial" w:eastAsia="Arial" w:hAnsi="Arial"/>
          <w:sz w:val="16"/>
          <w:szCs w:val="16"/>
          <w:color w:val="212529"/>
        </w:rPr>
        <w:t>have registered for resale could have a materially adverse effect on the trading price of our common stock.</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212529"/>
        </w:rPr>
        <w:t>We have filed a registration statement registering for resale the 2,666,667 shares of common stock we issued in a private placement financing that closed in June 2021.Registration of these shares under the Securities Act will result in such shares becoming freely tradable without restriction under the Securities Act, subject to certain other conditions. Any sale of these shares could have a materially adverse effect on the trading price of our common stock.</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12529"/>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212529"/>
        </w:rPr>
        <w:t>As of November 4, 2021, our executive officers, directors and the holders of more than 5% of our outstanding common stock in the aggregate beneficially own approximately 26.7 %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 In addition, as further described below, we have entered into voting agreements with a number of parties in connection with our initial public offering and in connection with acquisition transactions. We may elect to release one or more parties from voting agreements which could also limit your ability to influence corporate matters for the foreseeable future.</w:t>
      </w:r>
    </w:p>
    <w:p>
      <w:pPr>
        <w:spacing w:after="0" w:line="1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212529"/>
        </w:rPr>
        <w:t>MV II, LLC, Dr. Larisa Storozhenko and Mr. Maximus Yaney (collectively, the “Designating Parties”) have entered into a voting agreement with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 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529"/>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ind w:right="60"/>
        <w:spacing w:after="0" w:line="269" w:lineRule="auto"/>
        <w:rPr>
          <w:sz w:val="20"/>
          <w:szCs w:val="20"/>
          <w:color w:val="auto"/>
        </w:rPr>
      </w:pPr>
      <w:r>
        <w:rPr>
          <w:rFonts w:ascii="Arial" w:cs="Arial" w:eastAsia="Arial" w:hAnsi="Arial"/>
          <w:sz w:val="17"/>
          <w:szCs w:val="17"/>
          <w:color w:val="212529"/>
        </w:rPr>
        <w:t>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 similar divestiture of our product or PaaS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third-party that is not a Designating Party, an affiliate of a Designating Party or any other individual or party that has a direct or indirect familial relationship with any Designating Party.</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212529"/>
        </w:rPr>
        <w:t>On December 1, 2020, 9830 Macarthur LLC (“9830”), one of the sellers of the Smash Assets, entered into a lock-up, voting and standstill agreement with us, pursuant to which 9830 agreed that until December 1, 2025, 9830 will, among other things, vote at each annual or special meeting of our stockholders all shares of common stock held by 9830 in accordance with the recommendations of our board of directors on each matter presented to our stockholders at such meeting.</w:t>
      </w:r>
    </w:p>
    <w:p>
      <w:pPr>
        <w:spacing w:after="0" w:line="29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i w:val="1"/>
          <w:iCs w:val="1"/>
          <w:color w:val="212529"/>
        </w:rPr>
        <w:t>As a result of our failure to timely file certain financial statements relating to the Smash Assets, we are currently ineligible to file new short form registration statements on Form S-3 or to have resale registration statements declared effective in a timely manner, which may impair our ability to raise capital on terms favorable to us, in a timely manner or at all, or in the case of resale registration statements, could result in an event of default under our credit facilities or a breach of existing obligations to shareholders with registration rights.</w:t>
      </w:r>
    </w:p>
    <w:p>
      <w:pPr>
        <w:spacing w:after="0" w:line="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12529"/>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30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212529"/>
        </w:rPr>
        <w:t>The SEC rules required us to file certain financial statements relating to the Smash Assets (the “Smash Financial Statements”) no later than February 16, 2021. We filed such financial statements on May 14, 2021. As a result of our failure to timely file the Smash Financial Statements, we are not currently permitted to use our existing registration statement on Form S-3. As a consequence, absent a waiver of the Form S-3 eligibility requirements, we are not permitted to sell all of the amount of our common stock or other securities we could otherwise sell, which could adversely affect our ability to run our operations and progress our product development programs. We also will not be permitted to conduct an “at the market offering” absent an effective primary registration statement on Form S-3.</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12529"/>
        </w:rPr>
        <w:t>A “short squeeze” due to a sudden increase in demand for shares of our common stock that largely exceeds supply has led to, and may continue to lead to, extreme price volatility in shares of our common stock.</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212529"/>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529"/>
        </w:rPr>
        <w:t>A large proportion of our common stock has been and may continue to be traded by short sellers which may increase the likelihood that our common stock will be the target of a short squeeze. A short squeeze has previously led and could in the future lead to volatile price movements in shares of our common stock that are unrelated or disproportionate to our operating performance or prospects. Stockholders that purchase shares of our common stock during a short squeeze may lose a significant portion of their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6" w:name="page67"/>
    <w:bookmarkEnd w:id="66"/>
    <w:p>
      <w:pPr>
        <w:ind w:right="6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discontinue research coverage, or publish inaccurate or unfavorable research about us, our business or our market, or if they change their recommendations regarding our common stock adversely, the trading price or trading volume of our common stock could decline.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business, our market or our competitors. If one or more of the analysts initiate research with an unfavorable rating or downgrade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a more favorable recommendation about our competitors or publish inaccurate or unfavorable research about our business, our common stock price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would likely decline. If any analyst who may cover us were to cease coverage of us or fail to regularly publish reports on us, for example because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have withdrawn and temporarily ceased providing financial guidance in light of global supply chain disruption and the COVID-19 pandemic, we could lose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visibility in the financial markets, which in turn could cause the trading price or trading volume of our common stock to decline.</w:t>
      </w:r>
    </w:p>
    <w:p>
      <w:pPr>
        <w:spacing w:after="0" w:line="200" w:lineRule="exact"/>
        <w:rPr>
          <w:sz w:val="20"/>
          <w:szCs w:val="20"/>
          <w:color w:val="auto"/>
        </w:rPr>
      </w:pPr>
    </w:p>
    <w:p>
      <w:pPr>
        <w:spacing w:after="0" w:line="22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Any significant disruption in service on our websites or apps or in our computer systems, a number of which are currently hosted or provided by third-party providers, could materially affect our ability to operate, damage our reputation and result in a loss of consumers, which would harm our business and results of operations.</w:t>
      </w:r>
    </w:p>
    <w:p>
      <w:pPr>
        <w:spacing w:after="0" w:line="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ability to sell and market our products relies on the performance and continued development of AIMEE. AIMEE’s functionality, including its continued development, relies upon a number of third-party related services, including those relating to cloud infrastructure, technology services, servers, open source libraries and vendor APIs. Any disruption or loss of any of these third-party services could have a negative effect on our business, results of operations, financial condition and prospects. We may experience interruptions in our systems, including server failures that temporarily slow down or interfere with the performance of our platforms and the ability to sell on e-commerce marketplaces. Interruptions in these systems, whether due to system failures, human input errors, computer viruses or physical or electronic break-ins, and denial-of-service attacks on us, third-party vendors or communications infrastructure, could affect the availability of our services on our platform and prevent or inhibit the ability of selling our products. Volume of traffic and activity on e-commerce marketplaces spikes on certain days, such as during a Black Friday promotion, and any such interruption would be particularly problematic if it were to occur at such a high-volume time. Problems with the reliability of our systems or third-party marketplaces could prevent us from earning revenue and could harm our reputation. Damage to our reputation, any resulting loss of customers, e-commerce confidence and the cost of remedying these problems could negatively affect our business, results of operations, financial condition and prospects. Our ability to maintain communications, network and computer hardware in the countries in which they are used may in the future be subject to regulatory review and licensing, and the failure to obtain any required licenses could negatively affect our business. Our systems and infrastructure are predominately reliant on third parties. Problems faced by our third-party service providers with the telecommunications network providers with whom they contract or with the systems by which they allocate capacity among their users, including us, could adversely affect the experience of our consumers. Our third-party service providers could decide to close their facilities without adequate notice. Any financial difficulties, such as bankruptcy or reorganization, faced by our third-party service providers or any of the service providers with whom they contract may have negative effects on our business, the nature and extent of which are difficult to predict. If our third-party service providers are unable to keep up with our needs for capacity, this could have an adverse effect on our business. Any errors, defects, disruptions or other performance problems with our services could harm our reputation and may have a material adverse effect on our business, results of operations, financial condition and prospects.</w:t>
      </w:r>
    </w:p>
    <w:p>
      <w:pPr>
        <w:spacing w:after="0" w:line="200" w:lineRule="exact"/>
        <w:rPr>
          <w:sz w:val="20"/>
          <w:szCs w:val="20"/>
          <w:color w:val="auto"/>
        </w:rPr>
      </w:pPr>
    </w:p>
    <w:p>
      <w:pPr>
        <w:spacing w:after="0" w:line="20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to protect transaction data or other confidential and sensitive information from being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27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spacing w:after="0" w:line="283" w:lineRule="auto"/>
        <w:rPr>
          <w:sz w:val="20"/>
          <w:szCs w:val="20"/>
          <w:color w:val="auto"/>
        </w:rPr>
      </w:pPr>
      <w:r>
        <w:rPr>
          <w:rFonts w:ascii="Arial" w:cs="Arial" w:eastAsia="Arial" w:hAnsi="Arial"/>
          <w:sz w:val="16"/>
          <w:szCs w:val="16"/>
          <w:color w:val="auto"/>
        </w:rPr>
        <w:t>can occur as a result of non-technical issues, including intentional or inadvertent breaches by our employees or by third parties. These risks may increase over time as the complexity and number of technical systems and applications we use also increases. In addition, as a result of the COVID-19 pandemic, we may face increased cybersecurity risks due to our or third-party service providers’ reliance on internet technology and the number of our and our third-party service providers’ employees who are working remotely, which may create additional opportunities for cybercriminals to exploit vulnerabilities. Breaches of our security measures or those of our third-party service providers or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however, such attacks could in the future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We may experience periodic system interruptions from time to time. In addition, continued growth in our transaction volume, as well as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increases, if any, in the use of our sites or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 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or we may need to devote significant resources in the future to address problems caused by breaches, including notifying affected subscribers and responding to any resulting litigation, which in turn, diverts resources from the growth and expansion of our business. To date, we are not aware of any material compromises or breaches of our networks or systems.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On August 9, 2021, we issued 11,191 shares of our restricted common stock to Andrew Blecher, an independent contractor, pursuant to an independent contractor agreement. On August 9, 2021, we issued 44,217 restricted shares of our common stock to Mr. Nadav Zohar pursuant to a prospect referral agreement. </w:t>
      </w:r>
      <w:r>
        <w:rPr>
          <w:rFonts w:ascii="Arial" w:cs="Arial" w:eastAsia="Arial" w:hAnsi="Arial"/>
          <w:sz w:val="17"/>
          <w:szCs w:val="17"/>
          <w:color w:val="222222"/>
        </w:rPr>
        <w:t>On September 8, 2021, we entered into a consulting agreement with an advisory firm, pursuant to which the advisory firm agreed to provide us</w:t>
      </w:r>
      <w:r>
        <w:rPr>
          <w:rFonts w:ascii="Arial" w:cs="Arial" w:eastAsia="Arial" w:hAnsi="Arial"/>
          <w:sz w:val="17"/>
          <w:szCs w:val="17"/>
          <w:color w:val="auto"/>
        </w:rPr>
        <w:t xml:space="preserve"> </w:t>
      </w:r>
      <w:r>
        <w:rPr>
          <w:rFonts w:ascii="Arial" w:cs="Arial" w:eastAsia="Arial" w:hAnsi="Arial"/>
          <w:sz w:val="17"/>
          <w:szCs w:val="17"/>
          <w:color w:val="222222"/>
        </w:rPr>
        <w:t>with certain management consulting, business and advisory services. As partial consideration for the services, we agreed to issue the advisory firm 90,000 shares of restricted common stock, which shares were issued on September 8, 2021.</w:t>
      </w:r>
    </w:p>
    <w:p>
      <w:pPr>
        <w:spacing w:after="0" w:line="17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issuance of the foregoing securities was not registered under the Securities Act in reliance upon the exemption from registration provided by Section 4(a)(2) of the Securities Act and Rule 506 of Regulation D promulgated by the SEC, and in reliance on similar exemptions under applicable state 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02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4"/>
        </w:trPr>
        <w:tc>
          <w:tcPr>
            <w:tcW w:w="10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60" w:type="dxa"/>
            <w:vAlign w:val="bottom"/>
            <w:gridSpan w:val="21"/>
          </w:tcPr>
          <w:p>
            <w:pPr>
              <w:ind w:left="80"/>
              <w:spacing w:after="0"/>
              <w:rPr>
                <w:sz w:val="20"/>
                <w:szCs w:val="20"/>
                <w:color w:val="auto"/>
              </w:rPr>
            </w:pPr>
            <w:r>
              <w:rPr>
                <w:rFonts w:ascii="Arial" w:cs="Arial" w:eastAsia="Arial" w:hAnsi="Arial"/>
                <w:sz w:val="13"/>
                <w:szCs w:val="13"/>
                <w:b w:val="1"/>
                <w:bCs w:val="1"/>
                <w:color w:val="auto"/>
              </w:rPr>
              <w:t>Description</w:t>
            </w:r>
          </w:p>
        </w:tc>
      </w:tr>
      <w:tr>
        <w:trPr>
          <w:trHeight w:val="352"/>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3.1</w:t>
            </w:r>
          </w:p>
        </w:tc>
        <w:tc>
          <w:tcPr>
            <w:tcW w:w="4960" w:type="dxa"/>
            <w:vAlign w:val="bottom"/>
            <w:gridSpan w:val="27"/>
          </w:tcPr>
          <w:p>
            <w:pPr>
              <w:spacing w:after="0"/>
              <w:rPr>
                <w:rFonts w:ascii="Arial" w:cs="Arial" w:eastAsia="Arial" w:hAnsi="Arial"/>
                <w:sz w:val="17"/>
                <w:szCs w:val="17"/>
                <w:color w:val="0000EE"/>
                <w:w w:val="94"/>
              </w:rPr>
            </w:pPr>
            <w:hyperlink r:id="rId108">
              <w:r>
                <w:rPr>
                  <w:rFonts w:ascii="Arial" w:cs="Arial" w:eastAsia="Arial" w:hAnsi="Arial"/>
                  <w:sz w:val="17"/>
                  <w:szCs w:val="17"/>
                  <w:color w:val="0000EE"/>
                  <w:w w:val="94"/>
                </w:rPr>
                <w:t>Amended and Restated Certificate of Incorporation of Mohawk Group</w:t>
              </w:r>
            </w:hyperlink>
          </w:p>
        </w:tc>
      </w:tr>
      <w:tr>
        <w:trPr>
          <w:trHeight w:val="183"/>
        </w:trPr>
        <w:tc>
          <w:tcPr>
            <w:tcW w:w="1020" w:type="dxa"/>
            <w:vAlign w:val="bottom"/>
          </w:tcPr>
          <w:p>
            <w:pPr>
              <w:spacing w:after="0"/>
              <w:rPr>
                <w:sz w:val="15"/>
                <w:szCs w:val="15"/>
                <w:color w:val="auto"/>
              </w:rPr>
            </w:pPr>
          </w:p>
        </w:tc>
        <w:tc>
          <w:tcPr>
            <w:tcW w:w="980" w:type="dxa"/>
            <w:vAlign w:val="bottom"/>
            <w:tcBorders>
              <w:top w:val="single" w:sz="8" w:color="0000EE"/>
              <w:bottom w:val="single" w:sz="8" w:color="0000EE"/>
            </w:tcBorders>
            <w:gridSpan w:val="2"/>
          </w:tcPr>
          <w:p>
            <w:pPr>
              <w:spacing w:after="0" w:line="183" w:lineRule="exact"/>
              <w:rPr>
                <w:rFonts w:ascii="Arial" w:cs="Arial" w:eastAsia="Arial" w:hAnsi="Arial"/>
                <w:sz w:val="17"/>
                <w:szCs w:val="17"/>
                <w:color w:val="0000EE"/>
                <w:w w:val="93"/>
              </w:rPr>
            </w:pPr>
            <w:hyperlink r:id="rId108">
              <w:r>
                <w:rPr>
                  <w:rFonts w:ascii="Arial" w:cs="Arial" w:eastAsia="Arial" w:hAnsi="Arial"/>
                  <w:sz w:val="17"/>
                  <w:szCs w:val="17"/>
                  <w:color w:val="0000EE"/>
                  <w:w w:val="93"/>
                </w:rPr>
                <w:t>Holdings, Inc.</w:t>
              </w:r>
            </w:hyperlink>
          </w:p>
        </w:tc>
        <w:tc>
          <w:tcPr>
            <w:tcW w:w="3840" w:type="dxa"/>
            <w:vAlign w:val="bottom"/>
            <w:tcBorders>
              <w:top w:val="single" w:sz="8" w:color="0000EE"/>
            </w:tcBorders>
            <w:gridSpan w:val="20"/>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3.2</w:t>
            </w:r>
          </w:p>
        </w:tc>
        <w:tc>
          <w:tcPr>
            <w:tcW w:w="4960" w:type="dxa"/>
            <w:vAlign w:val="bottom"/>
            <w:gridSpan w:val="27"/>
          </w:tcPr>
          <w:p>
            <w:pPr>
              <w:spacing w:after="0"/>
              <w:rPr>
                <w:rFonts w:ascii="Arial" w:cs="Arial" w:eastAsia="Arial" w:hAnsi="Arial"/>
                <w:sz w:val="17"/>
                <w:szCs w:val="17"/>
                <w:color w:val="0000EE"/>
                <w:w w:val="99"/>
              </w:rPr>
            </w:pPr>
            <w:hyperlink r:id="rId109">
              <w:r>
                <w:rPr>
                  <w:rFonts w:ascii="Arial" w:cs="Arial" w:eastAsia="Arial" w:hAnsi="Arial"/>
                  <w:sz w:val="17"/>
                  <w:szCs w:val="17"/>
                  <w:color w:val="0000EE"/>
                  <w:w w:val="99"/>
                </w:rPr>
                <w:t>Certificate of Amendment to Amended and Restated Certificate of</w:t>
              </w:r>
            </w:hyperlink>
          </w:p>
        </w:tc>
      </w:tr>
      <w:tr>
        <w:trPr>
          <w:trHeight w:val="183"/>
        </w:trPr>
        <w:tc>
          <w:tcPr>
            <w:tcW w:w="1020" w:type="dxa"/>
            <w:vAlign w:val="bottom"/>
          </w:tcPr>
          <w:p>
            <w:pPr>
              <w:spacing w:after="0"/>
              <w:rPr>
                <w:sz w:val="15"/>
                <w:szCs w:val="15"/>
                <w:color w:val="auto"/>
              </w:rPr>
            </w:pPr>
          </w:p>
        </w:tc>
        <w:tc>
          <w:tcPr>
            <w:tcW w:w="4540" w:type="dxa"/>
            <w:vAlign w:val="bottom"/>
            <w:tcBorders>
              <w:top w:val="single" w:sz="8" w:color="0000EE"/>
            </w:tcBorders>
            <w:gridSpan w:val="15"/>
          </w:tcPr>
          <w:p>
            <w:pPr>
              <w:spacing w:after="0" w:line="183" w:lineRule="exact"/>
              <w:rPr>
                <w:rFonts w:ascii="Arial" w:cs="Arial" w:eastAsia="Arial" w:hAnsi="Arial"/>
                <w:sz w:val="17"/>
                <w:szCs w:val="17"/>
                <w:color w:val="0000EE"/>
              </w:rPr>
            </w:pPr>
            <w:hyperlink r:id="rId109">
              <w:r>
                <w:rPr>
                  <w:rFonts w:ascii="Arial" w:cs="Arial" w:eastAsia="Arial" w:hAnsi="Arial"/>
                  <w:sz w:val="17"/>
                  <w:szCs w:val="17"/>
                  <w:color w:val="0000EE"/>
                </w:rPr>
                <w:t>Incorporation of the Company.</w:t>
              </w:r>
            </w:hyperlink>
          </w:p>
        </w:tc>
        <w:tc>
          <w:tcPr>
            <w:tcW w:w="420" w:type="dxa"/>
            <w:vAlign w:val="bottom"/>
            <w:gridSpan w:val="1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3.3</w:t>
            </w:r>
          </w:p>
        </w:tc>
        <w:tc>
          <w:tcPr>
            <w:tcW w:w="4840" w:type="dxa"/>
            <w:vAlign w:val="bottom"/>
            <w:tcBorders>
              <w:bottom w:val="single" w:sz="8" w:color="0000EE"/>
            </w:tcBorders>
            <w:gridSpan w:val="23"/>
          </w:tcPr>
          <w:p>
            <w:pPr>
              <w:spacing w:after="0"/>
              <w:rPr>
                <w:rFonts w:ascii="Arial" w:cs="Arial" w:eastAsia="Arial" w:hAnsi="Arial"/>
                <w:sz w:val="17"/>
                <w:szCs w:val="17"/>
                <w:color w:val="0000EE"/>
                <w:w w:val="92"/>
              </w:rPr>
            </w:pPr>
            <w:hyperlink r:id="rId110">
              <w:r>
                <w:rPr>
                  <w:rFonts w:ascii="Arial" w:cs="Arial" w:eastAsia="Arial" w:hAnsi="Arial"/>
                  <w:sz w:val="17"/>
                  <w:szCs w:val="17"/>
                  <w:color w:val="0000EE"/>
                  <w:w w:val="92"/>
                </w:rPr>
                <w:t>Certificate of Correction of Certificate of Amendment to the Amended</w:t>
              </w:r>
            </w:hyperlink>
          </w:p>
        </w:tc>
        <w:tc>
          <w:tcPr>
            <w:tcW w:w="120" w:type="dxa"/>
            <w:vAlign w:val="bottom"/>
            <w:gridSpan w:val="4"/>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3980" w:type="dxa"/>
            <w:vAlign w:val="bottom"/>
            <w:tcBorders>
              <w:bottom w:val="single" w:sz="8" w:color="0000EE"/>
            </w:tcBorders>
            <w:gridSpan w:val="13"/>
          </w:tcPr>
          <w:p>
            <w:pPr>
              <w:spacing w:after="0" w:line="183" w:lineRule="exact"/>
              <w:rPr>
                <w:rFonts w:ascii="Arial" w:cs="Arial" w:eastAsia="Arial" w:hAnsi="Arial"/>
                <w:sz w:val="17"/>
                <w:szCs w:val="17"/>
                <w:color w:val="0000EE"/>
                <w:w w:val="91"/>
              </w:rPr>
            </w:pPr>
            <w:hyperlink r:id="rId110">
              <w:r>
                <w:rPr>
                  <w:rFonts w:ascii="Arial" w:cs="Arial" w:eastAsia="Arial" w:hAnsi="Arial"/>
                  <w:sz w:val="17"/>
                  <w:szCs w:val="17"/>
                  <w:color w:val="0000EE"/>
                  <w:w w:val="91"/>
                </w:rPr>
                <w:t>and Restated Certificate of Incorporation of the Company.</w:t>
              </w:r>
            </w:hyperlink>
          </w:p>
        </w:tc>
        <w:tc>
          <w:tcPr>
            <w:tcW w:w="980" w:type="dxa"/>
            <w:vAlign w:val="bottom"/>
            <w:gridSpan w:val="14"/>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3.4</w:t>
            </w:r>
          </w:p>
        </w:tc>
        <w:tc>
          <w:tcPr>
            <w:tcW w:w="3780" w:type="dxa"/>
            <w:vAlign w:val="bottom"/>
            <w:tcBorders>
              <w:bottom w:val="single" w:sz="8" w:color="0000EE"/>
            </w:tcBorders>
            <w:gridSpan w:val="12"/>
          </w:tcPr>
          <w:p>
            <w:pPr>
              <w:spacing w:after="0"/>
              <w:rPr>
                <w:rFonts w:ascii="Arial" w:cs="Arial" w:eastAsia="Arial" w:hAnsi="Arial"/>
                <w:sz w:val="17"/>
                <w:szCs w:val="17"/>
                <w:color w:val="0000EE"/>
                <w:w w:val="90"/>
              </w:rPr>
            </w:pPr>
            <w:hyperlink r:id="rId111">
              <w:r>
                <w:rPr>
                  <w:rFonts w:ascii="Arial" w:cs="Arial" w:eastAsia="Arial" w:hAnsi="Arial"/>
                  <w:sz w:val="17"/>
                  <w:szCs w:val="17"/>
                  <w:color w:val="0000EE"/>
                  <w:w w:val="90"/>
                </w:rPr>
                <w:t>Second Amended and Restated Bylaws of Aterian, Inc.</w:t>
              </w:r>
            </w:hyperlink>
          </w:p>
        </w:tc>
        <w:tc>
          <w:tcPr>
            <w:tcW w:w="1180" w:type="dxa"/>
            <w:vAlign w:val="bottom"/>
            <w:gridSpan w:val="15"/>
          </w:tcPr>
          <w:p>
            <w:pPr>
              <w:spacing w:after="0"/>
              <w:rPr>
                <w:sz w:val="24"/>
                <w:szCs w:val="24"/>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4.1</w:t>
            </w:r>
          </w:p>
        </w:tc>
        <w:tc>
          <w:tcPr>
            <w:tcW w:w="2480" w:type="dxa"/>
            <w:vAlign w:val="bottom"/>
            <w:tcBorders>
              <w:bottom w:val="single" w:sz="8" w:color="0000EE"/>
            </w:tcBorders>
            <w:gridSpan w:val="9"/>
          </w:tcPr>
          <w:p>
            <w:pPr>
              <w:spacing w:after="0"/>
              <w:rPr>
                <w:rFonts w:ascii="Arial" w:cs="Arial" w:eastAsia="Arial" w:hAnsi="Arial"/>
                <w:sz w:val="17"/>
                <w:szCs w:val="17"/>
                <w:color w:val="0000EE"/>
                <w:w w:val="92"/>
              </w:rPr>
            </w:pPr>
            <w:hyperlink r:id="rId112">
              <w:r>
                <w:rPr>
                  <w:rFonts w:ascii="Arial" w:cs="Arial" w:eastAsia="Arial" w:hAnsi="Arial"/>
                  <w:sz w:val="17"/>
                  <w:szCs w:val="17"/>
                  <w:color w:val="0000EE"/>
                  <w:w w:val="92"/>
                </w:rPr>
                <w:t>Form of Common Stock Certificate.</w:t>
              </w:r>
            </w:hyperlink>
          </w:p>
        </w:tc>
        <w:tc>
          <w:tcPr>
            <w:tcW w:w="2480" w:type="dxa"/>
            <w:vAlign w:val="bottom"/>
            <w:gridSpan w:val="18"/>
          </w:tcPr>
          <w:p>
            <w:pPr>
              <w:spacing w:after="0"/>
              <w:rPr>
                <w:sz w:val="24"/>
                <w:szCs w:val="24"/>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89"/>
              </w:rPr>
              <w:t>4.2+</w:t>
            </w:r>
          </w:p>
        </w:tc>
        <w:tc>
          <w:tcPr>
            <w:tcW w:w="4580" w:type="dxa"/>
            <w:vAlign w:val="bottom"/>
            <w:tcBorders>
              <w:bottom w:val="single" w:sz="8" w:color="0000EE"/>
            </w:tcBorders>
            <w:gridSpan w:val="17"/>
          </w:tcPr>
          <w:p>
            <w:pPr>
              <w:spacing w:after="0"/>
              <w:rPr>
                <w:rFonts w:ascii="Arial" w:cs="Arial" w:eastAsia="Arial" w:hAnsi="Arial"/>
                <w:sz w:val="17"/>
                <w:szCs w:val="17"/>
                <w:color w:val="0000EE"/>
                <w:w w:val="92"/>
              </w:rPr>
            </w:pPr>
            <w:hyperlink r:id="rId113">
              <w:r>
                <w:rPr>
                  <w:rFonts w:ascii="Arial" w:cs="Arial" w:eastAsia="Arial" w:hAnsi="Arial"/>
                  <w:sz w:val="17"/>
                  <w:szCs w:val="17"/>
                  <w:color w:val="0000EE"/>
                  <w:w w:val="92"/>
                </w:rPr>
                <w:t>Form of Registration Rights Agreement, dated as of April 6, 2018,</w:t>
              </w:r>
            </w:hyperlink>
          </w:p>
        </w:tc>
        <w:tc>
          <w:tcPr>
            <w:tcW w:w="380" w:type="dxa"/>
            <w:vAlign w:val="bottom"/>
            <w:gridSpan w:val="10"/>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4960" w:type="dxa"/>
            <w:vAlign w:val="bottom"/>
            <w:gridSpan w:val="27"/>
          </w:tcPr>
          <w:p>
            <w:pPr>
              <w:spacing w:after="0" w:line="183" w:lineRule="exact"/>
              <w:rPr>
                <w:rFonts w:ascii="Arial" w:cs="Arial" w:eastAsia="Arial" w:hAnsi="Arial"/>
                <w:sz w:val="17"/>
                <w:szCs w:val="17"/>
                <w:color w:val="0000EE"/>
                <w:w w:val="92"/>
              </w:rPr>
            </w:pPr>
            <w:hyperlink r:id="rId113">
              <w:r>
                <w:rPr>
                  <w:rFonts w:ascii="Arial" w:cs="Arial" w:eastAsia="Arial" w:hAnsi="Arial"/>
                  <w:sz w:val="17"/>
                  <w:szCs w:val="17"/>
                  <w:color w:val="0000EE"/>
                  <w:w w:val="92"/>
                </w:rPr>
                <w:t>among Mohawk Group Holdings, Inc. and the purchasers party thereto.</w:t>
              </w:r>
            </w:hyperlink>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4.3</w:t>
            </w:r>
          </w:p>
        </w:tc>
        <w:tc>
          <w:tcPr>
            <w:tcW w:w="4780" w:type="dxa"/>
            <w:vAlign w:val="bottom"/>
            <w:tcBorders>
              <w:top w:val="single" w:sz="8" w:color="0000EE"/>
              <w:bottom w:val="single" w:sz="8" w:color="0000EE"/>
            </w:tcBorders>
            <w:gridSpan w:val="20"/>
          </w:tcPr>
          <w:p>
            <w:pPr>
              <w:spacing w:after="0"/>
              <w:rPr>
                <w:rFonts w:ascii="Arial" w:cs="Arial" w:eastAsia="Arial" w:hAnsi="Arial"/>
                <w:sz w:val="17"/>
                <w:szCs w:val="17"/>
                <w:color w:val="0000EE"/>
                <w:w w:val="91"/>
              </w:rPr>
            </w:pPr>
            <w:hyperlink r:id="rId114">
              <w:r>
                <w:rPr>
                  <w:rFonts w:ascii="Arial" w:cs="Arial" w:eastAsia="Arial" w:hAnsi="Arial"/>
                  <w:sz w:val="17"/>
                  <w:szCs w:val="17"/>
                  <w:color w:val="0000EE"/>
                  <w:w w:val="91"/>
                </w:rPr>
                <w:t>Form of Warrant, issued to Katalyst Securities LLC and its assigns on</w:t>
              </w:r>
            </w:hyperlink>
          </w:p>
        </w:tc>
        <w:tc>
          <w:tcPr>
            <w:tcW w:w="100" w:type="dxa"/>
            <w:vAlign w:val="bottom"/>
            <w:tcBorders>
              <w:top w:val="single" w:sz="8" w:color="0000EE"/>
            </w:tcBorders>
            <w:gridSpan w:val="4"/>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340" w:type="dxa"/>
            <w:vAlign w:val="bottom"/>
            <w:tcBorders>
              <w:bottom w:val="single" w:sz="8" w:color="0000EE"/>
            </w:tcBorders>
            <w:gridSpan w:val="4"/>
          </w:tcPr>
          <w:p>
            <w:pPr>
              <w:spacing w:after="0" w:line="183" w:lineRule="exact"/>
              <w:rPr>
                <w:rFonts w:ascii="Arial" w:cs="Arial" w:eastAsia="Arial" w:hAnsi="Arial"/>
                <w:sz w:val="17"/>
                <w:szCs w:val="17"/>
                <w:color w:val="0000EE"/>
                <w:w w:val="88"/>
              </w:rPr>
            </w:pPr>
            <w:hyperlink r:id="rId114">
              <w:r>
                <w:rPr>
                  <w:rFonts w:ascii="Arial" w:cs="Arial" w:eastAsia="Arial" w:hAnsi="Arial"/>
                  <w:sz w:val="17"/>
                  <w:szCs w:val="17"/>
                  <w:color w:val="0000EE"/>
                  <w:w w:val="88"/>
                </w:rPr>
                <w:t>September 4, 2018.</w:t>
              </w:r>
            </w:hyperlink>
          </w:p>
        </w:tc>
        <w:tc>
          <w:tcPr>
            <w:tcW w:w="3620" w:type="dxa"/>
            <w:vAlign w:val="bottom"/>
            <w:gridSpan w:val="23"/>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4.4</w:t>
            </w:r>
          </w:p>
        </w:tc>
        <w:tc>
          <w:tcPr>
            <w:tcW w:w="4960" w:type="dxa"/>
            <w:vAlign w:val="bottom"/>
            <w:tcBorders>
              <w:bottom w:val="single" w:sz="8" w:color="0000EE"/>
            </w:tcBorders>
            <w:gridSpan w:val="27"/>
          </w:tcPr>
          <w:p>
            <w:pPr>
              <w:spacing w:after="0"/>
              <w:rPr>
                <w:rFonts w:ascii="Arial" w:cs="Arial" w:eastAsia="Arial" w:hAnsi="Arial"/>
                <w:sz w:val="17"/>
                <w:szCs w:val="17"/>
                <w:color w:val="0000EE"/>
                <w:w w:val="91"/>
              </w:rPr>
            </w:pPr>
            <w:hyperlink r:id="rId115">
              <w:r>
                <w:rPr>
                  <w:rFonts w:ascii="Arial" w:cs="Arial" w:eastAsia="Arial" w:hAnsi="Arial"/>
                  <w:sz w:val="17"/>
                  <w:szCs w:val="17"/>
                  <w:color w:val="0000EE"/>
                  <w:w w:val="91"/>
                </w:rPr>
                <w:t>Form of Warrant, issued to Horizon Technology Finance Corporation on</w:t>
              </w:r>
            </w:hyperlink>
          </w:p>
        </w:tc>
      </w:tr>
      <w:tr>
        <w:trPr>
          <w:trHeight w:val="183"/>
        </w:trPr>
        <w:tc>
          <w:tcPr>
            <w:tcW w:w="1020" w:type="dxa"/>
            <w:vAlign w:val="bottom"/>
          </w:tcPr>
          <w:p>
            <w:pPr>
              <w:spacing w:after="0"/>
              <w:rPr>
                <w:sz w:val="15"/>
                <w:szCs w:val="15"/>
                <w:color w:val="auto"/>
              </w:rPr>
            </w:pPr>
          </w:p>
        </w:tc>
        <w:tc>
          <w:tcPr>
            <w:tcW w:w="1400" w:type="dxa"/>
            <w:vAlign w:val="bottom"/>
            <w:tcBorders>
              <w:bottom w:val="single" w:sz="8" w:color="0000EE"/>
            </w:tcBorders>
            <w:gridSpan w:val="5"/>
          </w:tcPr>
          <w:p>
            <w:pPr>
              <w:spacing w:after="0" w:line="183" w:lineRule="exact"/>
              <w:rPr>
                <w:rFonts w:ascii="Arial" w:cs="Arial" w:eastAsia="Arial" w:hAnsi="Arial"/>
                <w:sz w:val="17"/>
                <w:szCs w:val="17"/>
                <w:color w:val="0000EE"/>
                <w:w w:val="89"/>
              </w:rPr>
            </w:pPr>
            <w:hyperlink r:id="rId115">
              <w:r>
                <w:rPr>
                  <w:rFonts w:ascii="Arial" w:cs="Arial" w:eastAsia="Arial" w:hAnsi="Arial"/>
                  <w:sz w:val="17"/>
                  <w:szCs w:val="17"/>
                  <w:color w:val="0000EE"/>
                  <w:w w:val="89"/>
                </w:rPr>
                <w:t>December 31, 2018.</w:t>
              </w:r>
            </w:hyperlink>
          </w:p>
        </w:tc>
        <w:tc>
          <w:tcPr>
            <w:tcW w:w="3560" w:type="dxa"/>
            <w:vAlign w:val="bottom"/>
            <w:gridSpan w:val="22"/>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4.5</w:t>
            </w:r>
          </w:p>
        </w:tc>
        <w:tc>
          <w:tcPr>
            <w:tcW w:w="4960" w:type="dxa"/>
            <w:vAlign w:val="bottom"/>
            <w:gridSpan w:val="27"/>
          </w:tcPr>
          <w:p>
            <w:pPr>
              <w:spacing w:after="0"/>
              <w:rPr>
                <w:rFonts w:ascii="Arial" w:cs="Arial" w:eastAsia="Arial" w:hAnsi="Arial"/>
                <w:sz w:val="17"/>
                <w:szCs w:val="17"/>
                <w:color w:val="0000EE"/>
                <w:w w:val="91"/>
              </w:rPr>
            </w:pPr>
            <w:hyperlink r:id="rId116">
              <w:r>
                <w:rPr>
                  <w:rFonts w:ascii="Arial" w:cs="Arial" w:eastAsia="Arial" w:hAnsi="Arial"/>
                  <w:sz w:val="17"/>
                  <w:szCs w:val="17"/>
                  <w:color w:val="0000EE"/>
                  <w:w w:val="91"/>
                </w:rPr>
                <w:t>Amendment No. 1 to Registration Rights Agreement, dated as of March</w:t>
              </w:r>
            </w:hyperlink>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EE"/>
            </w:tcBorders>
            <w:gridSpan w:val="26"/>
          </w:tcPr>
          <w:p>
            <w:pPr>
              <w:spacing w:after="0" w:line="183" w:lineRule="exact"/>
              <w:rPr>
                <w:rFonts w:ascii="Arial" w:cs="Arial" w:eastAsia="Arial" w:hAnsi="Arial"/>
                <w:sz w:val="17"/>
                <w:szCs w:val="17"/>
                <w:color w:val="0000EE"/>
                <w:w w:val="93"/>
              </w:rPr>
            </w:pPr>
            <w:hyperlink r:id="rId116">
              <w:r>
                <w:rPr>
                  <w:rFonts w:ascii="Arial" w:cs="Arial" w:eastAsia="Arial" w:hAnsi="Arial"/>
                  <w:sz w:val="17"/>
                  <w:szCs w:val="17"/>
                  <w:color w:val="0000EE"/>
                  <w:w w:val="93"/>
                </w:rPr>
                <w:t>2, 2019, among Mohawk Group Holdings, Inc. and the investors party</w:t>
              </w:r>
            </w:hyperlink>
          </w:p>
        </w:tc>
        <w:tc>
          <w:tcPr>
            <w:tcW w:w="4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4800" w:type="dxa"/>
            <w:vAlign w:val="bottom"/>
            <w:tcBorders>
              <w:top w:val="single" w:sz="8" w:color="0000EE"/>
            </w:tcBorders>
            <w:gridSpan w:val="21"/>
          </w:tcPr>
          <w:p>
            <w:pPr>
              <w:spacing w:after="0" w:line="183" w:lineRule="exact"/>
              <w:rPr>
                <w:rFonts w:ascii="Arial" w:cs="Arial" w:eastAsia="Arial" w:hAnsi="Arial"/>
                <w:sz w:val="17"/>
                <w:szCs w:val="17"/>
                <w:color w:val="0000EE"/>
              </w:rPr>
            </w:pPr>
            <w:hyperlink r:id="rId116">
              <w:r>
                <w:rPr>
                  <w:rFonts w:ascii="Arial" w:cs="Arial" w:eastAsia="Arial" w:hAnsi="Arial"/>
                  <w:sz w:val="17"/>
                  <w:szCs w:val="17"/>
                  <w:color w:val="0000EE"/>
                </w:rPr>
                <w:t>thereto.</w:t>
              </w:r>
            </w:hyperlink>
          </w:p>
        </w:tc>
        <w:tc>
          <w:tcPr>
            <w:tcW w:w="160" w:type="dxa"/>
            <w:vAlign w:val="bottom"/>
            <w:gridSpan w:val="6"/>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4.6</w:t>
            </w:r>
          </w:p>
        </w:tc>
        <w:tc>
          <w:tcPr>
            <w:tcW w:w="4960" w:type="dxa"/>
            <w:vAlign w:val="bottom"/>
            <w:gridSpan w:val="27"/>
          </w:tcPr>
          <w:p>
            <w:pPr>
              <w:spacing w:after="0"/>
              <w:rPr>
                <w:rFonts w:ascii="Arial" w:cs="Arial" w:eastAsia="Arial" w:hAnsi="Arial"/>
                <w:sz w:val="17"/>
                <w:szCs w:val="17"/>
                <w:color w:val="0000EE"/>
                <w:w w:val="94"/>
              </w:rPr>
            </w:pPr>
            <w:hyperlink r:id="rId117">
              <w:r>
                <w:rPr>
                  <w:rFonts w:ascii="Arial" w:cs="Arial" w:eastAsia="Arial" w:hAnsi="Arial"/>
                  <w:sz w:val="17"/>
                  <w:szCs w:val="17"/>
                  <w:color w:val="0000EE"/>
                  <w:w w:val="94"/>
                </w:rPr>
                <w:t>Warrant to Purchase Shares of Common Stock, issued to Third Creek</w:t>
              </w:r>
            </w:hyperlink>
          </w:p>
        </w:tc>
      </w:tr>
      <w:tr>
        <w:trPr>
          <w:trHeight w:val="183"/>
        </w:trPr>
        <w:tc>
          <w:tcPr>
            <w:tcW w:w="1020" w:type="dxa"/>
            <w:vAlign w:val="bottom"/>
          </w:tcPr>
          <w:p>
            <w:pPr>
              <w:spacing w:after="0"/>
              <w:rPr>
                <w:sz w:val="15"/>
                <w:szCs w:val="15"/>
                <w:color w:val="auto"/>
              </w:rPr>
            </w:pPr>
          </w:p>
        </w:tc>
        <w:tc>
          <w:tcPr>
            <w:tcW w:w="4740" w:type="dxa"/>
            <w:vAlign w:val="bottom"/>
            <w:tcBorders>
              <w:top w:val="single" w:sz="8" w:color="0000EE"/>
            </w:tcBorders>
            <w:gridSpan w:val="19"/>
          </w:tcPr>
          <w:p>
            <w:pPr>
              <w:spacing w:after="0" w:line="183" w:lineRule="exact"/>
              <w:rPr>
                <w:rFonts w:ascii="Arial" w:cs="Arial" w:eastAsia="Arial" w:hAnsi="Arial"/>
                <w:sz w:val="17"/>
                <w:szCs w:val="17"/>
                <w:color w:val="0000EE"/>
              </w:rPr>
            </w:pPr>
            <w:hyperlink r:id="rId117">
              <w:r>
                <w:rPr>
                  <w:rFonts w:ascii="Arial" w:cs="Arial" w:eastAsia="Arial" w:hAnsi="Arial"/>
                  <w:sz w:val="17"/>
                  <w:szCs w:val="17"/>
                  <w:color w:val="0000EE"/>
                </w:rPr>
                <w:t>Advisors, LLC on August 18, 2020.</w:t>
              </w:r>
            </w:hyperlink>
          </w:p>
        </w:tc>
        <w:tc>
          <w:tcPr>
            <w:tcW w:w="220" w:type="dxa"/>
            <w:vAlign w:val="bottom"/>
            <w:gridSpan w:val="8"/>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4.7</w:t>
            </w:r>
          </w:p>
        </w:tc>
        <w:tc>
          <w:tcPr>
            <w:tcW w:w="4960" w:type="dxa"/>
            <w:vAlign w:val="bottom"/>
            <w:gridSpan w:val="27"/>
          </w:tcPr>
          <w:p>
            <w:pPr>
              <w:spacing w:after="0"/>
              <w:rPr>
                <w:rFonts w:ascii="Arial" w:cs="Arial" w:eastAsia="Arial" w:hAnsi="Arial"/>
                <w:sz w:val="17"/>
                <w:szCs w:val="17"/>
                <w:color w:val="0000EE"/>
                <w:w w:val="93"/>
              </w:rPr>
            </w:pPr>
            <w:hyperlink r:id="rId118">
              <w:r>
                <w:rPr>
                  <w:rFonts w:ascii="Arial" w:cs="Arial" w:eastAsia="Arial" w:hAnsi="Arial"/>
                  <w:sz w:val="17"/>
                  <w:szCs w:val="17"/>
                  <w:color w:val="0000EE"/>
                  <w:w w:val="93"/>
                </w:rPr>
                <w:t>Form of Warrant to Purchase Common Stock, dated February 2, 2021.</w:t>
              </w:r>
            </w:hyperlink>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4.8</w:t>
            </w:r>
          </w:p>
        </w:tc>
        <w:tc>
          <w:tcPr>
            <w:tcW w:w="4800" w:type="dxa"/>
            <w:vAlign w:val="bottom"/>
            <w:tcBorders>
              <w:top w:val="single" w:sz="8" w:color="0000EE"/>
            </w:tcBorders>
            <w:gridSpan w:val="21"/>
          </w:tcPr>
          <w:p>
            <w:pPr>
              <w:spacing w:after="0"/>
              <w:rPr>
                <w:rFonts w:ascii="Arial" w:cs="Arial" w:eastAsia="Arial" w:hAnsi="Arial"/>
                <w:sz w:val="17"/>
                <w:szCs w:val="17"/>
                <w:color w:val="0000EE"/>
                <w:w w:val="98"/>
              </w:rPr>
            </w:pPr>
            <w:hyperlink r:id="rId119">
              <w:r>
                <w:rPr>
                  <w:rFonts w:ascii="Arial" w:cs="Arial" w:eastAsia="Arial" w:hAnsi="Arial"/>
                  <w:sz w:val="17"/>
                  <w:szCs w:val="17"/>
                  <w:color w:val="0000EE"/>
                  <w:w w:val="98"/>
                </w:rPr>
                <w:t>Amendment to Warrant to Purchase Common Stock, dated as of</w:t>
              </w:r>
            </w:hyperlink>
          </w:p>
        </w:tc>
        <w:tc>
          <w:tcPr>
            <w:tcW w:w="160" w:type="dxa"/>
            <w:vAlign w:val="bottom"/>
            <w:gridSpan w:val="6"/>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89"/>
              </w:rPr>
            </w:pPr>
            <w:hyperlink r:id="rId119">
              <w:r>
                <w:rPr>
                  <w:rFonts w:ascii="Arial" w:cs="Arial" w:eastAsia="Arial" w:hAnsi="Arial"/>
                  <w:sz w:val="17"/>
                  <w:szCs w:val="17"/>
                  <w:color w:val="0000EE"/>
                  <w:w w:val="89"/>
                </w:rPr>
                <w:t>February 2, 2021.</w:t>
              </w:r>
            </w:hyperlink>
          </w:p>
        </w:tc>
        <w:tc>
          <w:tcPr>
            <w:tcW w:w="3160" w:type="dxa"/>
            <w:vAlign w:val="bottom"/>
            <w:tcBorders>
              <w:top w:val="single" w:sz="8" w:color="0000EE"/>
            </w:tcBorders>
            <w:gridSpan w:val="11"/>
          </w:tcPr>
          <w:p>
            <w:pPr>
              <w:spacing w:after="0"/>
              <w:rPr>
                <w:sz w:val="15"/>
                <w:szCs w:val="15"/>
                <w:color w:val="auto"/>
              </w:rPr>
            </w:pPr>
          </w:p>
        </w:tc>
        <w:tc>
          <w:tcPr>
            <w:tcW w:w="580" w:type="dxa"/>
            <w:vAlign w:val="bottom"/>
            <w:gridSpan w:val="13"/>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2"/>
              </w:rPr>
              <w:t>4.9</w:t>
            </w:r>
          </w:p>
        </w:tc>
        <w:tc>
          <w:tcPr>
            <w:tcW w:w="4960" w:type="dxa"/>
            <w:vAlign w:val="bottom"/>
            <w:gridSpan w:val="27"/>
          </w:tcPr>
          <w:p>
            <w:pPr>
              <w:spacing w:after="0"/>
              <w:rPr>
                <w:rFonts w:ascii="Arial" w:cs="Arial" w:eastAsia="Arial" w:hAnsi="Arial"/>
                <w:sz w:val="17"/>
                <w:szCs w:val="17"/>
                <w:color w:val="0000EE"/>
                <w:w w:val="94"/>
              </w:rPr>
            </w:pPr>
            <w:hyperlink r:id="rId120">
              <w:r>
                <w:rPr>
                  <w:rFonts w:ascii="Arial" w:cs="Arial" w:eastAsia="Arial" w:hAnsi="Arial"/>
                  <w:sz w:val="17"/>
                  <w:szCs w:val="17"/>
                  <w:color w:val="0000EE"/>
                  <w:w w:val="94"/>
                </w:rPr>
                <w:t>Form of Warrant to Purchase Common Stock (Penny Warrant), dated</w:t>
              </w:r>
            </w:hyperlink>
          </w:p>
        </w:tc>
      </w:tr>
      <w:tr>
        <w:trPr>
          <w:trHeight w:val="183"/>
        </w:trPr>
        <w:tc>
          <w:tcPr>
            <w:tcW w:w="10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89"/>
              </w:rPr>
            </w:pPr>
            <w:hyperlink r:id="rId120">
              <w:r>
                <w:rPr>
                  <w:rFonts w:ascii="Arial" w:cs="Arial" w:eastAsia="Arial" w:hAnsi="Arial"/>
                  <w:sz w:val="17"/>
                  <w:szCs w:val="17"/>
                  <w:color w:val="0000EE"/>
                  <w:w w:val="89"/>
                </w:rPr>
                <w:t>February 9, 2021.</w:t>
              </w:r>
            </w:hyperlink>
          </w:p>
        </w:tc>
        <w:tc>
          <w:tcPr>
            <w:tcW w:w="3500" w:type="dxa"/>
            <w:vAlign w:val="bottom"/>
            <w:tcBorders>
              <w:top w:val="single" w:sz="8" w:color="0000EE"/>
            </w:tcBorders>
            <w:gridSpan w:val="15"/>
          </w:tcPr>
          <w:p>
            <w:pPr>
              <w:spacing w:after="0"/>
              <w:rPr>
                <w:sz w:val="15"/>
                <w:szCs w:val="15"/>
                <w:color w:val="auto"/>
              </w:rPr>
            </w:pPr>
          </w:p>
        </w:tc>
        <w:tc>
          <w:tcPr>
            <w:tcW w:w="240" w:type="dxa"/>
            <w:vAlign w:val="bottom"/>
            <w:gridSpan w:val="9"/>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0"/>
              </w:rPr>
              <w:t>4.10</w:t>
            </w:r>
          </w:p>
        </w:tc>
        <w:tc>
          <w:tcPr>
            <w:tcW w:w="4960" w:type="dxa"/>
            <w:vAlign w:val="bottom"/>
            <w:gridSpan w:val="27"/>
          </w:tcPr>
          <w:p>
            <w:pPr>
              <w:spacing w:after="0"/>
              <w:rPr>
                <w:rFonts w:ascii="Arial" w:cs="Arial" w:eastAsia="Arial" w:hAnsi="Arial"/>
                <w:sz w:val="17"/>
                <w:szCs w:val="17"/>
                <w:color w:val="0000EE"/>
                <w:w w:val="93"/>
              </w:rPr>
            </w:pPr>
            <w:hyperlink r:id="rId121">
              <w:r>
                <w:rPr>
                  <w:rFonts w:ascii="Arial" w:cs="Arial" w:eastAsia="Arial" w:hAnsi="Arial"/>
                  <w:sz w:val="17"/>
                  <w:szCs w:val="17"/>
                  <w:color w:val="0000EE"/>
                  <w:w w:val="93"/>
                </w:rPr>
                <w:t>Form of Warrant to Purchase Common Stock, dated February 9, 2021.</w:t>
              </w:r>
            </w:hyperlink>
          </w:p>
        </w:tc>
      </w:tr>
      <w:tr>
        <w:trPr>
          <w:trHeight w:val="588"/>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0"/>
              </w:rPr>
              <w:t>4.11</w:t>
            </w:r>
          </w:p>
        </w:tc>
        <w:tc>
          <w:tcPr>
            <w:tcW w:w="4800" w:type="dxa"/>
            <w:vAlign w:val="bottom"/>
            <w:tcBorders>
              <w:top w:val="single" w:sz="8" w:color="0000EE"/>
            </w:tcBorders>
            <w:gridSpan w:val="21"/>
          </w:tcPr>
          <w:p>
            <w:pPr>
              <w:spacing w:after="0"/>
              <w:rPr>
                <w:rFonts w:ascii="Arial" w:cs="Arial" w:eastAsia="Arial" w:hAnsi="Arial"/>
                <w:sz w:val="17"/>
                <w:szCs w:val="17"/>
                <w:color w:val="0000EE"/>
                <w:w w:val="98"/>
              </w:rPr>
            </w:pPr>
            <w:hyperlink r:id="rId122">
              <w:r>
                <w:rPr>
                  <w:rFonts w:ascii="Arial" w:cs="Arial" w:eastAsia="Arial" w:hAnsi="Arial"/>
                  <w:sz w:val="17"/>
                  <w:szCs w:val="17"/>
                  <w:color w:val="0000EE"/>
                  <w:w w:val="98"/>
                </w:rPr>
                <w:t>Amendment to Warrant to Purchase Common Stock, dated as of</w:t>
              </w:r>
            </w:hyperlink>
          </w:p>
        </w:tc>
        <w:tc>
          <w:tcPr>
            <w:tcW w:w="160" w:type="dxa"/>
            <w:vAlign w:val="bottom"/>
            <w:gridSpan w:val="6"/>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89"/>
              </w:rPr>
            </w:pPr>
            <w:hyperlink r:id="rId122">
              <w:r>
                <w:rPr>
                  <w:rFonts w:ascii="Arial" w:cs="Arial" w:eastAsia="Arial" w:hAnsi="Arial"/>
                  <w:sz w:val="17"/>
                  <w:szCs w:val="17"/>
                  <w:color w:val="0000EE"/>
                  <w:w w:val="89"/>
                </w:rPr>
                <w:t>February 8, 2021.</w:t>
              </w:r>
            </w:hyperlink>
          </w:p>
        </w:tc>
        <w:tc>
          <w:tcPr>
            <w:tcW w:w="3160" w:type="dxa"/>
            <w:vAlign w:val="bottom"/>
            <w:tcBorders>
              <w:top w:val="single" w:sz="8" w:color="0000EE"/>
            </w:tcBorders>
            <w:gridSpan w:val="11"/>
          </w:tcPr>
          <w:p>
            <w:pPr>
              <w:spacing w:after="0"/>
              <w:rPr>
                <w:sz w:val="15"/>
                <w:szCs w:val="15"/>
                <w:color w:val="auto"/>
              </w:rPr>
            </w:pPr>
          </w:p>
        </w:tc>
        <w:tc>
          <w:tcPr>
            <w:tcW w:w="580" w:type="dxa"/>
            <w:vAlign w:val="bottom"/>
            <w:gridSpan w:val="13"/>
          </w:tcPr>
          <w:p>
            <w:pPr>
              <w:spacing w:after="0"/>
              <w:rPr>
                <w:sz w:val="15"/>
                <w:szCs w:val="15"/>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0"/>
              </w:rPr>
              <w:t>4.12</w:t>
            </w:r>
          </w:p>
        </w:tc>
        <w:tc>
          <w:tcPr>
            <w:tcW w:w="2740" w:type="dxa"/>
            <w:vAlign w:val="bottom"/>
            <w:tcBorders>
              <w:bottom w:val="single" w:sz="8" w:color="0000EE"/>
            </w:tcBorders>
            <w:gridSpan w:val="10"/>
          </w:tcPr>
          <w:p>
            <w:pPr>
              <w:spacing w:after="0"/>
              <w:rPr>
                <w:rFonts w:ascii="Arial" w:cs="Arial" w:eastAsia="Arial" w:hAnsi="Arial"/>
                <w:sz w:val="17"/>
                <w:szCs w:val="17"/>
                <w:color w:val="0000EE"/>
                <w:w w:val="90"/>
              </w:rPr>
            </w:pPr>
            <w:hyperlink r:id="rId123">
              <w:r>
                <w:rPr>
                  <w:rFonts w:ascii="Arial" w:cs="Arial" w:eastAsia="Arial" w:hAnsi="Arial"/>
                  <w:sz w:val="17"/>
                  <w:szCs w:val="17"/>
                  <w:color w:val="0000EE"/>
                  <w:w w:val="90"/>
                </w:rPr>
                <w:t>Form of Senior Secured Note due 2024.</w:t>
              </w:r>
            </w:hyperlink>
          </w:p>
        </w:tc>
        <w:tc>
          <w:tcPr>
            <w:tcW w:w="2220" w:type="dxa"/>
            <w:vAlign w:val="bottom"/>
            <w:gridSpan w:val="17"/>
          </w:tcPr>
          <w:p>
            <w:pPr>
              <w:spacing w:after="0"/>
              <w:rPr>
                <w:sz w:val="24"/>
                <w:szCs w:val="24"/>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0"/>
              </w:rPr>
              <w:t>4.13</w:t>
            </w:r>
          </w:p>
        </w:tc>
        <w:tc>
          <w:tcPr>
            <w:tcW w:w="4560" w:type="dxa"/>
            <w:vAlign w:val="bottom"/>
            <w:tcBorders>
              <w:bottom w:val="single" w:sz="8" w:color="0000EE"/>
            </w:tcBorders>
            <w:gridSpan w:val="16"/>
          </w:tcPr>
          <w:p>
            <w:pPr>
              <w:spacing w:after="0"/>
              <w:rPr>
                <w:rFonts w:ascii="Arial" w:cs="Arial" w:eastAsia="Arial" w:hAnsi="Arial"/>
                <w:sz w:val="17"/>
                <w:szCs w:val="17"/>
                <w:color w:val="0000EE"/>
                <w:w w:val="91"/>
              </w:rPr>
            </w:pPr>
            <w:hyperlink r:id="rId124">
              <w:r>
                <w:rPr>
                  <w:rFonts w:ascii="Arial" w:cs="Arial" w:eastAsia="Arial" w:hAnsi="Arial"/>
                  <w:sz w:val="17"/>
                  <w:szCs w:val="17"/>
                  <w:color w:val="0000EE"/>
                  <w:w w:val="91"/>
                </w:rPr>
                <w:t>Form of Warrant to Purchase Common Stock, dated April 8, 2021.</w:t>
              </w:r>
            </w:hyperlink>
          </w:p>
        </w:tc>
        <w:tc>
          <w:tcPr>
            <w:tcW w:w="400" w:type="dxa"/>
            <w:vAlign w:val="bottom"/>
            <w:gridSpan w:val="11"/>
          </w:tcPr>
          <w:p>
            <w:pPr>
              <w:spacing w:after="0"/>
              <w:rPr>
                <w:sz w:val="24"/>
                <w:szCs w:val="24"/>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0"/>
              </w:rPr>
              <w:t>4.14</w:t>
            </w:r>
          </w:p>
        </w:tc>
        <w:tc>
          <w:tcPr>
            <w:tcW w:w="4960" w:type="dxa"/>
            <w:vAlign w:val="bottom"/>
            <w:gridSpan w:val="27"/>
          </w:tcPr>
          <w:p>
            <w:pPr>
              <w:spacing w:after="0"/>
              <w:rPr>
                <w:rFonts w:ascii="Arial" w:cs="Arial" w:eastAsia="Arial" w:hAnsi="Arial"/>
                <w:sz w:val="17"/>
                <w:szCs w:val="17"/>
                <w:color w:val="0000EE"/>
                <w:w w:val="91"/>
              </w:rPr>
            </w:pPr>
            <w:hyperlink r:id="rId125">
              <w:r>
                <w:rPr>
                  <w:rFonts w:ascii="Arial" w:cs="Arial" w:eastAsia="Arial" w:hAnsi="Arial"/>
                  <w:sz w:val="17"/>
                  <w:szCs w:val="17"/>
                  <w:color w:val="0000EE"/>
                  <w:w w:val="91"/>
                </w:rPr>
                <w:t>Amendment to Warrant to Purchase Common Stock issued on February</w:t>
              </w:r>
            </w:hyperlink>
          </w:p>
        </w:tc>
      </w:tr>
      <w:tr>
        <w:trPr>
          <w:trHeight w:val="182"/>
        </w:trPr>
        <w:tc>
          <w:tcPr>
            <w:tcW w:w="1020" w:type="dxa"/>
            <w:vAlign w:val="bottom"/>
          </w:tcPr>
          <w:p>
            <w:pPr>
              <w:spacing w:after="0"/>
              <w:rPr>
                <w:sz w:val="15"/>
                <w:szCs w:val="15"/>
                <w:color w:val="auto"/>
              </w:rPr>
            </w:pPr>
          </w:p>
        </w:tc>
        <w:tc>
          <w:tcPr>
            <w:tcW w:w="4900" w:type="dxa"/>
            <w:vAlign w:val="bottom"/>
            <w:tcBorders>
              <w:top w:val="single" w:sz="8" w:color="0000EE"/>
            </w:tcBorders>
            <w:gridSpan w:val="25"/>
          </w:tcPr>
          <w:p>
            <w:pPr>
              <w:spacing w:after="0" w:line="183" w:lineRule="exact"/>
              <w:rPr>
                <w:rFonts w:ascii="Arial" w:cs="Arial" w:eastAsia="Arial" w:hAnsi="Arial"/>
                <w:sz w:val="17"/>
                <w:szCs w:val="17"/>
                <w:color w:val="0000EE"/>
              </w:rPr>
            </w:pPr>
            <w:hyperlink r:id="rId125">
              <w:r>
                <w:rPr>
                  <w:rFonts w:ascii="Arial" w:cs="Arial" w:eastAsia="Arial" w:hAnsi="Arial"/>
                  <w:sz w:val="17"/>
                  <w:szCs w:val="17"/>
                  <w:color w:val="0000EE"/>
                </w:rPr>
                <w:t>2, 2021, dated as of April 8, 2021.</w:t>
              </w:r>
            </w:hyperlink>
          </w:p>
        </w:tc>
        <w:tc>
          <w:tcPr>
            <w:tcW w:w="60" w:type="dxa"/>
            <w:vAlign w:val="bottom"/>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40" w:type="dxa"/>
            <w:vAlign w:val="bottom"/>
            <w:gridSpan w:val="16"/>
          </w:tcPr>
          <w:p>
            <w:pPr>
              <w:spacing w:after="0" w:line="20" w:lineRule="exact"/>
              <w:rPr>
                <w:sz w:val="1"/>
                <w:szCs w:val="1"/>
                <w:color w:val="auto"/>
              </w:rPr>
            </w:pPr>
          </w:p>
        </w:tc>
      </w:tr>
      <w:tr>
        <w:trPr>
          <w:trHeight w:val="385"/>
        </w:trPr>
        <w:tc>
          <w:tcPr>
            <w:tcW w:w="1020" w:type="dxa"/>
            <w:vAlign w:val="bottom"/>
          </w:tcPr>
          <w:p>
            <w:pPr>
              <w:jc w:val="center"/>
              <w:ind w:right="476"/>
              <w:spacing w:after="0"/>
              <w:rPr>
                <w:sz w:val="20"/>
                <w:szCs w:val="20"/>
                <w:color w:val="auto"/>
              </w:rPr>
            </w:pPr>
            <w:r>
              <w:rPr>
                <w:rFonts w:ascii="Arial" w:cs="Arial" w:eastAsia="Arial" w:hAnsi="Arial"/>
                <w:sz w:val="17"/>
                <w:szCs w:val="17"/>
                <w:color w:val="auto"/>
                <w:w w:val="90"/>
              </w:rPr>
              <w:t>4.15</w:t>
            </w:r>
          </w:p>
        </w:tc>
        <w:tc>
          <w:tcPr>
            <w:tcW w:w="4960" w:type="dxa"/>
            <w:vAlign w:val="bottom"/>
            <w:gridSpan w:val="27"/>
          </w:tcPr>
          <w:p>
            <w:pPr>
              <w:spacing w:after="0"/>
              <w:rPr>
                <w:rFonts w:ascii="Arial" w:cs="Arial" w:eastAsia="Arial" w:hAnsi="Arial"/>
                <w:sz w:val="17"/>
                <w:szCs w:val="17"/>
                <w:color w:val="0000EE"/>
                <w:w w:val="91"/>
              </w:rPr>
            </w:pPr>
            <w:hyperlink r:id="rId126">
              <w:r>
                <w:rPr>
                  <w:rFonts w:ascii="Arial" w:cs="Arial" w:eastAsia="Arial" w:hAnsi="Arial"/>
                  <w:sz w:val="17"/>
                  <w:szCs w:val="17"/>
                  <w:color w:val="0000EE"/>
                  <w:w w:val="91"/>
                </w:rPr>
                <w:t>Amendment to Warrant to Purchase Common Stock issued on February</w:t>
              </w:r>
            </w:hyperlink>
          </w:p>
        </w:tc>
      </w:tr>
      <w:tr>
        <w:trPr>
          <w:trHeight w:val="183"/>
        </w:trPr>
        <w:tc>
          <w:tcPr>
            <w:tcW w:w="102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11"/>
          </w:tcPr>
          <w:p>
            <w:pPr>
              <w:spacing w:after="0" w:line="183" w:lineRule="exact"/>
              <w:rPr>
                <w:rFonts w:ascii="Arial" w:cs="Arial" w:eastAsia="Arial" w:hAnsi="Arial"/>
                <w:sz w:val="17"/>
                <w:szCs w:val="17"/>
                <w:color w:val="0000EE"/>
                <w:w w:val="90"/>
              </w:rPr>
            </w:pPr>
            <w:hyperlink r:id="rId126">
              <w:r>
                <w:rPr>
                  <w:rFonts w:ascii="Arial" w:cs="Arial" w:eastAsia="Arial" w:hAnsi="Arial"/>
                  <w:sz w:val="17"/>
                  <w:szCs w:val="17"/>
                  <w:color w:val="0000EE"/>
                  <w:w w:val="90"/>
                </w:rPr>
                <w:t>8, 2021 (Penny Warrant), dated as of April 8, 2021.</w:t>
              </w:r>
            </w:hyperlink>
          </w:p>
        </w:tc>
        <w:tc>
          <w:tcPr>
            <w:tcW w:w="1380" w:type="dxa"/>
            <w:vAlign w:val="bottom"/>
            <w:tcBorders>
              <w:top w:val="single" w:sz="8" w:color="0000EE"/>
            </w:tcBorders>
            <w:gridSpan w:val="14"/>
          </w:tcPr>
          <w:p>
            <w:pPr>
              <w:spacing w:after="0"/>
              <w:rPr>
                <w:sz w:val="15"/>
                <w:szCs w:val="15"/>
                <w:color w:val="auto"/>
              </w:rPr>
            </w:pPr>
          </w:p>
        </w:tc>
        <w:tc>
          <w:tcPr>
            <w:tcW w:w="60" w:type="dxa"/>
            <w:vAlign w:val="bottom"/>
            <w:gridSpan w:val="2"/>
          </w:tcPr>
          <w:p>
            <w:pPr>
              <w:spacing w:after="0"/>
              <w:rPr>
                <w:sz w:val="15"/>
                <w:szCs w:val="15"/>
                <w:color w:val="auto"/>
              </w:rPr>
            </w:pPr>
          </w:p>
        </w:tc>
      </w:tr>
      <w:tr>
        <w:trPr>
          <w:trHeight w:val="452"/>
        </w:trPr>
        <w:tc>
          <w:tcPr>
            <w:tcW w:w="1020" w:type="dxa"/>
            <w:vAlign w:val="bottom"/>
          </w:tcPr>
          <w:p>
            <w:pPr>
              <w:spacing w:after="0"/>
              <w:rPr>
                <w:sz w:val="24"/>
                <w:szCs w:val="24"/>
                <w:color w:val="auto"/>
              </w:rPr>
            </w:pPr>
          </w:p>
        </w:tc>
        <w:tc>
          <w:tcPr>
            <w:tcW w:w="4380" w:type="dxa"/>
            <w:vAlign w:val="bottom"/>
            <w:gridSpan w:val="14"/>
          </w:tcPr>
          <w:p>
            <w:pPr>
              <w:ind w:left="4200"/>
              <w:spacing w:after="0"/>
              <w:rPr>
                <w:sz w:val="20"/>
                <w:szCs w:val="20"/>
                <w:color w:val="auto"/>
              </w:rPr>
            </w:pPr>
            <w:r>
              <w:rPr>
                <w:rFonts w:ascii="Arial" w:cs="Arial" w:eastAsia="Arial" w:hAnsi="Arial"/>
                <w:sz w:val="18"/>
                <w:szCs w:val="18"/>
                <w:color w:val="auto"/>
                <w:w w:val="79"/>
              </w:rPr>
              <w:t>69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540"/>
        <w:spacing w:after="0"/>
        <w:rPr>
          <w:sz w:val="20"/>
          <w:szCs w:val="20"/>
          <w:color w:val="auto"/>
        </w:rPr>
      </w:pPr>
      <w:r>
        <w:rPr>
          <w:rFonts w:ascii="Arial" w:cs="Arial" w:eastAsia="Arial" w:hAnsi="Arial"/>
          <w:sz w:val="13"/>
          <w:szCs w:val="13"/>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9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File</w:t>
            </w:r>
          </w:p>
        </w:tc>
        <w:tc>
          <w:tcPr>
            <w:tcW w:w="13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74"/>
        </w:trPr>
        <w:tc>
          <w:tcPr>
            <w:tcW w:w="900" w:type="dxa"/>
            <w:vAlign w:val="bottom"/>
          </w:tcPr>
          <w:p>
            <w:pPr>
              <w:jc w:val="center"/>
              <w:ind w:right="95"/>
              <w:spacing w:after="0"/>
              <w:rPr>
                <w:sz w:val="20"/>
                <w:szCs w:val="20"/>
                <w:color w:val="auto"/>
              </w:rPr>
            </w:pPr>
            <w:r>
              <w:rPr>
                <w:rFonts w:ascii="Arial" w:cs="Arial" w:eastAsia="Arial" w:hAnsi="Arial"/>
                <w:sz w:val="13"/>
                <w:szCs w:val="13"/>
                <w:b w:val="1"/>
                <w:bCs w:val="1"/>
                <w:color w:val="auto"/>
                <w:w w:val="98"/>
              </w:rPr>
              <w:t>Form</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340" w:type="dxa"/>
            <w:vAlign w:val="bottom"/>
          </w:tcPr>
          <w:p>
            <w:pPr>
              <w:ind w:left="360"/>
              <w:spacing w:after="0"/>
              <w:rPr>
                <w:sz w:val="20"/>
                <w:szCs w:val="20"/>
                <w:color w:val="auto"/>
              </w:rPr>
            </w:pPr>
            <w:r>
              <w:rPr>
                <w:rFonts w:ascii="Arial" w:cs="Arial" w:eastAsia="Arial" w:hAnsi="Arial"/>
                <w:sz w:val="13"/>
                <w:szCs w:val="13"/>
                <w:b w:val="1"/>
                <w:bCs w:val="1"/>
                <w:color w:val="auto"/>
              </w:rPr>
              <w:t>Filing Date</w:t>
            </w:r>
          </w:p>
        </w:tc>
        <w:tc>
          <w:tcPr>
            <w:tcW w:w="880" w:type="dxa"/>
            <w:vAlign w:val="bottom"/>
          </w:tcPr>
          <w:p>
            <w:pPr>
              <w:jc w:val="center"/>
              <w:ind w:left="35"/>
              <w:spacing w:after="0"/>
              <w:rPr>
                <w:sz w:val="20"/>
                <w:szCs w:val="20"/>
                <w:color w:val="auto"/>
              </w:rPr>
            </w:pPr>
            <w:r>
              <w:rPr>
                <w:rFonts w:ascii="Arial" w:cs="Arial" w:eastAsia="Arial" w:hAnsi="Arial"/>
                <w:sz w:val="13"/>
                <w:szCs w:val="13"/>
                <w:b w:val="1"/>
                <w:bCs w:val="1"/>
                <w:color w:val="auto"/>
              </w:rPr>
              <w:t>Exhibit</w:t>
            </w:r>
          </w:p>
        </w:tc>
      </w:tr>
      <w:tr>
        <w:trPr>
          <w:trHeight w:val="590"/>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6/14/2019</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3.1</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4/30/2021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3.1</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4/30/2021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3.2</w:t>
            </w:r>
          </w:p>
        </w:tc>
      </w:tr>
      <w:tr>
        <w:trPr>
          <w:trHeight w:val="405"/>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4/30/2021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3.3</w:t>
            </w:r>
          </w:p>
        </w:tc>
      </w:tr>
      <w:tr>
        <w:trPr>
          <w:trHeight w:val="405"/>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S-1/A</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333-231381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5/24/2019</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4.1</w:t>
            </w:r>
          </w:p>
        </w:tc>
      </w:tr>
      <w:tr>
        <w:trPr>
          <w:trHeight w:val="608"/>
        </w:trPr>
        <w:tc>
          <w:tcPr>
            <w:tcW w:w="900" w:type="dxa"/>
            <w:vAlign w:val="bottom"/>
          </w:tcPr>
          <w:p>
            <w:pPr>
              <w:jc w:val="center"/>
              <w:ind w:right="95"/>
              <w:spacing w:after="0"/>
              <w:rPr>
                <w:sz w:val="20"/>
                <w:szCs w:val="20"/>
                <w:color w:val="auto"/>
              </w:rPr>
            </w:pPr>
            <w:r>
              <w:rPr>
                <w:rFonts w:ascii="Arial" w:cs="Arial" w:eastAsia="Arial" w:hAnsi="Arial"/>
                <w:sz w:val="17"/>
                <w:szCs w:val="17"/>
                <w:color w:val="auto"/>
                <w:w w:val="90"/>
              </w:rPr>
              <w:t>S-1</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333-231381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5/10/2019</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4.2</w:t>
            </w:r>
          </w:p>
        </w:tc>
      </w:tr>
      <w:tr>
        <w:trPr>
          <w:trHeight w:val="608"/>
        </w:trPr>
        <w:tc>
          <w:tcPr>
            <w:tcW w:w="900" w:type="dxa"/>
            <w:vAlign w:val="bottom"/>
          </w:tcPr>
          <w:p>
            <w:pPr>
              <w:jc w:val="center"/>
              <w:ind w:right="95"/>
              <w:spacing w:after="0"/>
              <w:rPr>
                <w:sz w:val="20"/>
                <w:szCs w:val="20"/>
                <w:color w:val="auto"/>
              </w:rPr>
            </w:pPr>
            <w:r>
              <w:rPr>
                <w:rFonts w:ascii="Arial" w:cs="Arial" w:eastAsia="Arial" w:hAnsi="Arial"/>
                <w:sz w:val="17"/>
                <w:szCs w:val="17"/>
                <w:color w:val="auto"/>
                <w:w w:val="90"/>
              </w:rPr>
              <w:t>S-1</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333-231381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5/10/2019</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4.4</w:t>
            </w:r>
          </w:p>
        </w:tc>
      </w:tr>
      <w:tr>
        <w:trPr>
          <w:trHeight w:val="608"/>
        </w:trPr>
        <w:tc>
          <w:tcPr>
            <w:tcW w:w="900" w:type="dxa"/>
            <w:vAlign w:val="bottom"/>
          </w:tcPr>
          <w:p>
            <w:pPr>
              <w:jc w:val="center"/>
              <w:ind w:right="95"/>
              <w:spacing w:after="0"/>
              <w:rPr>
                <w:sz w:val="20"/>
                <w:szCs w:val="20"/>
                <w:color w:val="auto"/>
              </w:rPr>
            </w:pPr>
            <w:r>
              <w:rPr>
                <w:rFonts w:ascii="Arial" w:cs="Arial" w:eastAsia="Arial" w:hAnsi="Arial"/>
                <w:sz w:val="17"/>
                <w:szCs w:val="17"/>
                <w:color w:val="auto"/>
                <w:w w:val="90"/>
              </w:rPr>
              <w:t>S-1</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333-231381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5/10/2019</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4.5</w:t>
            </w:r>
          </w:p>
        </w:tc>
      </w:tr>
      <w:tr>
        <w:trPr>
          <w:trHeight w:val="810"/>
        </w:trPr>
        <w:tc>
          <w:tcPr>
            <w:tcW w:w="900" w:type="dxa"/>
            <w:vAlign w:val="bottom"/>
          </w:tcPr>
          <w:p>
            <w:pPr>
              <w:jc w:val="center"/>
              <w:ind w:right="95"/>
              <w:spacing w:after="0"/>
              <w:rPr>
                <w:sz w:val="20"/>
                <w:szCs w:val="20"/>
                <w:color w:val="auto"/>
              </w:rPr>
            </w:pPr>
            <w:r>
              <w:rPr>
                <w:rFonts w:ascii="Arial" w:cs="Arial" w:eastAsia="Arial" w:hAnsi="Arial"/>
                <w:sz w:val="17"/>
                <w:szCs w:val="17"/>
                <w:color w:val="auto"/>
                <w:w w:val="90"/>
              </w:rPr>
              <w:t>S-1</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333-231381</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5/10/2019</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4.6</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89"/>
              </w:rPr>
              <w:t>10-Q</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11/9/2020</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4.7</w:t>
            </w:r>
          </w:p>
        </w:tc>
      </w:tr>
      <w:tr>
        <w:trPr>
          <w:trHeight w:val="405"/>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2/3/2021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4.2</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2/3/2021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4.4</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2/9/2021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4.1</w:t>
            </w:r>
          </w:p>
        </w:tc>
      </w:tr>
      <w:tr>
        <w:trPr>
          <w:trHeight w:val="405"/>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2/9/2021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4.2</w:t>
            </w:r>
          </w:p>
        </w:tc>
      </w:tr>
      <w:tr>
        <w:trPr>
          <w:trHeight w:val="810"/>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2/9/2021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4.5</w:t>
            </w:r>
          </w:p>
        </w:tc>
      </w:tr>
      <w:tr>
        <w:trPr>
          <w:trHeight w:val="405"/>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4/9/2021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4.1</w:t>
            </w:r>
          </w:p>
        </w:tc>
      </w:tr>
      <w:tr>
        <w:trPr>
          <w:trHeight w:val="405"/>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4/9/2021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4.2</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4/9/2021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4.3</w:t>
            </w:r>
          </w:p>
        </w:tc>
      </w:tr>
      <w:tr>
        <w:trPr>
          <w:trHeight w:val="608"/>
        </w:trPr>
        <w:tc>
          <w:tcPr>
            <w:tcW w:w="900" w:type="dxa"/>
            <w:vAlign w:val="bottom"/>
          </w:tcPr>
          <w:p>
            <w:pPr>
              <w:jc w:val="center"/>
              <w:ind w:right="75"/>
              <w:spacing w:after="0"/>
              <w:rPr>
                <w:sz w:val="20"/>
                <w:szCs w:val="20"/>
                <w:color w:val="auto"/>
              </w:rPr>
            </w:pPr>
            <w:r>
              <w:rPr>
                <w:rFonts w:ascii="Arial" w:cs="Arial" w:eastAsia="Arial" w:hAnsi="Arial"/>
                <w:sz w:val="17"/>
                <w:szCs w:val="17"/>
                <w:color w:val="auto"/>
                <w:w w:val="98"/>
              </w:rPr>
              <w:t>8-K</w:t>
            </w: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001-38937</w:t>
            </w:r>
          </w:p>
        </w:tc>
        <w:tc>
          <w:tcPr>
            <w:tcW w:w="1340" w:type="dxa"/>
            <w:vAlign w:val="bottom"/>
          </w:tcPr>
          <w:p>
            <w:pPr>
              <w:jc w:val="center"/>
              <w:spacing w:after="0"/>
              <w:rPr>
                <w:sz w:val="20"/>
                <w:szCs w:val="20"/>
                <w:color w:val="auto"/>
              </w:rPr>
            </w:pPr>
            <w:r>
              <w:rPr>
                <w:rFonts w:ascii="Arial" w:cs="Arial" w:eastAsia="Arial" w:hAnsi="Arial"/>
                <w:sz w:val="17"/>
                <w:szCs w:val="17"/>
                <w:color w:val="auto"/>
                <w:w w:val="93"/>
              </w:rPr>
              <w:t>4/9/2021</w:t>
            </w:r>
          </w:p>
        </w:tc>
        <w:tc>
          <w:tcPr>
            <w:tcW w:w="880" w:type="dxa"/>
            <w:vAlign w:val="bottom"/>
          </w:tcPr>
          <w:p>
            <w:pPr>
              <w:jc w:val="center"/>
              <w:ind w:left="35"/>
              <w:spacing w:after="0"/>
              <w:rPr>
                <w:sz w:val="20"/>
                <w:szCs w:val="20"/>
                <w:color w:val="auto"/>
              </w:rPr>
            </w:pPr>
            <w:r>
              <w:rPr>
                <w:rFonts w:ascii="Arial" w:cs="Arial" w:eastAsia="Arial" w:hAnsi="Arial"/>
                <w:sz w:val="17"/>
                <w:szCs w:val="17"/>
                <w:color w:val="auto"/>
                <w:w w:val="84"/>
              </w:rPr>
              <w:t>4.4</w:t>
            </w:r>
          </w:p>
        </w:tc>
      </w:tr>
    </w:tbl>
    <w:p>
      <w:pPr>
        <w:sectPr>
          <w:pgSz w:w="11900" w:h="16838" w:orient="portrait"/>
          <w:cols w:equalWidth="0" w:num="2">
            <w:col w:w="6300" w:space="320"/>
            <w:col w:w="4620"/>
          </w:cols>
          <w:pgMar w:left="320" w:top="337"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0"/>
              </w:rPr>
              <w:t>4.16</w:t>
            </w:r>
          </w:p>
        </w:tc>
        <w:tc>
          <w:tcPr>
            <w:tcW w:w="4920" w:type="dxa"/>
            <w:vAlign w:val="bottom"/>
            <w:tcBorders>
              <w:bottom w:val="single" w:sz="8" w:color="0000EE"/>
            </w:tcBorders>
            <w:gridSpan w:val="18"/>
          </w:tcPr>
          <w:p>
            <w:pPr>
              <w:spacing w:after="0"/>
              <w:rPr>
                <w:rFonts w:ascii="Arial" w:cs="Arial" w:eastAsia="Arial" w:hAnsi="Arial"/>
                <w:sz w:val="17"/>
                <w:szCs w:val="17"/>
                <w:color w:val="0000EE"/>
                <w:w w:val="90"/>
              </w:rPr>
            </w:pPr>
            <w:hyperlink r:id="rId128">
              <w:r>
                <w:rPr>
                  <w:rFonts w:ascii="Arial" w:cs="Arial" w:eastAsia="Arial" w:hAnsi="Arial"/>
                  <w:sz w:val="17"/>
                  <w:szCs w:val="17"/>
                  <w:color w:val="0000EE"/>
                  <w:w w:val="90"/>
                </w:rPr>
                <w:t>Amendment to Warrant to Purchase Common Stock issued on February</w:t>
              </w:r>
            </w:hyperlink>
          </w:p>
        </w:tc>
        <w:tc>
          <w:tcPr>
            <w:tcW w:w="6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rPr>
            </w:pPr>
            <w:hyperlink r:id="rId128">
              <w:r>
                <w:rPr>
                  <w:rFonts w:ascii="Arial" w:cs="Arial" w:eastAsia="Arial" w:hAnsi="Arial"/>
                  <w:sz w:val="17"/>
                  <w:szCs w:val="17"/>
                  <w:color w:val="0000EE"/>
                </w:rPr>
                <w:t>8, 2021, dated as of April 8, 2021.</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0"/>
              </w:rPr>
              <w:t>4.17</w:t>
            </w:r>
          </w:p>
        </w:tc>
        <w:tc>
          <w:tcPr>
            <w:tcW w:w="4980" w:type="dxa"/>
            <w:vAlign w:val="bottom"/>
            <w:gridSpan w:val="19"/>
          </w:tcPr>
          <w:p>
            <w:pPr>
              <w:spacing w:after="0"/>
              <w:rPr>
                <w:rFonts w:ascii="Arial" w:cs="Arial" w:eastAsia="Arial" w:hAnsi="Arial"/>
                <w:sz w:val="17"/>
                <w:szCs w:val="17"/>
                <w:color w:val="0000EE"/>
                <w:w w:val="94"/>
              </w:rPr>
            </w:pPr>
            <w:hyperlink r:id="rId129">
              <w:r>
                <w:rPr>
                  <w:rFonts w:ascii="Arial" w:cs="Arial" w:eastAsia="Arial" w:hAnsi="Arial"/>
                  <w:sz w:val="17"/>
                  <w:szCs w:val="17"/>
                  <w:color w:val="0000EE"/>
                  <w:w w:val="94"/>
                </w:rPr>
                <w:t>Omnibus First Amendment to Senior Secured Notes Due 2024, dated</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900" w:type="dxa"/>
            <w:vAlign w:val="bottom"/>
            <w:tcBorders>
              <w:bottom w:val="single" w:sz="8" w:color="0000EE"/>
            </w:tcBorders>
            <w:gridSpan w:val="17"/>
          </w:tcPr>
          <w:p>
            <w:pPr>
              <w:spacing w:after="0" w:line="183" w:lineRule="exact"/>
              <w:rPr>
                <w:rFonts w:ascii="Arial" w:cs="Arial" w:eastAsia="Arial" w:hAnsi="Arial"/>
                <w:sz w:val="17"/>
                <w:szCs w:val="17"/>
                <w:color w:val="0000EE"/>
                <w:w w:val="92"/>
              </w:rPr>
            </w:pPr>
            <w:hyperlink r:id="rId129">
              <w:r>
                <w:rPr>
                  <w:rFonts w:ascii="Arial" w:cs="Arial" w:eastAsia="Arial" w:hAnsi="Arial"/>
                  <w:sz w:val="17"/>
                  <w:szCs w:val="17"/>
                  <w:color w:val="0000EE"/>
                  <w:w w:val="92"/>
                </w:rPr>
                <w:t>May 19, 2021, by and among Aterian, Inc., High Trail Investments ON</w:t>
              </w:r>
            </w:hyperlink>
          </w:p>
        </w:tc>
        <w:tc>
          <w:tcPr>
            <w:tcW w:w="8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rPr>
            </w:pPr>
            <w:hyperlink r:id="rId129">
              <w:r>
                <w:rPr>
                  <w:rFonts w:ascii="Arial" w:cs="Arial" w:eastAsia="Arial" w:hAnsi="Arial"/>
                  <w:sz w:val="17"/>
                  <w:szCs w:val="17"/>
                  <w:color w:val="0000EE"/>
                </w:rPr>
                <w:t>LLC and High Trail Investments SA LLC.</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0"/>
              </w:rPr>
              <w:t>4.18</w:t>
            </w:r>
          </w:p>
        </w:tc>
        <w:tc>
          <w:tcPr>
            <w:tcW w:w="4900" w:type="dxa"/>
            <w:vAlign w:val="bottom"/>
            <w:tcBorders>
              <w:bottom w:val="single" w:sz="8" w:color="0000EE"/>
            </w:tcBorders>
            <w:gridSpan w:val="17"/>
          </w:tcPr>
          <w:p>
            <w:pPr>
              <w:spacing w:after="0"/>
              <w:rPr>
                <w:rFonts w:ascii="Arial" w:cs="Arial" w:eastAsia="Arial" w:hAnsi="Arial"/>
                <w:sz w:val="17"/>
                <w:szCs w:val="17"/>
                <w:color w:val="0000EE"/>
                <w:w w:val="90"/>
              </w:rPr>
            </w:pPr>
            <w:hyperlink r:id="rId130">
              <w:r>
                <w:rPr>
                  <w:rFonts w:ascii="Arial" w:cs="Arial" w:eastAsia="Arial" w:hAnsi="Arial"/>
                  <w:sz w:val="17"/>
                  <w:szCs w:val="17"/>
                  <w:color w:val="0000EE"/>
                  <w:w w:val="90"/>
                </w:rPr>
                <w:t>Omnibus Amendment to Senior Secured Notes Due 2024 and Warrants</w:t>
              </w:r>
            </w:hyperlink>
          </w:p>
        </w:tc>
        <w:tc>
          <w:tcPr>
            <w:tcW w:w="80" w:type="dxa"/>
            <w:vAlign w:val="bottom"/>
            <w:gridSpan w:val="2"/>
          </w:tcPr>
          <w:p>
            <w:pPr>
              <w:spacing w:after="0"/>
              <w:rPr>
                <w:sz w:val="24"/>
                <w:szCs w:val="24"/>
                <w:color w:val="auto"/>
              </w:rPr>
            </w:pPr>
          </w:p>
        </w:tc>
      </w:tr>
      <w:tr>
        <w:trPr>
          <w:trHeight w:val="182"/>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w w:val="99"/>
              </w:rPr>
            </w:pPr>
            <w:hyperlink r:id="rId130">
              <w:r>
                <w:rPr>
                  <w:rFonts w:ascii="Arial" w:cs="Arial" w:eastAsia="Arial" w:hAnsi="Arial"/>
                  <w:sz w:val="17"/>
                  <w:szCs w:val="17"/>
                  <w:color w:val="0000EE"/>
                  <w:w w:val="99"/>
                </w:rPr>
                <w:t>to Purchase Common Stock, dated August 9, 2021, by and among</w:t>
              </w:r>
            </w:hyperlink>
          </w:p>
        </w:tc>
      </w:tr>
      <w:tr>
        <w:trPr>
          <w:trHeight w:val="183"/>
        </w:trPr>
        <w:tc>
          <w:tcPr>
            <w:tcW w:w="1140" w:type="dxa"/>
            <w:vAlign w:val="bottom"/>
          </w:tcPr>
          <w:p>
            <w:pPr>
              <w:spacing w:after="0"/>
              <w:rPr>
                <w:sz w:val="15"/>
                <w:szCs w:val="15"/>
                <w:color w:val="auto"/>
              </w:rPr>
            </w:pPr>
          </w:p>
        </w:tc>
        <w:tc>
          <w:tcPr>
            <w:tcW w:w="4500" w:type="dxa"/>
            <w:vAlign w:val="bottom"/>
            <w:tcBorders>
              <w:top w:val="single" w:sz="8" w:color="0000EE"/>
            </w:tcBorders>
            <w:gridSpan w:val="12"/>
          </w:tcPr>
          <w:p>
            <w:pPr>
              <w:spacing w:after="0" w:line="183" w:lineRule="exact"/>
              <w:rPr>
                <w:rFonts w:ascii="Arial" w:cs="Arial" w:eastAsia="Arial" w:hAnsi="Arial"/>
                <w:sz w:val="17"/>
                <w:szCs w:val="17"/>
                <w:color w:val="0000EE"/>
              </w:rPr>
            </w:pPr>
            <w:hyperlink r:id="rId130">
              <w:r>
                <w:rPr>
                  <w:rFonts w:ascii="Arial" w:cs="Arial" w:eastAsia="Arial" w:hAnsi="Arial"/>
                  <w:sz w:val="17"/>
                  <w:szCs w:val="17"/>
                  <w:color w:val="0000EE"/>
                </w:rPr>
                <w:t>Aterian, Inc., High Trail Investments ON LLC and High Trail</w:t>
              </w:r>
            </w:hyperlink>
          </w:p>
        </w:tc>
        <w:tc>
          <w:tcPr>
            <w:tcW w:w="480" w:type="dxa"/>
            <w:vAlign w:val="bottom"/>
            <w:gridSpan w:val="7"/>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3"/>
          </w:tcPr>
          <w:p>
            <w:pPr>
              <w:spacing w:after="0" w:line="183" w:lineRule="exact"/>
              <w:rPr>
                <w:rFonts w:ascii="Arial" w:cs="Arial" w:eastAsia="Arial" w:hAnsi="Arial"/>
                <w:sz w:val="17"/>
                <w:szCs w:val="17"/>
                <w:color w:val="0000EE"/>
                <w:w w:val="92"/>
              </w:rPr>
            </w:pPr>
            <w:hyperlink r:id="rId130">
              <w:r>
                <w:rPr>
                  <w:rFonts w:ascii="Arial" w:cs="Arial" w:eastAsia="Arial" w:hAnsi="Arial"/>
                  <w:sz w:val="17"/>
                  <w:szCs w:val="17"/>
                  <w:color w:val="0000EE"/>
                  <w:w w:val="92"/>
                </w:rPr>
                <w:t>Investments SA LLC.</w:t>
              </w:r>
            </w:hyperlink>
          </w:p>
        </w:tc>
        <w:tc>
          <w:tcPr>
            <w:tcW w:w="2720" w:type="dxa"/>
            <w:vAlign w:val="bottom"/>
            <w:tcBorders>
              <w:top w:val="single" w:sz="8" w:color="0000EE"/>
            </w:tcBorders>
            <w:gridSpan w:val="6"/>
          </w:tcPr>
          <w:p>
            <w:pPr>
              <w:spacing w:after="0"/>
              <w:rPr>
                <w:sz w:val="15"/>
                <w:szCs w:val="15"/>
                <w:color w:val="auto"/>
              </w:rPr>
            </w:pPr>
          </w:p>
        </w:tc>
        <w:tc>
          <w:tcPr>
            <w:tcW w:w="760" w:type="dxa"/>
            <w:vAlign w:val="bottom"/>
            <w:gridSpan w:val="10"/>
          </w:tcPr>
          <w:p>
            <w:pPr>
              <w:spacing w:after="0"/>
              <w:rPr>
                <w:sz w:val="15"/>
                <w:szCs w:val="15"/>
                <w:color w:val="auto"/>
              </w:rPr>
            </w:pPr>
          </w:p>
        </w:tc>
      </w:tr>
      <w:tr>
        <w:trPr>
          <w:trHeight w:val="38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5"/>
              </w:rPr>
              <w:t>4.19*</w:t>
            </w:r>
          </w:p>
        </w:tc>
        <w:tc>
          <w:tcPr>
            <w:tcW w:w="4980" w:type="dxa"/>
            <w:vAlign w:val="bottom"/>
            <w:gridSpan w:val="19"/>
          </w:tcPr>
          <w:p>
            <w:pPr>
              <w:spacing w:after="0"/>
              <w:rPr>
                <w:rFonts w:ascii="Arial" w:cs="Arial" w:eastAsia="Arial" w:hAnsi="Arial"/>
                <w:sz w:val="17"/>
                <w:szCs w:val="17"/>
                <w:color w:val="0000EE"/>
                <w:w w:val="93"/>
              </w:rPr>
            </w:pPr>
            <w:hyperlink w:anchor="page74">
              <w:r>
                <w:rPr>
                  <w:rFonts w:ascii="Arial" w:cs="Arial" w:eastAsia="Arial" w:hAnsi="Arial"/>
                  <w:sz w:val="17"/>
                  <w:szCs w:val="17"/>
                  <w:color w:val="0000EE"/>
                  <w:w w:val="93"/>
                </w:rPr>
                <w:t>Second Omnibus Amendment to Senior Secured Notes Due 2024 and</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2"/>
        </w:trPr>
        <w:tc>
          <w:tcPr>
            <w:tcW w:w="1140" w:type="dxa"/>
            <w:vAlign w:val="bottom"/>
          </w:tcPr>
          <w:p>
            <w:pPr>
              <w:spacing w:after="0"/>
              <w:rPr>
                <w:sz w:val="15"/>
                <w:szCs w:val="15"/>
                <w:color w:val="auto"/>
              </w:rPr>
            </w:pPr>
          </w:p>
        </w:tc>
        <w:tc>
          <w:tcPr>
            <w:tcW w:w="4980" w:type="dxa"/>
            <w:vAlign w:val="bottom"/>
            <w:tcBorders>
              <w:bottom w:val="single" w:sz="8" w:color="0000EE"/>
            </w:tcBorders>
            <w:gridSpan w:val="19"/>
          </w:tcPr>
          <w:p>
            <w:pPr>
              <w:spacing w:after="0" w:line="183" w:lineRule="exact"/>
              <w:rPr>
                <w:rFonts w:ascii="Arial" w:cs="Arial" w:eastAsia="Arial" w:hAnsi="Arial"/>
                <w:sz w:val="17"/>
                <w:szCs w:val="17"/>
                <w:color w:val="0000EE"/>
                <w:w w:val="89"/>
              </w:rPr>
            </w:pPr>
            <w:hyperlink w:anchor="page74">
              <w:r>
                <w:rPr>
                  <w:rFonts w:ascii="Arial" w:cs="Arial" w:eastAsia="Arial" w:hAnsi="Arial"/>
                  <w:sz w:val="17"/>
                  <w:szCs w:val="17"/>
                  <w:color w:val="0000EE"/>
                  <w:w w:val="89"/>
                </w:rPr>
                <w:t>Warrants to Purchase Common Stock, dated September 22, 2021, by and</w:t>
              </w:r>
            </w:hyperlink>
          </w:p>
        </w:tc>
      </w:tr>
      <w:tr>
        <w:trPr>
          <w:trHeight w:val="183"/>
        </w:trPr>
        <w:tc>
          <w:tcPr>
            <w:tcW w:w="1140" w:type="dxa"/>
            <w:vAlign w:val="bottom"/>
          </w:tcPr>
          <w:p>
            <w:pPr>
              <w:spacing w:after="0"/>
              <w:rPr>
                <w:sz w:val="15"/>
                <w:szCs w:val="15"/>
                <w:color w:val="auto"/>
              </w:rPr>
            </w:pPr>
          </w:p>
        </w:tc>
        <w:tc>
          <w:tcPr>
            <w:tcW w:w="4740" w:type="dxa"/>
            <w:vAlign w:val="bottom"/>
            <w:tcBorders>
              <w:bottom w:val="single" w:sz="8" w:color="0000EE"/>
            </w:tcBorders>
            <w:gridSpan w:val="14"/>
          </w:tcPr>
          <w:p>
            <w:pPr>
              <w:spacing w:after="0" w:line="183" w:lineRule="exact"/>
              <w:rPr>
                <w:rFonts w:ascii="Arial" w:cs="Arial" w:eastAsia="Arial" w:hAnsi="Arial"/>
                <w:sz w:val="17"/>
                <w:szCs w:val="17"/>
                <w:color w:val="0000EE"/>
                <w:w w:val="93"/>
              </w:rPr>
            </w:pPr>
            <w:hyperlink w:anchor="page74">
              <w:r>
                <w:rPr>
                  <w:rFonts w:ascii="Arial" w:cs="Arial" w:eastAsia="Arial" w:hAnsi="Arial"/>
                  <w:sz w:val="17"/>
                  <w:szCs w:val="17"/>
                  <w:color w:val="0000EE"/>
                  <w:w w:val="93"/>
                </w:rPr>
                <w:t>among Aterian, Inc., High Trail Investments ON LLC and High Trail</w:t>
              </w:r>
            </w:hyperlink>
          </w:p>
        </w:tc>
        <w:tc>
          <w:tcPr>
            <w:tcW w:w="240" w:type="dxa"/>
            <w:vAlign w:val="bottom"/>
            <w:gridSpan w:val="5"/>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500" w:type="dxa"/>
            <w:vAlign w:val="bottom"/>
            <w:tcBorders>
              <w:bottom w:val="single" w:sz="8" w:color="0000EE"/>
            </w:tcBorders>
            <w:gridSpan w:val="3"/>
          </w:tcPr>
          <w:p>
            <w:pPr>
              <w:spacing w:after="0" w:line="183" w:lineRule="exact"/>
              <w:rPr>
                <w:rFonts w:ascii="Arial" w:cs="Arial" w:eastAsia="Arial" w:hAnsi="Arial"/>
                <w:sz w:val="17"/>
                <w:szCs w:val="17"/>
                <w:color w:val="0000EE"/>
                <w:w w:val="92"/>
              </w:rPr>
            </w:pPr>
            <w:hyperlink w:anchor="page74">
              <w:r>
                <w:rPr>
                  <w:rFonts w:ascii="Arial" w:cs="Arial" w:eastAsia="Arial" w:hAnsi="Arial"/>
                  <w:sz w:val="17"/>
                  <w:szCs w:val="17"/>
                  <w:color w:val="0000EE"/>
                  <w:w w:val="92"/>
                </w:rPr>
                <w:t>Investments SA LLC.</w:t>
              </w:r>
            </w:hyperlink>
          </w:p>
        </w:tc>
        <w:tc>
          <w:tcPr>
            <w:tcW w:w="3480" w:type="dxa"/>
            <w:vAlign w:val="bottom"/>
            <w:gridSpan w:val="16"/>
          </w:tcPr>
          <w:p>
            <w:pPr>
              <w:spacing w:after="0"/>
              <w:rPr>
                <w:sz w:val="15"/>
                <w:szCs w:val="15"/>
                <w:color w:val="auto"/>
              </w:rPr>
            </w:pPr>
          </w:p>
        </w:tc>
      </w:tr>
      <w:tr>
        <w:trPr>
          <w:trHeight w:val="385"/>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2"/>
              </w:rPr>
              <w:t>10.1+</w:t>
            </w:r>
          </w:p>
        </w:tc>
        <w:tc>
          <w:tcPr>
            <w:tcW w:w="4980" w:type="dxa"/>
            <w:vAlign w:val="bottom"/>
            <w:gridSpan w:val="19"/>
          </w:tcPr>
          <w:p>
            <w:pPr>
              <w:spacing w:after="0"/>
              <w:rPr>
                <w:rFonts w:ascii="Arial" w:cs="Arial" w:eastAsia="Arial" w:hAnsi="Arial"/>
                <w:sz w:val="17"/>
                <w:szCs w:val="17"/>
                <w:color w:val="0000EE"/>
                <w:w w:val="94"/>
              </w:rPr>
            </w:pPr>
            <w:hyperlink r:id="rId131">
              <w:r>
                <w:rPr>
                  <w:rFonts w:ascii="Arial" w:cs="Arial" w:eastAsia="Arial" w:hAnsi="Arial"/>
                  <w:sz w:val="17"/>
                  <w:szCs w:val="17"/>
                  <w:color w:val="0000EE"/>
                  <w:w w:val="94"/>
                </w:rPr>
                <w:t xml:space="preserve">Letter </w:t>
              </w:r>
              <w:r>
                <w:rPr>
                  <w:rFonts w:ascii="Arial" w:cs="Arial" w:eastAsia="Arial" w:hAnsi="Arial"/>
                  <w:sz w:val="17"/>
                  <w:szCs w:val="17"/>
                  <w:color w:val="0000EE"/>
                  <w:highlight w:val="white"/>
                  <w:w w:val="94"/>
                </w:rPr>
                <w:t>Agreement (Note Certificate No. A-2), dated August 9, 2021, by</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rPr>
            </w:pPr>
            <w:hyperlink r:id="rId131">
              <w:r>
                <w:rPr>
                  <w:rFonts w:ascii="Arial" w:cs="Arial" w:eastAsia="Arial" w:hAnsi="Arial"/>
                  <w:sz w:val="17"/>
                  <w:szCs w:val="17"/>
                  <w:color w:val="0000EE"/>
                </w:rPr>
                <w:t>and between Aterian, Inc. and High Trail Investments SA LLC.</w:t>
              </w:r>
            </w:hyperlink>
          </w:p>
        </w:tc>
      </w:tr>
      <w:tr>
        <w:trPr>
          <w:trHeight w:val="20"/>
        </w:trPr>
        <w:tc>
          <w:tcPr>
            <w:tcW w:w="1140" w:type="dxa"/>
            <w:vAlign w:val="bottom"/>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628"/>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2"/>
              </w:rPr>
              <w:t>10.2+</w:t>
            </w:r>
          </w:p>
        </w:tc>
        <w:tc>
          <w:tcPr>
            <w:tcW w:w="4900" w:type="dxa"/>
            <w:vAlign w:val="bottom"/>
            <w:tcBorders>
              <w:bottom w:val="single" w:sz="8" w:color="0000EE"/>
            </w:tcBorders>
            <w:gridSpan w:val="17"/>
          </w:tcPr>
          <w:p>
            <w:pPr>
              <w:spacing w:after="0"/>
              <w:rPr>
                <w:rFonts w:ascii="Arial" w:cs="Arial" w:eastAsia="Arial" w:hAnsi="Arial"/>
                <w:sz w:val="17"/>
                <w:szCs w:val="17"/>
                <w:color w:val="0000EE"/>
                <w:w w:val="92"/>
              </w:rPr>
            </w:pPr>
            <w:hyperlink r:id="rId132">
              <w:r>
                <w:rPr>
                  <w:rFonts w:ascii="Arial" w:cs="Arial" w:eastAsia="Arial" w:hAnsi="Arial"/>
                  <w:sz w:val="17"/>
                  <w:szCs w:val="17"/>
                  <w:color w:val="0000EE"/>
                  <w:w w:val="92"/>
                </w:rPr>
                <w:t>Letter Agreement (Note Certificate No. A-3), dated August 9, 2021, by</w:t>
              </w:r>
            </w:hyperlink>
          </w:p>
        </w:tc>
        <w:tc>
          <w:tcPr>
            <w:tcW w:w="8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rPr>
            </w:pPr>
            <w:hyperlink r:id="rId132">
              <w:r>
                <w:rPr>
                  <w:rFonts w:ascii="Arial" w:cs="Arial" w:eastAsia="Arial" w:hAnsi="Arial"/>
                  <w:sz w:val="17"/>
                  <w:szCs w:val="17"/>
                  <w:color w:val="0000EE"/>
                </w:rPr>
                <w:t>and between Aterian, Inc. and High Trail Investments SA LLC.</w:t>
              </w:r>
            </w:hyperlink>
          </w:p>
        </w:tc>
      </w:tr>
      <w:tr>
        <w:trPr>
          <w:trHeight w:val="20"/>
        </w:trPr>
        <w:tc>
          <w:tcPr>
            <w:tcW w:w="1140" w:type="dxa"/>
            <w:vAlign w:val="bottom"/>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85"/>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2"/>
              </w:rPr>
              <w:t>10.3+</w:t>
            </w:r>
          </w:p>
        </w:tc>
        <w:tc>
          <w:tcPr>
            <w:tcW w:w="4900" w:type="dxa"/>
            <w:vAlign w:val="bottom"/>
            <w:tcBorders>
              <w:bottom w:val="single" w:sz="8" w:color="0000EE"/>
            </w:tcBorders>
            <w:gridSpan w:val="17"/>
          </w:tcPr>
          <w:p>
            <w:pPr>
              <w:spacing w:after="0"/>
              <w:rPr>
                <w:rFonts w:ascii="Arial" w:cs="Arial" w:eastAsia="Arial" w:hAnsi="Arial"/>
                <w:sz w:val="17"/>
                <w:szCs w:val="17"/>
                <w:color w:val="0000EE"/>
                <w:w w:val="92"/>
              </w:rPr>
            </w:pPr>
            <w:hyperlink r:id="rId133">
              <w:r>
                <w:rPr>
                  <w:rFonts w:ascii="Arial" w:cs="Arial" w:eastAsia="Arial" w:hAnsi="Arial"/>
                  <w:sz w:val="17"/>
                  <w:szCs w:val="17"/>
                  <w:color w:val="0000EE"/>
                  <w:w w:val="92"/>
                </w:rPr>
                <w:t>Letter Agreement (Note Certificate No. A-4), dated August 9, 2021, by</w:t>
              </w:r>
            </w:hyperlink>
          </w:p>
        </w:tc>
        <w:tc>
          <w:tcPr>
            <w:tcW w:w="8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380" w:type="dxa"/>
            <w:vAlign w:val="bottom"/>
            <w:tcBorders>
              <w:bottom w:val="single" w:sz="8" w:color="0000EE"/>
            </w:tcBorders>
            <w:gridSpan w:val="11"/>
          </w:tcPr>
          <w:p>
            <w:pPr>
              <w:spacing w:after="0" w:line="183" w:lineRule="exact"/>
              <w:rPr>
                <w:rFonts w:ascii="Arial" w:cs="Arial" w:eastAsia="Arial" w:hAnsi="Arial"/>
                <w:sz w:val="17"/>
                <w:szCs w:val="17"/>
                <w:color w:val="0000EE"/>
                <w:w w:val="92"/>
              </w:rPr>
            </w:pPr>
            <w:hyperlink r:id="rId133">
              <w:r>
                <w:rPr>
                  <w:rFonts w:ascii="Arial" w:cs="Arial" w:eastAsia="Arial" w:hAnsi="Arial"/>
                  <w:sz w:val="17"/>
                  <w:szCs w:val="17"/>
                  <w:color w:val="0000EE"/>
                  <w:w w:val="92"/>
                </w:rPr>
                <w:t>and between Aterian, Inc. and High Trail Investments ON LLC.</w:t>
              </w:r>
            </w:hyperlink>
          </w:p>
        </w:tc>
        <w:tc>
          <w:tcPr>
            <w:tcW w:w="600" w:type="dxa"/>
            <w:vAlign w:val="bottom"/>
            <w:gridSpan w:val="8"/>
          </w:tcPr>
          <w:p>
            <w:pPr>
              <w:spacing w:after="0"/>
              <w:rPr>
                <w:sz w:val="15"/>
                <w:szCs w:val="15"/>
                <w:color w:val="auto"/>
              </w:rPr>
            </w:pPr>
          </w:p>
        </w:tc>
      </w:tr>
      <w:tr>
        <w:trPr>
          <w:trHeight w:val="385"/>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2"/>
              </w:rPr>
              <w:t>10.4+</w:t>
            </w:r>
          </w:p>
        </w:tc>
        <w:tc>
          <w:tcPr>
            <w:tcW w:w="4900" w:type="dxa"/>
            <w:vAlign w:val="bottom"/>
            <w:tcBorders>
              <w:bottom w:val="single" w:sz="8" w:color="0000EE"/>
            </w:tcBorders>
            <w:gridSpan w:val="17"/>
          </w:tcPr>
          <w:p>
            <w:pPr>
              <w:spacing w:after="0"/>
              <w:rPr>
                <w:rFonts w:ascii="Arial" w:cs="Arial" w:eastAsia="Arial" w:hAnsi="Arial"/>
                <w:sz w:val="17"/>
                <w:szCs w:val="17"/>
                <w:color w:val="0000EE"/>
                <w:w w:val="92"/>
              </w:rPr>
            </w:pPr>
            <w:hyperlink r:id="rId134">
              <w:r>
                <w:rPr>
                  <w:rFonts w:ascii="Arial" w:cs="Arial" w:eastAsia="Arial" w:hAnsi="Arial"/>
                  <w:sz w:val="17"/>
                  <w:szCs w:val="17"/>
                  <w:color w:val="0000EE"/>
                  <w:w w:val="92"/>
                </w:rPr>
                <w:t>Letter Agreement (Note Certificate No. A-5), dated August 9, 2021, by</w:t>
              </w:r>
            </w:hyperlink>
          </w:p>
        </w:tc>
        <w:tc>
          <w:tcPr>
            <w:tcW w:w="80" w:type="dxa"/>
            <w:vAlign w:val="bottom"/>
            <w:gridSpan w:val="2"/>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380" w:type="dxa"/>
            <w:vAlign w:val="bottom"/>
            <w:tcBorders>
              <w:bottom w:val="single" w:sz="8" w:color="0000EE"/>
            </w:tcBorders>
            <w:gridSpan w:val="11"/>
          </w:tcPr>
          <w:p>
            <w:pPr>
              <w:spacing w:after="0" w:line="183" w:lineRule="exact"/>
              <w:rPr>
                <w:rFonts w:ascii="Arial" w:cs="Arial" w:eastAsia="Arial" w:hAnsi="Arial"/>
                <w:sz w:val="17"/>
                <w:szCs w:val="17"/>
                <w:color w:val="0000EE"/>
                <w:w w:val="92"/>
              </w:rPr>
            </w:pPr>
            <w:hyperlink r:id="rId134">
              <w:r>
                <w:rPr>
                  <w:rFonts w:ascii="Arial" w:cs="Arial" w:eastAsia="Arial" w:hAnsi="Arial"/>
                  <w:sz w:val="17"/>
                  <w:szCs w:val="17"/>
                  <w:color w:val="0000EE"/>
                  <w:w w:val="92"/>
                </w:rPr>
                <w:t>and between Aterian, Inc. and High Trail Investments ON LLC.</w:t>
              </w:r>
            </w:hyperlink>
          </w:p>
        </w:tc>
        <w:tc>
          <w:tcPr>
            <w:tcW w:w="600" w:type="dxa"/>
            <w:vAlign w:val="bottom"/>
            <w:gridSpan w:val="8"/>
          </w:tcPr>
          <w:p>
            <w:pPr>
              <w:spacing w:after="0"/>
              <w:rPr>
                <w:sz w:val="15"/>
                <w:szCs w:val="15"/>
                <w:color w:val="auto"/>
              </w:rPr>
            </w:pPr>
          </w:p>
        </w:tc>
      </w:tr>
      <w:tr>
        <w:trPr>
          <w:trHeight w:val="588"/>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6"/>
              </w:rPr>
              <w:t>10.5+*</w:t>
            </w:r>
          </w:p>
        </w:tc>
        <w:tc>
          <w:tcPr>
            <w:tcW w:w="484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81">
              <w:r>
                <w:rPr>
                  <w:rFonts w:ascii="Arial" w:cs="Arial" w:eastAsia="Arial" w:hAnsi="Arial"/>
                  <w:sz w:val="17"/>
                  <w:szCs w:val="17"/>
                  <w:color w:val="0000EE"/>
                  <w:w w:val="90"/>
                </w:rPr>
                <w:t>Letter Agreement, dated September 22, 2021, by and between Aterian,</w:t>
              </w:r>
            </w:hyperlink>
          </w:p>
        </w:tc>
        <w:tc>
          <w:tcPr>
            <w:tcW w:w="140" w:type="dxa"/>
            <w:vAlign w:val="bottom"/>
            <w:gridSpan w:val="4"/>
          </w:tcPr>
          <w:p>
            <w:pPr>
              <w:spacing w:after="0"/>
              <w:rPr>
                <w:sz w:val="24"/>
                <w:szCs w:val="24"/>
                <w:color w:val="auto"/>
              </w:rPr>
            </w:pPr>
          </w:p>
        </w:tc>
      </w:tr>
      <w:tr>
        <w:trPr>
          <w:trHeight w:val="182"/>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rPr>
            </w:pPr>
            <w:hyperlink w:anchor="page81">
              <w:r>
                <w:rPr>
                  <w:rFonts w:ascii="Arial" w:cs="Arial" w:eastAsia="Arial" w:hAnsi="Arial"/>
                  <w:sz w:val="17"/>
                  <w:szCs w:val="17"/>
                  <w:color w:val="0000EE"/>
                </w:rPr>
                <w:t>Inc. and High Trail Investments SA LLC.</w:t>
              </w:r>
            </w:hyperlink>
          </w:p>
        </w:tc>
      </w:tr>
      <w:tr>
        <w:trPr>
          <w:trHeight w:val="20"/>
        </w:trPr>
        <w:tc>
          <w:tcPr>
            <w:tcW w:w="1140" w:type="dxa"/>
            <w:vAlign w:val="bottom"/>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85"/>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6"/>
              </w:rPr>
              <w:t>10.6+*</w:t>
            </w:r>
          </w:p>
        </w:tc>
        <w:tc>
          <w:tcPr>
            <w:tcW w:w="484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87">
              <w:r>
                <w:rPr>
                  <w:rFonts w:ascii="Arial" w:cs="Arial" w:eastAsia="Arial" w:hAnsi="Arial"/>
                  <w:sz w:val="17"/>
                  <w:szCs w:val="17"/>
                  <w:color w:val="0000EE"/>
                  <w:w w:val="90"/>
                </w:rPr>
                <w:t>Letter Agreement, dated September 22, 2021, by and between Aterian,</w:t>
              </w:r>
            </w:hyperlink>
          </w:p>
        </w:tc>
        <w:tc>
          <w:tcPr>
            <w:tcW w:w="140" w:type="dxa"/>
            <w:vAlign w:val="bottom"/>
            <w:gridSpan w:val="4"/>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900" w:type="dxa"/>
            <w:vAlign w:val="bottom"/>
            <w:tcBorders>
              <w:bottom w:val="single" w:sz="8" w:color="0000EE"/>
            </w:tcBorders>
            <w:gridSpan w:val="6"/>
          </w:tcPr>
          <w:p>
            <w:pPr>
              <w:spacing w:after="0" w:line="183" w:lineRule="exact"/>
              <w:rPr>
                <w:rFonts w:ascii="Arial" w:cs="Arial" w:eastAsia="Arial" w:hAnsi="Arial"/>
                <w:sz w:val="17"/>
                <w:szCs w:val="17"/>
                <w:color w:val="0000EE"/>
                <w:w w:val="93"/>
              </w:rPr>
            </w:pPr>
            <w:hyperlink w:anchor="page87">
              <w:r>
                <w:rPr>
                  <w:rFonts w:ascii="Arial" w:cs="Arial" w:eastAsia="Arial" w:hAnsi="Arial"/>
                  <w:sz w:val="17"/>
                  <w:szCs w:val="17"/>
                  <w:color w:val="0000EE"/>
                  <w:w w:val="93"/>
                </w:rPr>
                <w:t>Inc. and High Trail Investments ON LLC.</w:t>
              </w:r>
            </w:hyperlink>
          </w:p>
        </w:tc>
        <w:tc>
          <w:tcPr>
            <w:tcW w:w="2080" w:type="dxa"/>
            <w:vAlign w:val="bottom"/>
            <w:gridSpan w:val="13"/>
          </w:tcPr>
          <w:p>
            <w:pPr>
              <w:spacing w:after="0"/>
              <w:rPr>
                <w:sz w:val="15"/>
                <w:szCs w:val="15"/>
                <w:color w:val="auto"/>
              </w:rPr>
            </w:pPr>
          </w:p>
        </w:tc>
      </w:tr>
      <w:tr>
        <w:trPr>
          <w:trHeight w:val="38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5"/>
              </w:rPr>
              <w:t>31.1*</w:t>
            </w:r>
          </w:p>
        </w:tc>
        <w:tc>
          <w:tcPr>
            <w:tcW w:w="4980" w:type="dxa"/>
            <w:vAlign w:val="bottom"/>
            <w:gridSpan w:val="19"/>
          </w:tcPr>
          <w:p>
            <w:pPr>
              <w:spacing w:after="0"/>
              <w:rPr>
                <w:rFonts w:ascii="Arial" w:cs="Arial" w:eastAsia="Arial" w:hAnsi="Arial"/>
                <w:sz w:val="17"/>
                <w:szCs w:val="17"/>
                <w:color w:val="0000EE"/>
                <w:w w:val="97"/>
              </w:rPr>
            </w:pPr>
            <w:hyperlink w:anchor="page93">
              <w:r>
                <w:rPr>
                  <w:rFonts w:ascii="Arial" w:cs="Arial" w:eastAsia="Arial" w:hAnsi="Arial"/>
                  <w:sz w:val="17"/>
                  <w:szCs w:val="17"/>
                  <w:color w:val="0000EE"/>
                  <w:w w:val="97"/>
                </w:rPr>
                <w:t>Certification of the Principal Executive Officer pursuant to Rule 13a-</w:t>
              </w:r>
            </w:hyperlink>
          </w:p>
        </w:tc>
      </w:tr>
      <w:tr>
        <w:trPr>
          <w:trHeight w:val="183"/>
        </w:trPr>
        <w:tc>
          <w:tcPr>
            <w:tcW w:w="1140" w:type="dxa"/>
            <w:vAlign w:val="bottom"/>
          </w:tcPr>
          <w:p>
            <w:pPr>
              <w:spacing w:after="0"/>
              <w:rPr>
                <w:sz w:val="15"/>
                <w:szCs w:val="15"/>
                <w:color w:val="auto"/>
              </w:rPr>
            </w:pPr>
          </w:p>
        </w:tc>
        <w:tc>
          <w:tcPr>
            <w:tcW w:w="4040" w:type="dxa"/>
            <w:vAlign w:val="bottom"/>
            <w:tcBorders>
              <w:top w:val="single" w:sz="8" w:color="0000EE"/>
              <w:bottom w:val="single" w:sz="8" w:color="0000EE"/>
            </w:tcBorders>
            <w:gridSpan w:val="8"/>
          </w:tcPr>
          <w:p>
            <w:pPr>
              <w:spacing w:after="0" w:line="183" w:lineRule="exact"/>
              <w:rPr>
                <w:rFonts w:ascii="Arial" w:cs="Arial" w:eastAsia="Arial" w:hAnsi="Arial"/>
                <w:sz w:val="17"/>
                <w:szCs w:val="17"/>
                <w:color w:val="0000EE"/>
                <w:w w:val="91"/>
              </w:rPr>
            </w:pPr>
            <w:hyperlink w:anchor="page93">
              <w:r>
                <w:rPr>
                  <w:rFonts w:ascii="Arial" w:cs="Arial" w:eastAsia="Arial" w:hAnsi="Arial"/>
                  <w:sz w:val="17"/>
                  <w:szCs w:val="17"/>
                  <w:color w:val="0000EE"/>
                  <w:w w:val="91"/>
                </w:rPr>
                <w:t>14(a) or 15d-14(a) of the Securities Exchange Act of 1934.</w:t>
              </w:r>
            </w:hyperlink>
          </w:p>
        </w:tc>
        <w:tc>
          <w:tcPr>
            <w:tcW w:w="700" w:type="dxa"/>
            <w:vAlign w:val="bottom"/>
            <w:tcBorders>
              <w:top w:val="single" w:sz="8" w:color="0000EE"/>
            </w:tcBorders>
            <w:gridSpan w:val="6"/>
          </w:tcPr>
          <w:p>
            <w:pPr>
              <w:spacing w:after="0"/>
              <w:rPr>
                <w:sz w:val="15"/>
                <w:szCs w:val="15"/>
                <w:color w:val="auto"/>
              </w:rPr>
            </w:pPr>
          </w:p>
        </w:tc>
        <w:tc>
          <w:tcPr>
            <w:tcW w:w="240" w:type="dxa"/>
            <w:vAlign w:val="bottom"/>
            <w:gridSpan w:val="5"/>
          </w:tcPr>
          <w:p>
            <w:pPr>
              <w:spacing w:after="0"/>
              <w:rPr>
                <w:sz w:val="15"/>
                <w:szCs w:val="15"/>
                <w:color w:val="auto"/>
              </w:rPr>
            </w:pPr>
          </w:p>
        </w:tc>
      </w:tr>
      <w:tr>
        <w:trPr>
          <w:trHeight w:val="38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5"/>
              </w:rPr>
              <w:t>31.2*</w:t>
            </w:r>
          </w:p>
        </w:tc>
        <w:tc>
          <w:tcPr>
            <w:tcW w:w="4740" w:type="dxa"/>
            <w:vAlign w:val="bottom"/>
            <w:tcBorders>
              <w:bottom w:val="single" w:sz="8" w:color="0000EE"/>
            </w:tcBorders>
            <w:gridSpan w:val="14"/>
          </w:tcPr>
          <w:p>
            <w:pPr>
              <w:spacing w:after="0"/>
              <w:rPr>
                <w:rFonts w:ascii="Arial" w:cs="Arial" w:eastAsia="Arial" w:hAnsi="Arial"/>
                <w:sz w:val="17"/>
                <w:szCs w:val="17"/>
                <w:color w:val="0000EE"/>
                <w:w w:val="93"/>
              </w:rPr>
            </w:pPr>
            <w:hyperlink w:anchor="page94">
              <w:r>
                <w:rPr>
                  <w:rFonts w:ascii="Arial" w:cs="Arial" w:eastAsia="Arial" w:hAnsi="Arial"/>
                  <w:sz w:val="17"/>
                  <w:szCs w:val="17"/>
                  <w:color w:val="0000EE"/>
                  <w:w w:val="93"/>
                </w:rPr>
                <w:t>Certification of the Principal Financial Officer pursuant to Rule 13a-</w:t>
              </w:r>
            </w:hyperlink>
          </w:p>
        </w:tc>
        <w:tc>
          <w:tcPr>
            <w:tcW w:w="240" w:type="dxa"/>
            <w:vAlign w:val="bottom"/>
            <w:gridSpan w:val="5"/>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040" w:type="dxa"/>
            <w:vAlign w:val="bottom"/>
            <w:tcBorders>
              <w:bottom w:val="single" w:sz="8" w:color="0000EE"/>
            </w:tcBorders>
            <w:gridSpan w:val="8"/>
          </w:tcPr>
          <w:p>
            <w:pPr>
              <w:spacing w:after="0" w:line="183" w:lineRule="exact"/>
              <w:rPr>
                <w:rFonts w:ascii="Arial" w:cs="Arial" w:eastAsia="Arial" w:hAnsi="Arial"/>
                <w:sz w:val="17"/>
                <w:szCs w:val="17"/>
                <w:color w:val="0000EE"/>
                <w:w w:val="91"/>
              </w:rPr>
            </w:pPr>
            <w:hyperlink w:anchor="page94">
              <w:r>
                <w:rPr>
                  <w:rFonts w:ascii="Arial" w:cs="Arial" w:eastAsia="Arial" w:hAnsi="Arial"/>
                  <w:sz w:val="17"/>
                  <w:szCs w:val="17"/>
                  <w:color w:val="0000EE"/>
                  <w:w w:val="91"/>
                </w:rPr>
                <w:t>14(a) or 15d-14(a) of the Securities Exchange Act of 1934.</w:t>
              </w:r>
            </w:hyperlink>
          </w:p>
        </w:tc>
        <w:tc>
          <w:tcPr>
            <w:tcW w:w="940" w:type="dxa"/>
            <w:vAlign w:val="bottom"/>
            <w:gridSpan w:val="11"/>
          </w:tcPr>
          <w:p>
            <w:pPr>
              <w:spacing w:after="0"/>
              <w:rPr>
                <w:sz w:val="15"/>
                <w:szCs w:val="15"/>
                <w:color w:val="auto"/>
              </w:rPr>
            </w:pPr>
          </w:p>
        </w:tc>
      </w:tr>
      <w:tr>
        <w:trPr>
          <w:trHeight w:val="385"/>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9"/>
              </w:rPr>
              <w:t>32.1**</w:t>
            </w:r>
          </w:p>
        </w:tc>
        <w:tc>
          <w:tcPr>
            <w:tcW w:w="4860" w:type="dxa"/>
            <w:vAlign w:val="bottom"/>
            <w:tcBorders>
              <w:bottom w:val="single" w:sz="8" w:color="0000EE"/>
            </w:tcBorders>
            <w:gridSpan w:val="16"/>
          </w:tcPr>
          <w:p>
            <w:pPr>
              <w:spacing w:after="0"/>
              <w:rPr>
                <w:rFonts w:ascii="Arial" w:cs="Arial" w:eastAsia="Arial" w:hAnsi="Arial"/>
                <w:sz w:val="17"/>
                <w:szCs w:val="17"/>
                <w:color w:val="0000EE"/>
                <w:w w:val="93"/>
              </w:rPr>
            </w:pPr>
            <w:hyperlink w:anchor="page95">
              <w:r>
                <w:rPr>
                  <w:rFonts w:ascii="Arial" w:cs="Arial" w:eastAsia="Arial" w:hAnsi="Arial"/>
                  <w:sz w:val="17"/>
                  <w:szCs w:val="17"/>
                  <w:color w:val="0000EE"/>
                  <w:w w:val="93"/>
                </w:rPr>
                <w:t>Certification of the Principal Executive Officer and Principal Financial</w:t>
              </w:r>
            </w:hyperlink>
          </w:p>
        </w:tc>
        <w:tc>
          <w:tcPr>
            <w:tcW w:w="120" w:type="dxa"/>
            <w:vAlign w:val="bottom"/>
            <w:gridSpan w:val="3"/>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4580" w:type="dxa"/>
            <w:vAlign w:val="bottom"/>
            <w:tcBorders>
              <w:bottom w:val="single" w:sz="8" w:color="0000EE"/>
            </w:tcBorders>
            <w:gridSpan w:val="13"/>
          </w:tcPr>
          <w:p>
            <w:pPr>
              <w:spacing w:after="0" w:line="183" w:lineRule="exact"/>
              <w:rPr>
                <w:rFonts w:ascii="Arial" w:cs="Arial" w:eastAsia="Arial" w:hAnsi="Arial"/>
                <w:sz w:val="17"/>
                <w:szCs w:val="17"/>
                <w:color w:val="0000EE"/>
                <w:w w:val="90"/>
              </w:rPr>
            </w:pPr>
            <w:hyperlink w:anchor="page95">
              <w:r>
                <w:rPr>
                  <w:rFonts w:ascii="Arial" w:cs="Arial" w:eastAsia="Arial" w:hAnsi="Arial"/>
                  <w:sz w:val="17"/>
                  <w:szCs w:val="17"/>
                  <w:color w:val="0000EE"/>
                  <w:w w:val="90"/>
                </w:rPr>
                <w:t>Officer pursuant to 18 U.S.C. Section 1350, as adopted pursuant to</w:t>
              </w:r>
            </w:hyperlink>
          </w:p>
        </w:tc>
        <w:tc>
          <w:tcPr>
            <w:tcW w:w="400" w:type="dxa"/>
            <w:vAlign w:val="bottom"/>
            <w:gridSpan w:val="6"/>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980" w:type="dxa"/>
            <w:vAlign w:val="bottom"/>
            <w:gridSpan w:val="19"/>
          </w:tcPr>
          <w:p>
            <w:pPr>
              <w:spacing w:after="0" w:line="183" w:lineRule="exact"/>
              <w:rPr>
                <w:rFonts w:ascii="Arial" w:cs="Arial" w:eastAsia="Arial" w:hAnsi="Arial"/>
                <w:sz w:val="17"/>
                <w:szCs w:val="17"/>
                <w:color w:val="0000EE"/>
              </w:rPr>
            </w:pPr>
            <w:hyperlink w:anchor="page95">
              <w:r>
                <w:rPr>
                  <w:rFonts w:ascii="Arial" w:cs="Arial" w:eastAsia="Arial" w:hAnsi="Arial"/>
                  <w:sz w:val="17"/>
                  <w:szCs w:val="17"/>
                  <w:color w:val="0000EE"/>
                </w:rPr>
                <w:t>Section 906 of the Sarbanes-Oxley Act of 2002.</w:t>
              </w:r>
            </w:hyperlink>
          </w:p>
        </w:tc>
      </w:tr>
      <w:tr>
        <w:trPr>
          <w:trHeight w:val="422"/>
        </w:trPr>
        <w:tc>
          <w:tcPr>
            <w:tcW w:w="1140" w:type="dxa"/>
            <w:vAlign w:val="bottom"/>
          </w:tcPr>
          <w:p>
            <w:pPr>
              <w:jc w:val="center"/>
              <w:ind w:right="355"/>
              <w:spacing w:after="0"/>
              <w:rPr>
                <w:sz w:val="20"/>
                <w:szCs w:val="20"/>
                <w:color w:val="auto"/>
              </w:rPr>
            </w:pPr>
            <w:r>
              <w:rPr>
                <w:rFonts w:ascii="Arial" w:cs="Arial" w:eastAsia="Arial" w:hAnsi="Arial"/>
                <w:sz w:val="17"/>
                <w:szCs w:val="17"/>
                <w:color w:val="auto"/>
                <w:w w:val="96"/>
              </w:rPr>
              <w:t>101.INS*</w:t>
            </w:r>
          </w:p>
        </w:tc>
        <w:tc>
          <w:tcPr>
            <w:tcW w:w="3280" w:type="dxa"/>
            <w:vAlign w:val="bottom"/>
            <w:tcBorders>
              <w:top w:val="single" w:sz="8" w:color="0000EE"/>
            </w:tcBorders>
            <w:gridSpan w:val="7"/>
          </w:tcPr>
          <w:p>
            <w:pPr>
              <w:spacing w:after="0"/>
              <w:rPr>
                <w:sz w:val="20"/>
                <w:szCs w:val="20"/>
                <w:color w:val="auto"/>
              </w:rPr>
            </w:pPr>
            <w:r>
              <w:rPr>
                <w:rFonts w:ascii="Arial" w:cs="Arial" w:eastAsia="Arial" w:hAnsi="Arial"/>
                <w:sz w:val="17"/>
                <w:szCs w:val="17"/>
                <w:color w:val="auto"/>
              </w:rPr>
              <w:t>Inline XBRL Instance Document.</w:t>
            </w:r>
          </w:p>
        </w:tc>
        <w:tc>
          <w:tcPr>
            <w:tcW w:w="1700" w:type="dxa"/>
            <w:vAlign w:val="bottom"/>
            <w:gridSpan w:val="12"/>
          </w:tcPr>
          <w:p>
            <w:pPr>
              <w:spacing w:after="0"/>
              <w:rPr>
                <w:sz w:val="24"/>
                <w:szCs w:val="24"/>
                <w:color w:val="auto"/>
              </w:rPr>
            </w:pPr>
          </w:p>
        </w:tc>
      </w:tr>
      <w:tr>
        <w:trPr>
          <w:trHeight w:val="405"/>
        </w:trPr>
        <w:tc>
          <w:tcPr>
            <w:tcW w:w="1140" w:type="dxa"/>
            <w:vAlign w:val="bottom"/>
          </w:tcPr>
          <w:p>
            <w:pPr>
              <w:jc w:val="center"/>
              <w:ind w:right="335"/>
              <w:spacing w:after="0"/>
              <w:rPr>
                <w:sz w:val="20"/>
                <w:szCs w:val="20"/>
                <w:color w:val="auto"/>
              </w:rPr>
            </w:pPr>
            <w:r>
              <w:rPr>
                <w:rFonts w:ascii="Arial" w:cs="Arial" w:eastAsia="Arial" w:hAnsi="Arial"/>
                <w:sz w:val="17"/>
                <w:szCs w:val="17"/>
                <w:color w:val="auto"/>
                <w:w w:val="95"/>
              </w:rPr>
              <w:t>101.SCH*</w:t>
            </w:r>
          </w:p>
        </w:tc>
        <w:tc>
          <w:tcPr>
            <w:tcW w:w="4980" w:type="dxa"/>
            <w:vAlign w:val="bottom"/>
            <w:gridSpan w:val="19"/>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639"/>
        </w:trPr>
        <w:tc>
          <w:tcPr>
            <w:tcW w:w="1140" w:type="dxa"/>
            <w:vAlign w:val="bottom"/>
          </w:tcPr>
          <w:p>
            <w:pPr>
              <w:spacing w:after="0"/>
              <w:rPr>
                <w:sz w:val="24"/>
                <w:szCs w:val="24"/>
                <w:color w:val="auto"/>
              </w:rPr>
            </w:pPr>
          </w:p>
        </w:tc>
        <w:tc>
          <w:tcPr>
            <w:tcW w:w="4500" w:type="dxa"/>
            <w:vAlign w:val="bottom"/>
            <w:gridSpan w:val="12"/>
          </w:tcPr>
          <w:p>
            <w:pPr>
              <w:ind w:left="42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-4568190</wp:posOffset>
            </wp:positionV>
            <wp:extent cx="273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27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275"/>
              <w:spacing w:after="0"/>
              <w:rPr>
                <w:sz w:val="20"/>
                <w:szCs w:val="20"/>
                <w:color w:val="auto"/>
              </w:rPr>
            </w:pPr>
            <w:r>
              <w:rPr>
                <w:rFonts w:ascii="Arial" w:cs="Arial" w:eastAsia="Arial" w:hAnsi="Arial"/>
                <w:sz w:val="17"/>
                <w:szCs w:val="17"/>
                <w:color w:val="auto"/>
                <w:w w:val="98"/>
              </w:rPr>
              <w:t>8-K</w:t>
            </w:r>
          </w:p>
        </w:tc>
        <w:tc>
          <w:tcPr>
            <w:tcW w:w="148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4/9/2021</w:t>
            </w:r>
          </w:p>
        </w:tc>
        <w:tc>
          <w:tcPr>
            <w:tcW w:w="700" w:type="dxa"/>
            <w:vAlign w:val="bottom"/>
          </w:tcPr>
          <w:p>
            <w:pPr>
              <w:jc w:val="center"/>
              <w:ind w:left="215"/>
              <w:spacing w:after="0"/>
              <w:rPr>
                <w:sz w:val="20"/>
                <w:szCs w:val="20"/>
                <w:color w:val="auto"/>
              </w:rPr>
            </w:pPr>
            <w:r>
              <w:rPr>
                <w:rFonts w:ascii="Arial" w:cs="Arial" w:eastAsia="Arial" w:hAnsi="Arial"/>
                <w:sz w:val="17"/>
                <w:szCs w:val="17"/>
                <w:color w:val="auto"/>
                <w:w w:val="84"/>
              </w:rPr>
              <w:t>4.5</w:t>
            </w:r>
          </w:p>
        </w:tc>
      </w:tr>
      <w:tr>
        <w:trPr>
          <w:trHeight w:val="810"/>
        </w:trPr>
        <w:tc>
          <w:tcPr>
            <w:tcW w:w="700" w:type="dxa"/>
            <w:vAlign w:val="bottom"/>
          </w:tcPr>
          <w:p>
            <w:pPr>
              <w:jc w:val="center"/>
              <w:ind w:right="275"/>
              <w:spacing w:after="0"/>
              <w:rPr>
                <w:sz w:val="20"/>
                <w:szCs w:val="20"/>
                <w:color w:val="auto"/>
              </w:rPr>
            </w:pPr>
            <w:r>
              <w:rPr>
                <w:rFonts w:ascii="Arial" w:cs="Arial" w:eastAsia="Arial" w:hAnsi="Arial"/>
                <w:sz w:val="17"/>
                <w:szCs w:val="17"/>
                <w:color w:val="auto"/>
                <w:w w:val="89"/>
              </w:rPr>
              <w:t>10-Q</w:t>
            </w:r>
          </w:p>
        </w:tc>
        <w:tc>
          <w:tcPr>
            <w:tcW w:w="148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60" w:type="dxa"/>
            <w:vAlign w:val="bottom"/>
          </w:tcPr>
          <w:p>
            <w:pPr>
              <w:jc w:val="center"/>
              <w:spacing w:after="0"/>
              <w:rPr>
                <w:sz w:val="20"/>
                <w:szCs w:val="20"/>
                <w:color w:val="auto"/>
              </w:rPr>
            </w:pPr>
            <w:r>
              <w:rPr>
                <w:rFonts w:ascii="Arial" w:cs="Arial" w:eastAsia="Arial" w:hAnsi="Arial"/>
                <w:sz w:val="17"/>
                <w:szCs w:val="17"/>
                <w:color w:val="auto"/>
                <w:w w:val="93"/>
              </w:rPr>
              <w:t>8/9/2021</w:t>
            </w:r>
          </w:p>
        </w:tc>
        <w:tc>
          <w:tcPr>
            <w:tcW w:w="700" w:type="dxa"/>
            <w:vAlign w:val="bottom"/>
          </w:tcPr>
          <w:p>
            <w:pPr>
              <w:jc w:val="center"/>
              <w:ind w:left="215"/>
              <w:spacing w:after="0"/>
              <w:rPr>
                <w:sz w:val="20"/>
                <w:szCs w:val="20"/>
                <w:color w:val="auto"/>
              </w:rPr>
            </w:pPr>
            <w:r>
              <w:rPr>
                <w:rFonts w:ascii="Arial" w:cs="Arial" w:eastAsia="Arial" w:hAnsi="Arial"/>
                <w:sz w:val="17"/>
                <w:szCs w:val="17"/>
                <w:color w:val="auto"/>
                <w:w w:val="93"/>
              </w:rPr>
              <w:t>10.13</w:t>
            </w:r>
          </w:p>
        </w:tc>
      </w:tr>
      <w:tr>
        <w:trPr>
          <w:trHeight w:val="1013"/>
        </w:trPr>
        <w:tc>
          <w:tcPr>
            <w:tcW w:w="700" w:type="dxa"/>
            <w:vAlign w:val="bottom"/>
          </w:tcPr>
          <w:p>
            <w:pPr>
              <w:jc w:val="center"/>
              <w:ind w:right="275"/>
              <w:spacing w:after="0"/>
              <w:rPr>
                <w:sz w:val="20"/>
                <w:szCs w:val="20"/>
                <w:color w:val="auto"/>
              </w:rPr>
            </w:pPr>
            <w:r>
              <w:rPr>
                <w:rFonts w:ascii="Arial" w:cs="Arial" w:eastAsia="Arial" w:hAnsi="Arial"/>
                <w:sz w:val="17"/>
                <w:szCs w:val="17"/>
                <w:color w:val="auto"/>
                <w:w w:val="98"/>
              </w:rPr>
              <w:t>8-K</w:t>
            </w:r>
          </w:p>
        </w:tc>
        <w:tc>
          <w:tcPr>
            <w:tcW w:w="148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60" w:type="dxa"/>
            <w:vAlign w:val="bottom"/>
          </w:tcPr>
          <w:p>
            <w:pPr>
              <w:jc w:val="center"/>
              <w:spacing w:after="0"/>
              <w:rPr>
                <w:sz w:val="20"/>
                <w:szCs w:val="20"/>
                <w:color w:val="auto"/>
              </w:rPr>
            </w:pPr>
            <w:r>
              <w:rPr>
                <w:rFonts w:ascii="Arial" w:cs="Arial" w:eastAsia="Arial" w:hAnsi="Arial"/>
                <w:sz w:val="17"/>
                <w:szCs w:val="17"/>
                <w:color w:val="auto"/>
                <w:w w:val="92"/>
              </w:rPr>
              <w:t>8/10/2021</w:t>
            </w:r>
          </w:p>
        </w:tc>
        <w:tc>
          <w:tcPr>
            <w:tcW w:w="700" w:type="dxa"/>
            <w:vAlign w:val="bottom"/>
          </w:tcPr>
          <w:p>
            <w:pPr>
              <w:jc w:val="center"/>
              <w:ind w:left="235"/>
              <w:spacing w:after="0"/>
              <w:rPr>
                <w:sz w:val="20"/>
                <w:szCs w:val="20"/>
                <w:color w:val="auto"/>
              </w:rPr>
            </w:pPr>
            <w:r>
              <w:rPr>
                <w:rFonts w:ascii="Arial" w:cs="Arial" w:eastAsia="Arial" w:hAnsi="Arial"/>
                <w:sz w:val="17"/>
                <w:szCs w:val="17"/>
                <w:color w:val="auto"/>
                <w:w w:val="90"/>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7"/>
                <w:szCs w:val="17"/>
                <w:color w:val="auto"/>
              </w:rPr>
              <w:t>8-K</w:t>
            </w:r>
          </w:p>
        </w:tc>
        <w:tc>
          <w:tcPr>
            <w:tcW w:w="150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8/10/2021</w:t>
            </w:r>
          </w:p>
        </w:tc>
        <w:tc>
          <w:tcPr>
            <w:tcW w:w="6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810"/>
        </w:trPr>
        <w:tc>
          <w:tcPr>
            <w:tcW w:w="640" w:type="dxa"/>
            <w:vAlign w:val="bottom"/>
          </w:tcPr>
          <w:p>
            <w:pPr>
              <w:spacing w:after="0"/>
              <w:rPr>
                <w:sz w:val="20"/>
                <w:szCs w:val="20"/>
                <w:color w:val="auto"/>
              </w:rPr>
            </w:pPr>
            <w:r>
              <w:rPr>
                <w:rFonts w:ascii="Arial" w:cs="Arial" w:eastAsia="Arial" w:hAnsi="Arial"/>
                <w:sz w:val="17"/>
                <w:szCs w:val="17"/>
                <w:color w:val="auto"/>
              </w:rPr>
              <w:t>8-K</w:t>
            </w:r>
          </w:p>
        </w:tc>
        <w:tc>
          <w:tcPr>
            <w:tcW w:w="150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8/10/2021</w:t>
            </w:r>
          </w:p>
        </w:tc>
        <w:tc>
          <w:tcPr>
            <w:tcW w:w="64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405"/>
        </w:trPr>
        <w:tc>
          <w:tcPr>
            <w:tcW w:w="640" w:type="dxa"/>
            <w:vAlign w:val="bottom"/>
          </w:tcPr>
          <w:p>
            <w:pPr>
              <w:spacing w:after="0"/>
              <w:rPr>
                <w:sz w:val="20"/>
                <w:szCs w:val="20"/>
                <w:color w:val="auto"/>
              </w:rPr>
            </w:pPr>
            <w:r>
              <w:rPr>
                <w:rFonts w:ascii="Arial" w:cs="Arial" w:eastAsia="Arial" w:hAnsi="Arial"/>
                <w:sz w:val="17"/>
                <w:szCs w:val="17"/>
                <w:color w:val="auto"/>
              </w:rPr>
              <w:t>8-K</w:t>
            </w:r>
          </w:p>
        </w:tc>
        <w:tc>
          <w:tcPr>
            <w:tcW w:w="150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8/10/2021</w:t>
            </w:r>
          </w:p>
        </w:tc>
        <w:tc>
          <w:tcPr>
            <w:tcW w:w="64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810"/>
        </w:trPr>
        <w:tc>
          <w:tcPr>
            <w:tcW w:w="640" w:type="dxa"/>
            <w:vAlign w:val="bottom"/>
          </w:tcPr>
          <w:p>
            <w:pPr>
              <w:spacing w:after="0"/>
              <w:rPr>
                <w:sz w:val="20"/>
                <w:szCs w:val="20"/>
                <w:color w:val="auto"/>
              </w:rPr>
            </w:pPr>
            <w:r>
              <w:rPr>
                <w:rFonts w:ascii="Arial" w:cs="Arial" w:eastAsia="Arial" w:hAnsi="Arial"/>
                <w:sz w:val="17"/>
                <w:szCs w:val="17"/>
                <w:color w:val="auto"/>
              </w:rPr>
              <w:t>8-K</w:t>
            </w:r>
          </w:p>
        </w:tc>
        <w:tc>
          <w:tcPr>
            <w:tcW w:w="1500" w:type="dxa"/>
            <w:vAlign w:val="bottom"/>
          </w:tcPr>
          <w:p>
            <w:pPr>
              <w:jc w:val="right"/>
              <w:ind w:right="275"/>
              <w:spacing w:after="0"/>
              <w:rPr>
                <w:sz w:val="20"/>
                <w:szCs w:val="20"/>
                <w:color w:val="auto"/>
              </w:rPr>
            </w:pPr>
            <w:r>
              <w:rPr>
                <w:rFonts w:ascii="Arial" w:cs="Arial" w:eastAsia="Arial" w:hAnsi="Arial"/>
                <w:sz w:val="17"/>
                <w:szCs w:val="17"/>
                <w:color w:val="auto"/>
              </w:rPr>
              <w:t>001-38937</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8/10/2021</w:t>
            </w:r>
          </w:p>
        </w:tc>
        <w:tc>
          <w:tcPr>
            <w:tcW w:w="640" w:type="dxa"/>
            <w:vAlign w:val="bottom"/>
          </w:tcPr>
          <w:p>
            <w:pPr>
              <w:jc w:val="right"/>
              <w:spacing w:after="0"/>
              <w:rPr>
                <w:sz w:val="20"/>
                <w:szCs w:val="20"/>
                <w:color w:val="auto"/>
              </w:rPr>
            </w:pPr>
            <w:r>
              <w:rPr>
                <w:rFonts w:ascii="Arial" w:cs="Arial" w:eastAsia="Arial" w:hAnsi="Arial"/>
                <w:sz w:val="17"/>
                <w:szCs w:val="17"/>
                <w:color w:val="auto"/>
              </w:rPr>
              <w:t>10.4</w:t>
            </w:r>
          </w:p>
        </w:tc>
      </w:tr>
    </w:tbl>
    <w:p>
      <w:pPr>
        <w:sectPr>
          <w:pgSz w:w="11900" w:h="16838" w:orient="portrait"/>
          <w:cols w:equalWidth="0" w:num="2">
            <w:col w:w="6120" w:space="500"/>
            <w:col w:w="4240"/>
          </w:cols>
          <w:pgMar w:left="520" w:top="525" w:right="519" w:bottom="1440" w:gutter="0" w:footer="0" w:header="0"/>
        </w:sectPr>
      </w:pPr>
    </w:p>
    <w:bookmarkStart w:id="71" w:name="page72"/>
    <w:bookmarkEnd w:id="71"/>
    <w:p>
      <w:pPr>
        <w:spacing w:after="0" w:line="1" w:lineRule="exact"/>
        <w:rPr>
          <w:sz w:val="20"/>
          <w:szCs w:val="20"/>
          <w:color w:val="auto"/>
        </w:rPr>
      </w:pPr>
    </w:p>
    <w:tbl>
      <w:tblPr>
        <w:tblLayout w:type="fixed"/>
        <w:tblInd w:w="192" w:type="dxa"/>
        <w:tblCellMar>
          <w:top w:w="0" w:type="dxa"/>
          <w:left w:w="0" w:type="dxa"/>
          <w:bottom w:w="0" w:type="dxa"/>
          <w:right w:w="0" w:type="dxa"/>
        </w:tblCellMar>
      </w:tblPr>
      <w:tr>
        <w:trPr>
          <w:trHeight w:val="216"/>
        </w:trPr>
        <w:tc>
          <w:tcPr>
            <w:tcW w:w="940" w:type="dxa"/>
            <w:vAlign w:val="bottom"/>
          </w:tcPr>
          <w:p>
            <w:pPr>
              <w:jc w:val="center"/>
              <w:ind w:right="135"/>
              <w:spacing w:after="0"/>
              <w:rPr>
                <w:sz w:val="20"/>
                <w:szCs w:val="20"/>
                <w:color w:val="auto"/>
              </w:rPr>
            </w:pPr>
            <w:r>
              <w:rPr>
                <w:rFonts w:ascii="Arial" w:cs="Arial" w:eastAsia="Arial" w:hAnsi="Arial"/>
                <w:sz w:val="17"/>
                <w:szCs w:val="17"/>
                <w:color w:val="auto"/>
                <w:w w:val="98"/>
              </w:rPr>
              <w:t>101.CAL*</w:t>
            </w:r>
          </w:p>
        </w:tc>
        <w:tc>
          <w:tcPr>
            <w:tcW w:w="4980" w:type="dxa"/>
            <w:vAlign w:val="bottom"/>
          </w:tcPr>
          <w:p>
            <w:pPr>
              <w:ind w:left="200"/>
              <w:spacing w:after="0"/>
              <w:rPr>
                <w:sz w:val="20"/>
                <w:szCs w:val="20"/>
                <w:color w:val="auto"/>
              </w:rPr>
            </w:pPr>
            <w:r>
              <w:rPr>
                <w:rFonts w:ascii="Arial" w:cs="Arial" w:eastAsia="Arial" w:hAnsi="Arial"/>
                <w:sz w:val="17"/>
                <w:szCs w:val="17"/>
                <w:color w:val="auto"/>
                <w:w w:val="94"/>
              </w:rPr>
              <w:t>Inline XBRL Taxonomy Extension Calculation Linkbase Document.</w:t>
            </w:r>
          </w:p>
        </w:tc>
      </w:tr>
      <w:tr>
        <w:trPr>
          <w:trHeight w:val="405"/>
        </w:trPr>
        <w:tc>
          <w:tcPr>
            <w:tcW w:w="940" w:type="dxa"/>
            <w:vAlign w:val="bottom"/>
          </w:tcPr>
          <w:p>
            <w:pPr>
              <w:jc w:val="center"/>
              <w:ind w:right="155"/>
              <w:spacing w:after="0"/>
              <w:rPr>
                <w:sz w:val="20"/>
                <w:szCs w:val="20"/>
                <w:color w:val="auto"/>
              </w:rPr>
            </w:pPr>
            <w:r>
              <w:rPr>
                <w:rFonts w:ascii="Arial" w:cs="Arial" w:eastAsia="Arial" w:hAnsi="Arial"/>
                <w:sz w:val="17"/>
                <w:szCs w:val="17"/>
                <w:color w:val="auto"/>
                <w:w w:val="94"/>
              </w:rPr>
              <w:t>101.DEF*</w:t>
            </w:r>
          </w:p>
        </w:tc>
        <w:tc>
          <w:tcPr>
            <w:tcW w:w="4980" w:type="dxa"/>
            <w:vAlign w:val="bottom"/>
          </w:tcPr>
          <w:p>
            <w:pPr>
              <w:ind w:left="200"/>
              <w:spacing w:after="0"/>
              <w:rPr>
                <w:sz w:val="20"/>
                <w:szCs w:val="20"/>
                <w:color w:val="auto"/>
              </w:rPr>
            </w:pPr>
            <w:r>
              <w:rPr>
                <w:rFonts w:ascii="Arial" w:cs="Arial" w:eastAsia="Arial" w:hAnsi="Arial"/>
                <w:sz w:val="17"/>
                <w:szCs w:val="17"/>
                <w:color w:val="auto"/>
                <w:w w:val="97"/>
              </w:rPr>
              <w:t>Inline XBRL Taxonomy Extension Definition Linkbase Document.</w:t>
            </w:r>
          </w:p>
        </w:tc>
      </w:tr>
      <w:tr>
        <w:trPr>
          <w:trHeight w:val="405"/>
        </w:trPr>
        <w:tc>
          <w:tcPr>
            <w:tcW w:w="940" w:type="dxa"/>
            <w:vAlign w:val="bottom"/>
          </w:tcPr>
          <w:p>
            <w:pPr>
              <w:jc w:val="center"/>
              <w:ind w:right="135"/>
              <w:spacing w:after="0"/>
              <w:rPr>
                <w:sz w:val="20"/>
                <w:szCs w:val="20"/>
                <w:color w:val="auto"/>
              </w:rPr>
            </w:pPr>
            <w:r>
              <w:rPr>
                <w:rFonts w:ascii="Arial" w:cs="Arial" w:eastAsia="Arial" w:hAnsi="Arial"/>
                <w:sz w:val="17"/>
                <w:szCs w:val="17"/>
                <w:color w:val="auto"/>
              </w:rPr>
              <w:t>101.LAB*</w:t>
            </w:r>
          </w:p>
        </w:tc>
        <w:tc>
          <w:tcPr>
            <w:tcW w:w="4980" w:type="dxa"/>
            <w:vAlign w:val="bottom"/>
          </w:tcPr>
          <w:p>
            <w:pPr>
              <w:ind w:left="2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405"/>
        </w:trPr>
        <w:tc>
          <w:tcPr>
            <w:tcW w:w="940" w:type="dxa"/>
            <w:vAlign w:val="bottom"/>
          </w:tcPr>
          <w:p>
            <w:pPr>
              <w:jc w:val="center"/>
              <w:ind w:right="155"/>
              <w:spacing w:after="0"/>
              <w:rPr>
                <w:sz w:val="20"/>
                <w:szCs w:val="20"/>
                <w:color w:val="auto"/>
              </w:rPr>
            </w:pPr>
            <w:r>
              <w:rPr>
                <w:rFonts w:ascii="Arial" w:cs="Arial" w:eastAsia="Arial" w:hAnsi="Arial"/>
                <w:sz w:val="17"/>
                <w:szCs w:val="17"/>
                <w:color w:val="auto"/>
                <w:w w:val="93"/>
              </w:rPr>
              <w:t>101.PRE*</w:t>
            </w:r>
          </w:p>
        </w:tc>
        <w:tc>
          <w:tcPr>
            <w:tcW w:w="4980" w:type="dxa"/>
            <w:vAlign w:val="bottom"/>
          </w:tcPr>
          <w:p>
            <w:pPr>
              <w:ind w:left="200"/>
              <w:spacing w:after="0"/>
              <w:rPr>
                <w:sz w:val="20"/>
                <w:szCs w:val="20"/>
                <w:color w:val="auto"/>
              </w:rPr>
            </w:pPr>
            <w:r>
              <w:rPr>
                <w:rFonts w:ascii="Arial" w:cs="Arial" w:eastAsia="Arial" w:hAnsi="Arial"/>
                <w:sz w:val="17"/>
                <w:szCs w:val="17"/>
                <w:color w:val="auto"/>
                <w:w w:val="92"/>
              </w:rPr>
              <w:t>Inline XBRL Taxonomy Extension Presentation Linkbase Document.</w:t>
            </w:r>
          </w:p>
        </w:tc>
      </w:tr>
      <w:tr>
        <w:trPr>
          <w:trHeight w:val="405"/>
        </w:trPr>
        <w:tc>
          <w:tcPr>
            <w:tcW w:w="940" w:type="dxa"/>
            <w:vAlign w:val="bottom"/>
          </w:tcPr>
          <w:p>
            <w:pPr>
              <w:jc w:val="center"/>
              <w:ind w:right="155"/>
              <w:spacing w:after="0"/>
              <w:rPr>
                <w:sz w:val="20"/>
                <w:szCs w:val="20"/>
                <w:color w:val="auto"/>
              </w:rPr>
            </w:pPr>
            <w:r>
              <w:rPr>
                <w:rFonts w:ascii="Arial" w:cs="Arial" w:eastAsia="Arial" w:hAnsi="Arial"/>
                <w:sz w:val="17"/>
                <w:szCs w:val="17"/>
                <w:color w:val="auto"/>
                <w:w w:val="97"/>
              </w:rPr>
              <w:t>104*</w:t>
            </w:r>
          </w:p>
        </w:tc>
        <w:tc>
          <w:tcPr>
            <w:tcW w:w="4980" w:type="dxa"/>
            <w:vAlign w:val="bottom"/>
          </w:tcPr>
          <w:p>
            <w:pPr>
              <w:ind w:left="200"/>
              <w:spacing w:after="0"/>
              <w:rPr>
                <w:sz w:val="20"/>
                <w:szCs w:val="20"/>
                <w:color w:val="auto"/>
              </w:rPr>
            </w:pPr>
            <w:r>
              <w:rPr>
                <w:rFonts w:ascii="Arial" w:cs="Arial" w:eastAsia="Arial" w:hAnsi="Arial"/>
                <w:sz w:val="17"/>
                <w:szCs w:val="17"/>
                <w:color w:val="auto"/>
                <w:w w:val="92"/>
              </w:rPr>
              <w:t>Cover Page Interactive Data File (embedded within the Inline XBRL)</w:t>
            </w:r>
          </w:p>
        </w:tc>
      </w:tr>
    </w:tbl>
    <w:p>
      <w:pPr>
        <w:spacing w:after="0" w:line="170" w:lineRule="exact"/>
        <w:rPr>
          <w:sz w:val="20"/>
          <w:szCs w:val="20"/>
          <w:color w:val="auto"/>
        </w:rPr>
      </w:pPr>
    </w:p>
    <w:p>
      <w:pPr>
        <w:ind w:left="492" w:hanging="492"/>
        <w:spacing w:after="0"/>
        <w:tabs>
          <w:tab w:leader="none" w:pos="492" w:val="left"/>
        </w:tabs>
        <w:numPr>
          <w:ilvl w:val="0"/>
          <w:numId w:val="28"/>
        </w:numPr>
        <w:rPr>
          <w:rFonts w:ascii="Arial" w:cs="Arial" w:eastAsia="Arial" w:hAnsi="Arial"/>
          <w:sz w:val="22"/>
          <w:szCs w:val="22"/>
          <w:color w:val="auto"/>
        </w:rPr>
      </w:pPr>
      <w:r>
        <w:rPr>
          <w:rFonts w:ascii="Arial" w:cs="Arial" w:eastAsia="Arial" w:hAnsi="Arial"/>
          <w:sz w:val="18"/>
          <w:szCs w:val="18"/>
          <w:color w:val="auto"/>
        </w:rPr>
        <w:t>Filed herewith.</w:t>
      </w:r>
    </w:p>
    <w:p>
      <w:pPr>
        <w:spacing w:after="0" w:line="29" w:lineRule="exact"/>
        <w:rPr>
          <w:sz w:val="20"/>
          <w:szCs w:val="20"/>
          <w:color w:val="auto"/>
        </w:rPr>
      </w:pPr>
    </w:p>
    <w:p>
      <w:pPr>
        <w:ind w:left="492" w:hanging="492"/>
        <w:spacing w:after="0"/>
        <w:tabs>
          <w:tab w:leader="none" w:pos="4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 w:lineRule="exact"/>
        <w:rPr>
          <w:sz w:val="20"/>
          <w:szCs w:val="20"/>
          <w:color w:val="auto"/>
        </w:rPr>
      </w:pPr>
    </w:p>
    <w:p>
      <w:pPr>
        <w:ind w:left="492" w:hanging="492"/>
        <w:spacing w:after="0" w:line="290" w:lineRule="auto"/>
        <w:tabs>
          <w:tab w:leader="none" w:pos="492"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61"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328" w:top="338" w:right="5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3"/>
          </w:tcPr>
          <w:p>
            <w:pPr>
              <w:ind w:left="2460"/>
              <w:spacing w:after="0"/>
              <w:rPr>
                <w:sz w:val="20"/>
                <w:szCs w:val="20"/>
                <w:color w:val="auto"/>
              </w:rPr>
            </w:pPr>
            <w:r>
              <w:rPr>
                <w:rFonts w:ascii="Arial" w:cs="Arial" w:eastAsia="Arial" w:hAnsi="Arial"/>
                <w:sz w:val="18"/>
                <w:szCs w:val="18"/>
                <w:b w:val="1"/>
                <w:bCs w:val="1"/>
                <w:color w:val="auto"/>
              </w:rPr>
              <w:t>ATERIAN, INC.</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 November 9, 2021</w:t>
            </w:r>
          </w:p>
        </w:tc>
        <w:tc>
          <w:tcPr>
            <w:tcW w:w="2760" w:type="dxa"/>
            <w:vAlign w:val="bottom"/>
          </w:tcPr>
          <w:p>
            <w:pPr>
              <w:ind w:left="24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4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16"/>
        </w:trPr>
        <w:tc>
          <w:tcPr>
            <w:tcW w:w="42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42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260" w:type="dxa"/>
            <w:vAlign w:val="bottom"/>
          </w:tcPr>
          <w:p>
            <w:pPr>
              <w:spacing w:after="0"/>
              <w:rPr>
                <w:sz w:val="20"/>
                <w:szCs w:val="20"/>
                <w:color w:val="auto"/>
              </w:rPr>
            </w:pPr>
            <w:r>
              <w:rPr>
                <w:rFonts w:ascii="Arial" w:cs="Arial" w:eastAsia="Arial" w:hAnsi="Arial"/>
                <w:sz w:val="18"/>
                <w:szCs w:val="18"/>
                <w:color w:val="auto"/>
              </w:rPr>
              <w:t>Date: November 9, 2021</w:t>
            </w:r>
          </w:p>
        </w:tc>
        <w:tc>
          <w:tcPr>
            <w:tcW w:w="2760" w:type="dxa"/>
            <w:vAlign w:val="bottom"/>
          </w:tcPr>
          <w:p>
            <w:pPr>
              <w:ind w:left="24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Arturo Rodriguez</w:t>
            </w:r>
          </w:p>
        </w:tc>
      </w:tr>
      <w:tr>
        <w:trPr>
          <w:trHeight w:val="195"/>
        </w:trPr>
        <w:tc>
          <w:tcPr>
            <w:tcW w:w="4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Arturo Rodriguez</w:t>
            </w:r>
          </w:p>
        </w:tc>
      </w:tr>
      <w:tr>
        <w:trPr>
          <w:trHeight w:val="230"/>
        </w:trPr>
        <w:tc>
          <w:tcPr>
            <w:tcW w:w="42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2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Financial Officer</w:t>
            </w:r>
          </w:p>
        </w:tc>
      </w:tr>
    </w:tbl>
    <w:p>
      <w:pPr>
        <w:ind w:left="71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37" w:right="339" w:bottom="1440" w:gutter="0" w:footer="0" w:header="0"/>
        </w:sectPr>
      </w:pPr>
    </w:p>
    <w:bookmarkStart w:id="73" w:name="page74"/>
    <w:bookmarkEnd w:id="73"/>
    <w:p>
      <w:pPr>
        <w:ind w:left="10120"/>
        <w:spacing w:after="0"/>
        <w:rPr>
          <w:sz w:val="20"/>
          <w:szCs w:val="20"/>
          <w:color w:val="auto"/>
        </w:rPr>
      </w:pPr>
      <w:r>
        <w:rPr>
          <w:rFonts w:ascii="Arial" w:cs="Arial" w:eastAsia="Arial" w:hAnsi="Arial"/>
          <w:sz w:val="19"/>
          <w:szCs w:val="19"/>
          <w:b w:val="1"/>
          <w:bCs w:val="1"/>
          <w:color w:val="auto"/>
        </w:rPr>
        <w:t>Exhibit 4.19</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SECOND OMNIBUS AMENDMENT TO SENIOR SECURED NOTES DUE 2024 AND WARRANTS TO PURCHASE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0"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This SECOND OMNIBUS AMENDMENT TO SENIOR SECURED NOTES DUE 2024 AND WARRANTS TO PURCHASE COMMON STOCK (this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is made and entered into as of September 22, 2021, by and among Aterian, Inc. (formerly known as Mohawk Group Holdings,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High Trail Investments ON LLC (“</w:t>
      </w:r>
      <w:r>
        <w:rPr>
          <w:rFonts w:ascii="Arial" w:cs="Arial" w:eastAsia="Arial" w:hAnsi="Arial"/>
          <w:sz w:val="21"/>
          <w:szCs w:val="21"/>
          <w:b w:val="1"/>
          <w:bCs w:val="1"/>
          <w:i w:val="1"/>
          <w:iCs w:val="1"/>
          <w:color w:val="auto"/>
        </w:rPr>
        <w:t>HTI ON</w:t>
      </w:r>
      <w:r>
        <w:rPr>
          <w:rFonts w:ascii="Arial" w:cs="Arial" w:eastAsia="Arial" w:hAnsi="Arial"/>
          <w:sz w:val="21"/>
          <w:szCs w:val="21"/>
          <w:color w:val="auto"/>
        </w:rPr>
        <w:t>”) and High Trail Investments SA LLC (“</w:t>
      </w:r>
      <w:r>
        <w:rPr>
          <w:rFonts w:ascii="Arial" w:cs="Arial" w:eastAsia="Arial" w:hAnsi="Arial"/>
          <w:sz w:val="21"/>
          <w:szCs w:val="21"/>
          <w:b w:val="1"/>
          <w:bCs w:val="1"/>
          <w:i w:val="1"/>
          <w:iCs w:val="1"/>
          <w:color w:val="auto"/>
        </w:rPr>
        <w:t>HTI SA</w:t>
      </w:r>
      <w:r>
        <w:rPr>
          <w:rFonts w:ascii="Arial" w:cs="Arial" w:eastAsia="Arial" w:hAnsi="Arial"/>
          <w:sz w:val="21"/>
          <w:szCs w:val="21"/>
          <w:color w:val="auto"/>
        </w:rPr>
        <w:t xml:space="preserve">” together with HTI ON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Holders</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has issued those certain Senior Secured Notes due 2024, Certificate Nos. A-3 and A-5 (each a</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Note</w:t>
      </w:r>
      <w:r>
        <w:rPr>
          <w:rFonts w:ascii="Arial" w:cs="Arial" w:eastAsia="Arial" w:hAnsi="Arial"/>
          <w:sz w:val="22"/>
          <w:szCs w:val="22"/>
          <w:color w:val="auto"/>
        </w:rPr>
        <w:t>” and together the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 to the Holders pursuant to that certain Securities Purchase and Exchange Agreement, dated as of April 8, 2021, by and among the Company and the Holders (the “</w:t>
      </w:r>
      <w:r>
        <w:rPr>
          <w:rFonts w:ascii="Arial" w:cs="Arial" w:eastAsia="Arial" w:hAnsi="Arial"/>
          <w:sz w:val="22"/>
          <w:szCs w:val="22"/>
          <w:b w:val="1"/>
          <w:bCs w:val="1"/>
          <w:i w:val="1"/>
          <w:iCs w:val="1"/>
          <w:color w:val="auto"/>
        </w:rPr>
        <w:t>Securities Purchase and Exchange Agreement</w:t>
      </w:r>
      <w:r>
        <w:rPr>
          <w:rFonts w:ascii="Arial" w:cs="Arial" w:eastAsia="Arial" w:hAnsi="Arial"/>
          <w:sz w:val="22"/>
          <w:szCs w:val="22"/>
          <w:color w:val="auto"/>
        </w:rPr>
        <w:t>”) (as the same may be amended from time to time);</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has issued that certain Warrant to Purchase Common Stock No. HTCS-3 (as the same may be</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from time to time, the “</w:t>
      </w:r>
      <w:r>
        <w:rPr>
          <w:rFonts w:ascii="Arial" w:cs="Arial" w:eastAsia="Arial" w:hAnsi="Arial"/>
          <w:sz w:val="20"/>
          <w:szCs w:val="20"/>
          <w:b w:val="1"/>
          <w:bCs w:val="1"/>
          <w:i w:val="1"/>
          <w:iCs w:val="1"/>
          <w:color w:val="auto"/>
        </w:rPr>
        <w:t>HTCS-3 Warrant</w:t>
      </w:r>
      <w:r>
        <w:rPr>
          <w:rFonts w:ascii="Arial" w:cs="Arial" w:eastAsia="Arial" w:hAnsi="Arial"/>
          <w:sz w:val="20"/>
          <w:szCs w:val="20"/>
          <w:color w:val="auto"/>
        </w:rPr>
        <w:t>”), to HTI SA pursuant to that certain letter agreement dated as of February 8, 2021, by and between the Company and HTI SA, that certain Warrant to Purchase Common Stock No. HTCS-2 (as the same may be amended from time to time, the “</w:t>
      </w:r>
      <w:r>
        <w:rPr>
          <w:rFonts w:ascii="Arial" w:cs="Arial" w:eastAsia="Arial" w:hAnsi="Arial"/>
          <w:sz w:val="20"/>
          <w:szCs w:val="20"/>
          <w:b w:val="1"/>
          <w:bCs w:val="1"/>
          <w:i w:val="1"/>
          <w:iCs w:val="1"/>
          <w:color w:val="auto"/>
        </w:rPr>
        <w:t>HTCS-2 Warrant</w:t>
      </w:r>
      <w:r>
        <w:rPr>
          <w:rFonts w:ascii="Arial" w:cs="Arial" w:eastAsia="Arial" w:hAnsi="Arial"/>
          <w:sz w:val="20"/>
          <w:szCs w:val="20"/>
          <w:color w:val="auto"/>
        </w:rPr>
        <w:t>”), to HTI ON pursuant to that certain Securities Purchase Agreement dated as of February 2, 2021, by and between the Company and HTI ON (the “</w:t>
      </w:r>
      <w:r>
        <w:rPr>
          <w:rFonts w:ascii="Arial" w:cs="Arial" w:eastAsia="Arial" w:hAnsi="Arial"/>
          <w:sz w:val="20"/>
          <w:szCs w:val="20"/>
          <w:b w:val="1"/>
          <w:bCs w:val="1"/>
          <w:i w:val="1"/>
          <w:iCs w:val="1"/>
          <w:color w:val="auto"/>
        </w:rPr>
        <w:t>Securities Purchase Agreement</w:t>
      </w:r>
      <w:r>
        <w:rPr>
          <w:rFonts w:ascii="Arial" w:cs="Arial" w:eastAsia="Arial" w:hAnsi="Arial"/>
          <w:sz w:val="20"/>
          <w:szCs w:val="20"/>
          <w:color w:val="auto"/>
        </w:rPr>
        <w:t>”) and those certain Warrants to Purchase Common Stock Nos. HTCS-5, HTCS-6, HTCS-7 and HTCS-8 (as the same may be amended from time to time, the “</w:t>
      </w:r>
      <w:r>
        <w:rPr>
          <w:rFonts w:ascii="Arial" w:cs="Arial" w:eastAsia="Arial" w:hAnsi="Arial"/>
          <w:sz w:val="20"/>
          <w:szCs w:val="20"/>
          <w:b w:val="1"/>
          <w:bCs w:val="1"/>
          <w:i w:val="1"/>
          <w:iCs w:val="1"/>
          <w:color w:val="auto"/>
        </w:rPr>
        <w:t>HTCS-5-8 Warrants,</w:t>
      </w:r>
      <w:r>
        <w:rPr>
          <w:rFonts w:ascii="Arial" w:cs="Arial" w:eastAsia="Arial" w:hAnsi="Arial"/>
          <w:sz w:val="20"/>
          <w:szCs w:val="20"/>
          <w:color w:val="auto"/>
        </w:rPr>
        <w:t>” together with the HTCS-3 Warrant, the HTCS-2 Warrant and the HTCS-5-8 Warrants, the “</w:t>
      </w:r>
      <w:r>
        <w:rPr>
          <w:rFonts w:ascii="Arial" w:cs="Arial" w:eastAsia="Arial" w:hAnsi="Arial"/>
          <w:sz w:val="20"/>
          <w:szCs w:val="20"/>
          <w:b w:val="1"/>
          <w:bCs w:val="1"/>
          <w:i w:val="1"/>
          <w:iCs w:val="1"/>
          <w:color w:val="auto"/>
        </w:rPr>
        <w:t>Warrants</w:t>
      </w:r>
      <w:r>
        <w:rPr>
          <w:rFonts w:ascii="Arial" w:cs="Arial" w:eastAsia="Arial" w:hAnsi="Arial"/>
          <w:sz w:val="20"/>
          <w:szCs w:val="20"/>
          <w:color w:val="auto"/>
        </w:rPr>
        <w:t>”), to the Holders pursuant to the Securities Purchase and Exchange Agreement;</w:t>
      </w:r>
    </w:p>
    <w:p>
      <w:pPr>
        <w:spacing w:after="0" w:line="159"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and the Holders previously amended certain provisions of the HTCS-2 Warrant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that certain Amendment to Warrant to Purchase Common Stock, dated February 8, 2021;</w:t>
      </w:r>
    </w:p>
    <w:p>
      <w:pPr>
        <w:spacing w:after="0" w:line="162" w:lineRule="exact"/>
        <w:rPr>
          <w:sz w:val="20"/>
          <w:szCs w:val="20"/>
          <w:color w:val="auto"/>
        </w:rPr>
      </w:pPr>
    </w:p>
    <w:p>
      <w:pPr>
        <w:jc w:val="both"/>
        <w:ind w:firstLine="864"/>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and the Holders previously amended certain provisions of the HTCS-3 Warrant and HTCS-2</w:t>
      </w:r>
      <w:r>
        <w:rPr>
          <w:rFonts w:ascii="Arial" w:cs="Arial" w:eastAsia="Arial" w:hAnsi="Arial"/>
          <w:sz w:val="20"/>
          <w:szCs w:val="20"/>
          <w:b w:val="1"/>
          <w:bCs w:val="1"/>
          <w:color w:val="auto"/>
        </w:rPr>
        <w:t xml:space="preserve"> </w:t>
      </w:r>
      <w:r>
        <w:rPr>
          <w:rFonts w:ascii="Arial" w:cs="Arial" w:eastAsia="Arial" w:hAnsi="Arial"/>
          <w:sz w:val="20"/>
          <w:szCs w:val="20"/>
          <w:color w:val="auto"/>
        </w:rPr>
        <w:t>Warrant pursuant to those certain Amendments to Warrants to Purchase Common Stock, dated April 8, 2021;</w:t>
      </w:r>
    </w:p>
    <w:p>
      <w:pPr>
        <w:spacing w:after="0" w:line="11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and the Holders previously amended certain provisions of the Notes pursuant to that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Omnibus First Amendment to Senior Secured Notes Due 2024, dated May 19, 2021;</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and the Holders previously amended certain provisions of the Notes and Warrants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that certain Omnibus Amendment to Senior Secured Notes Due 2024 and Warrants to Purchase Common Stock, dated August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554355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jc w:val="both"/>
        <w:ind w:right="20"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and the Holders desire to further amend certain provisions of each of the Notes and to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amend certain provisions of each of the Warrants;</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pursuant to Section 18 of the Notes, each of the Notes may be amended with the written consent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the Required Holders (as defined in the Securities Purchase and Exchange Agreement) and pursuant to Section 9 of the Warrants, each of the Warrants may be amended with the written consent of the Holder (as defined in the applicable Warrants); and</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as of the date hereof, the Holders constitute the Required Holders (as defined in the Securities Purchase and</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Agreement) of the Notes and a Holder (as defined in the Warrants) of the Warrants.</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mutual covenants and agreements set forth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hereby acknowledged, the parties hereto, intending to be legally bound,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OF NOTES</w:t>
      </w:r>
    </w:p>
    <w:p>
      <w:pPr>
        <w:spacing w:after="0" w:line="21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Title of the Notes</w:t>
      </w:r>
      <w:r>
        <w:rPr>
          <w:rFonts w:ascii="Arial" w:cs="Arial" w:eastAsia="Arial" w:hAnsi="Arial"/>
          <w:sz w:val="22"/>
          <w:szCs w:val="22"/>
          <w:color w:val="auto"/>
        </w:rPr>
        <w:t>. The second line of the title of each of the Notes is hereby amended and restated in its entirety to read as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Senior Secured Note due 2023</w:t>
      </w:r>
    </w:p>
    <w:p>
      <w:pPr>
        <w:spacing w:after="0" w:line="6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Definition of “Maturity Date” set forth in the Notes</w:t>
      </w:r>
      <w:r>
        <w:rPr>
          <w:rFonts w:ascii="Arial" w:cs="Arial" w:eastAsia="Arial" w:hAnsi="Arial"/>
          <w:sz w:val="22"/>
          <w:szCs w:val="22"/>
          <w:color w:val="auto"/>
        </w:rPr>
        <w:t>. The definition of “Maturity Date” set forth in Section 1 of each of the Notes is hereby amended and restated in its entirety to read as follows:</w:t>
      </w:r>
    </w:p>
    <w:p>
      <w:pPr>
        <w:spacing w:after="0" w:line="169"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April 1, 2023.”</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Definition of “Permitted Investment” set forth in the Notes</w:t>
      </w:r>
      <w:r>
        <w:rPr>
          <w:rFonts w:ascii="Arial" w:cs="Arial" w:eastAsia="Arial" w:hAnsi="Arial"/>
          <w:sz w:val="22"/>
          <w:szCs w:val="22"/>
          <w:color w:val="auto"/>
        </w:rPr>
        <w:t>. The definition of “Permitted Investment” set forth in Section 1 of each of the Notes is hereby amended and restated in its entirety to read as follows:</w:t>
      </w:r>
    </w:p>
    <w:p>
      <w:pPr>
        <w:spacing w:after="0" w:line="169" w:lineRule="exact"/>
        <w:rPr>
          <w:sz w:val="20"/>
          <w:szCs w:val="20"/>
          <w:color w:val="auto"/>
        </w:rPr>
      </w:pPr>
    </w:p>
    <w:p>
      <w:pPr>
        <w:jc w:val="both"/>
        <w:ind w:left="2600" w:firstLine="6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Investment</w:t>
      </w:r>
      <w:r>
        <w:rPr>
          <w:rFonts w:ascii="Arial" w:cs="Arial" w:eastAsia="Arial" w:hAnsi="Arial"/>
          <w:sz w:val="21"/>
          <w:szCs w:val="21"/>
          <w:color w:val="auto"/>
        </w:rPr>
        <w:t>” means: (A) Investments deemed to be disclosed pursuant to the Securities Purchase Agreement, as in effect as of the Issue Date; (B) (i)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a rating of at least A-2 or P-2 from either Standard &amp; Poor’s Corporation or Moody’s Investors Service, (iii) certificates of deposit issued by any bank headquartered in the United States with assets of at least $5,000,000,000 maturing no more than one year from the date of investment therein, and (iv) money market accounts; (C) Investments accepted in connection with Permitted Transfers;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jc w:val="both"/>
        <w:ind w:left="2600"/>
        <w:spacing w:after="0" w:line="269" w:lineRule="auto"/>
        <w:rPr>
          <w:sz w:val="20"/>
          <w:szCs w:val="20"/>
          <w:color w:val="auto"/>
        </w:rPr>
      </w:pPr>
      <w:r>
        <w:rPr>
          <w:rFonts w:ascii="Arial" w:cs="Arial" w:eastAsia="Arial" w:hAnsi="Arial"/>
          <w:sz w:val="19"/>
          <w:szCs w:val="19"/>
          <w:color w:val="auto"/>
        </w:rPr>
        <w:t>Investments (including debt obligations) received in connection with the bankruptcy or reorganization of customers or suppliers and in settlement of delinquent obligations of, and other disputes with, customers or suppliers arising in the ordinary course of the Company’s business; (E) Investments consisting of notes receivable of, or prepaid royalties and other credit extensions, to customers and suppliers in the ordinary course of business and consistent with past practice, provided that this clause (E) shall not apply to Investments of the Company in any Subsidiary; (F) Investments consisting of (i) loans not involving the net transfer on a substantially contemporaneous basis of cash proceeds to employees, officers or directors relating to the purchase of capital stock of the Company pursuant to employee stock purchase plans or other similar agreements approved by the Company’s Board of Directors and (ii) travel advances and employee relocation loans and other employee loans and advances in the ordinary course of business, provided that the aggregate of all such loans outstanding may not exceed $250,000 at any time; (G) Investments in Wholly Owned Subsidiaries; (H) Permitted Intellectual Property Licenses; (I) acquisitions by Truweo or any of its Wholly Owned Subsidiaries of all, or substantially all, of the assets of another Person or a majority of the equity interests in another Person, provided that no such acquisition will be a “Permitted Investment” if, after giving effect to such acquisition, any Default or Event of Default would exist hereunder; (J) Investments consisting of the endorsement of negotiable instruments for deposit or collection or similar transactions in the ordinary course of business; (K) Investments consisting of deposit accounts in which the Collateral Agent has received a deposit account control agreement in accordance with the Security Agreement and (L) additional Investments that do not exceed one hundred thousand dollars ($100,000) in the aggregate in any twelve (12) month period. Notwithstanding anything to the contrary herein, except as expressly permitted pursuant to this Note, the transfer, sale, lease, license, loan or conveyance of assets of Truweo to any entity not wholly owned, directly or indirectly by Truweo, shall not be a “Permitted Investment” hereunder.”</w:t>
      </w:r>
    </w:p>
    <w:p>
      <w:pPr>
        <w:spacing w:after="0" w:line="200" w:lineRule="exact"/>
        <w:rPr>
          <w:sz w:val="20"/>
          <w:szCs w:val="20"/>
          <w:color w:val="auto"/>
        </w:rPr>
      </w:pPr>
    </w:p>
    <w:p>
      <w:pPr>
        <w:spacing w:after="0" w:line="214" w:lineRule="exact"/>
        <w:rPr>
          <w:sz w:val="20"/>
          <w:szCs w:val="20"/>
          <w:color w:val="auto"/>
        </w:rPr>
      </w:pPr>
    </w:p>
    <w:p>
      <w:pPr>
        <w:ind w:firstLine="864"/>
        <w:spacing w:after="0" w:line="274"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Definition of “Target Adjusted EBITDA” set forth in the Notes</w:t>
      </w:r>
      <w:r>
        <w:rPr>
          <w:rFonts w:ascii="Arial" w:cs="Arial" w:eastAsia="Arial" w:hAnsi="Arial"/>
          <w:sz w:val="21"/>
          <w:szCs w:val="21"/>
          <w:color w:val="auto"/>
        </w:rPr>
        <w:t>. The definition of “Target Adjusted EBITDA” set forth in Section 1 of each of the Notes is hereby amended and restated in its entirety to read as follows:</w:t>
      </w:r>
    </w:p>
    <w:p>
      <w:pPr>
        <w:spacing w:after="0" w:line="145" w:lineRule="exact"/>
        <w:rPr>
          <w:sz w:val="20"/>
          <w:szCs w:val="20"/>
          <w:color w:val="auto"/>
        </w:rPr>
      </w:pPr>
    </w:p>
    <w:p>
      <w:pPr>
        <w:jc w:val="both"/>
        <w:ind w:left="2600" w:firstLine="6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Adjusted EBITDA</w:t>
      </w:r>
      <w:r>
        <w:rPr>
          <w:rFonts w:ascii="Arial" w:cs="Arial" w:eastAsia="Arial" w:hAnsi="Arial"/>
          <w:sz w:val="19"/>
          <w:szCs w:val="19"/>
          <w:color w:val="auto"/>
        </w:rPr>
        <w:t>” means, (i) with respect to the fiscal quarter ending September 30, 2021, negative three million five hundred thousand dollars (-$3,500,000), (ii) with respect to the fiscal quarter ending December 31, 2021, negative three million five hundred thousand dollars (-$3,500,000), (iii) with respect to the fiscal quarter ending March 31, 2022, negative three million five hundred thousand dollars (-$3,500,000), (iv) with respect to the fiscal quarter ending June 30, 2022, negative one million dollars (-$1,000,000), (v) with respect to the fiscal quarter ending September 30, 2022, negative one million dollars (-$1,000,000), (vi) with respect to the fiscal quarter ending December 31, 2022, zero dollars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ind w:left="2600"/>
        <w:spacing w:after="0"/>
        <w:rPr>
          <w:sz w:val="20"/>
          <w:szCs w:val="20"/>
          <w:color w:val="auto"/>
        </w:rPr>
      </w:pPr>
      <w:r>
        <w:rPr>
          <w:rFonts w:ascii="Arial" w:cs="Arial" w:eastAsia="Arial" w:hAnsi="Arial"/>
          <w:sz w:val="22"/>
          <w:szCs w:val="22"/>
          <w:color w:val="auto"/>
        </w:rPr>
        <w:t>and (vii) with respect to the fiscal quarter ending March 31, 2023, zero dollars ($0).”</w:t>
      </w:r>
    </w:p>
    <w:p>
      <w:pPr>
        <w:spacing w:after="0" w:line="20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Section 9(J) of the Notes</w:t>
      </w:r>
      <w:r>
        <w:rPr>
          <w:rFonts w:ascii="Arial" w:cs="Arial" w:eastAsia="Arial" w:hAnsi="Arial"/>
          <w:sz w:val="19"/>
          <w:szCs w:val="19"/>
          <w:color w:val="auto"/>
        </w:rPr>
        <w:t>. Section 9(J)(iv) and (v) of each of the Notes is hereby deleted.</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Section 9(K) of the Notes</w:t>
      </w:r>
      <w:r>
        <w:rPr>
          <w:rFonts w:ascii="Arial" w:cs="Arial" w:eastAsia="Arial" w:hAnsi="Arial"/>
          <w:sz w:val="22"/>
          <w:szCs w:val="22"/>
          <w:color w:val="auto"/>
        </w:rPr>
        <w:t>. Section 9(K) of each of the Notes is hereby amended and restated in its entirety as follows:</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580" w:type="dxa"/>
            <w:vAlign w:val="bottom"/>
            <w:gridSpan w:val="2"/>
          </w:tcPr>
          <w:p>
            <w:pPr>
              <w:ind w:left="1600"/>
              <w:spacing w:after="0"/>
              <w:rPr>
                <w:sz w:val="20"/>
                <w:szCs w:val="20"/>
                <w:color w:val="auto"/>
              </w:rPr>
            </w:pPr>
            <w:r>
              <w:rPr>
                <w:rFonts w:ascii="Arial" w:cs="Arial" w:eastAsia="Arial" w:hAnsi="Arial"/>
                <w:sz w:val="22"/>
                <w:szCs w:val="22"/>
                <w:color w:val="auto"/>
                <w:w w:val="93"/>
              </w:rPr>
              <w:t xml:space="preserve">“(K) </w:t>
            </w:r>
            <w:r>
              <w:rPr>
                <w:rFonts w:ascii="Arial" w:cs="Arial" w:eastAsia="Arial" w:hAnsi="Arial"/>
                <w:sz w:val="22"/>
                <w:szCs w:val="22"/>
                <w:i w:val="1"/>
                <w:iCs w:val="1"/>
                <w:color w:val="auto"/>
                <w:w w:val="93"/>
              </w:rPr>
              <w:t>Adjusted EBITDA</w:t>
            </w:r>
            <w:r>
              <w:rPr>
                <w:rFonts w:ascii="Arial" w:cs="Arial" w:eastAsia="Arial" w:hAnsi="Arial"/>
                <w:sz w:val="22"/>
                <w:szCs w:val="22"/>
                <w:color w:val="auto"/>
                <w:w w:val="93"/>
              </w:rPr>
              <w:t>. As of the last day of each applicable fiscal quarter, the Company</w:t>
            </w:r>
          </w:p>
        </w:tc>
      </w:tr>
      <w:tr>
        <w:trPr>
          <w:trHeight w:val="243"/>
        </w:trPr>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580" w:type="dxa"/>
            <w:vAlign w:val="bottom"/>
            <w:gridSpan w:val="2"/>
          </w:tcPr>
          <w:p>
            <w:pPr>
              <w:ind w:left="940"/>
              <w:spacing w:after="0" w:line="243" w:lineRule="exact"/>
              <w:rPr>
                <w:sz w:val="20"/>
                <w:szCs w:val="20"/>
                <w:color w:val="auto"/>
              </w:rPr>
            </w:pPr>
            <w:r>
              <w:rPr>
                <w:rFonts w:ascii="Arial" w:cs="Arial" w:eastAsia="Arial" w:hAnsi="Arial"/>
                <w:sz w:val="22"/>
                <w:szCs w:val="22"/>
                <w:color w:val="auto"/>
                <w:w w:val="93"/>
              </w:rPr>
              <w:t>and its consolidated Subsidiaries shall have Adjusted EBITDA of not less than Target Adjusted</w:t>
            </w:r>
          </w:p>
        </w:tc>
      </w:tr>
      <w:tr>
        <w:trPr>
          <w:trHeight w:val="274"/>
        </w:trPr>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580" w:type="dxa"/>
            <w:vAlign w:val="bottom"/>
            <w:gridSpan w:val="2"/>
          </w:tcPr>
          <w:p>
            <w:pPr>
              <w:ind w:left="940"/>
              <w:spacing w:after="0"/>
              <w:rPr>
                <w:sz w:val="20"/>
                <w:szCs w:val="20"/>
                <w:color w:val="auto"/>
              </w:rPr>
            </w:pPr>
            <w:r>
              <w:rPr>
                <w:rFonts w:ascii="Arial" w:cs="Arial" w:eastAsia="Arial" w:hAnsi="Arial"/>
                <w:sz w:val="22"/>
                <w:szCs w:val="22"/>
                <w:color w:val="auto"/>
              </w:rPr>
              <w:t>EBITDA for the three (3)-month period ending on such day.”</w:t>
            </w:r>
          </w:p>
        </w:tc>
      </w:tr>
      <w:tr>
        <w:trPr>
          <w:trHeight w:val="459"/>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0" w:type="dxa"/>
            <w:vAlign w:val="bottom"/>
          </w:tcPr>
          <w:p>
            <w:pPr>
              <w:jc w:val="center"/>
              <w:ind w:right="4132"/>
              <w:spacing w:after="0"/>
              <w:rPr>
                <w:sz w:val="20"/>
                <w:szCs w:val="20"/>
                <w:color w:val="auto"/>
              </w:rPr>
            </w:pPr>
            <w:r>
              <w:rPr>
                <w:rFonts w:ascii="Arial" w:cs="Arial" w:eastAsia="Arial" w:hAnsi="Arial"/>
                <w:sz w:val="22"/>
                <w:szCs w:val="22"/>
                <w:b w:val="1"/>
                <w:bCs w:val="1"/>
                <w:color w:val="auto"/>
              </w:rPr>
              <w:t>ARTICLE II</w:t>
            </w:r>
          </w:p>
        </w:tc>
      </w:tr>
      <w:tr>
        <w:trPr>
          <w:trHeight w:val="459"/>
        </w:trPr>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580" w:type="dxa"/>
            <w:vAlign w:val="bottom"/>
            <w:gridSpan w:val="2"/>
          </w:tcPr>
          <w:p>
            <w:pPr>
              <w:jc w:val="center"/>
              <w:ind w:right="1532"/>
              <w:spacing w:after="0"/>
              <w:rPr>
                <w:sz w:val="20"/>
                <w:szCs w:val="20"/>
                <w:color w:val="auto"/>
              </w:rPr>
            </w:pPr>
            <w:r>
              <w:rPr>
                <w:rFonts w:ascii="Arial" w:cs="Arial" w:eastAsia="Arial" w:hAnsi="Arial"/>
                <w:sz w:val="22"/>
                <w:szCs w:val="22"/>
                <w:b w:val="1"/>
                <w:bCs w:val="1"/>
                <w:color w:val="auto"/>
                <w:w w:val="98"/>
              </w:rPr>
              <w:t>AMENDMENT OF WARRANTS</w:t>
            </w:r>
          </w:p>
        </w:tc>
      </w:tr>
      <w:tr>
        <w:trPr>
          <w:trHeight w:val="408"/>
        </w:trPr>
        <w:tc>
          <w:tcPr>
            <w:tcW w:w="520" w:type="dxa"/>
            <w:vAlign w:val="bottom"/>
          </w:tcPr>
          <w:p>
            <w:pPr>
              <w:jc w:val="right"/>
              <w:ind w:right="152"/>
              <w:spacing w:after="0"/>
              <w:rPr>
                <w:sz w:val="20"/>
                <w:szCs w:val="20"/>
                <w:color w:val="auto"/>
              </w:rPr>
            </w:pPr>
            <w:r>
              <w:rPr>
                <w:rFonts w:ascii="Arial" w:cs="Arial" w:eastAsia="Arial" w:hAnsi="Arial"/>
                <w:sz w:val="22"/>
                <w:szCs w:val="22"/>
                <w:color w:val="auto"/>
                <w:w w:val="78"/>
              </w:rPr>
              <w:t>2.1</w:t>
            </w:r>
          </w:p>
        </w:tc>
        <w:tc>
          <w:tcPr>
            <w:tcW w:w="106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22"/>
                <w:szCs w:val="22"/>
                <w:color w:val="auto"/>
                <w:w w:val="94"/>
              </w:rPr>
              <w:t>Section 1(b) of the Warrants. Section 1(b) of each of the Warrants is hereby amended and restated in its</w:t>
            </w:r>
          </w:p>
        </w:tc>
      </w:tr>
      <w:tr>
        <w:trPr>
          <w:trHeight w:val="20"/>
        </w:trPr>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73"/>
        </w:trPr>
        <w:tc>
          <w:tcPr>
            <w:tcW w:w="520" w:type="dxa"/>
            <w:vAlign w:val="bottom"/>
          </w:tcPr>
          <w:p>
            <w:pPr>
              <w:spacing w:after="0"/>
              <w:rPr>
                <w:sz w:val="23"/>
                <w:szCs w:val="23"/>
                <w:color w:val="auto"/>
              </w:rPr>
            </w:pPr>
          </w:p>
        </w:tc>
        <w:tc>
          <w:tcPr>
            <w:tcW w:w="10640" w:type="dxa"/>
            <w:vAlign w:val="bottom"/>
            <w:gridSpan w:val="3"/>
          </w:tcPr>
          <w:p>
            <w:pPr>
              <w:ind w:left="260"/>
              <w:spacing w:after="0"/>
              <w:rPr>
                <w:sz w:val="20"/>
                <w:szCs w:val="20"/>
                <w:color w:val="auto"/>
              </w:rPr>
            </w:pPr>
            <w:r>
              <w:rPr>
                <w:rFonts w:ascii="Arial" w:cs="Arial" w:eastAsia="Arial" w:hAnsi="Arial"/>
                <w:sz w:val="22"/>
                <w:szCs w:val="22"/>
                <w:color w:val="auto"/>
              </w:rPr>
              <w:t>entirety to read as follows:</w:t>
            </w:r>
          </w:p>
        </w:tc>
      </w:tr>
    </w:tbl>
    <w:p>
      <w:pPr>
        <w:spacing w:after="0" w:line="179" w:lineRule="exact"/>
        <w:rPr>
          <w:sz w:val="20"/>
          <w:szCs w:val="20"/>
          <w:color w:val="auto"/>
        </w:rPr>
      </w:pPr>
    </w:p>
    <w:p>
      <w:pPr>
        <w:ind w:left="2600" w:right="20" w:firstLine="664"/>
        <w:spacing w:after="0" w:line="256"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Exercise Price</w:t>
      </w:r>
      <w:r>
        <w:rPr>
          <w:rFonts w:ascii="Arial" w:cs="Arial" w:eastAsia="Arial" w:hAnsi="Arial"/>
          <w:sz w:val="22"/>
          <w:szCs w:val="22"/>
          <w:color w:val="auto"/>
        </w:rPr>
        <w:t>. For purposes of this Warrant, “</w:t>
      </w:r>
      <w:r>
        <w:rPr>
          <w:rFonts w:ascii="Arial" w:cs="Arial" w:eastAsia="Arial" w:hAnsi="Arial"/>
          <w:sz w:val="22"/>
          <w:szCs w:val="22"/>
          <w:b w:val="1"/>
          <w:bCs w:val="1"/>
          <w:color w:val="auto"/>
        </w:rPr>
        <w:t>Exercise Price</w:t>
      </w:r>
      <w:r>
        <w:rPr>
          <w:rFonts w:ascii="Arial" w:cs="Arial" w:eastAsia="Arial" w:hAnsi="Arial"/>
          <w:sz w:val="22"/>
          <w:szCs w:val="22"/>
          <w:color w:val="auto"/>
        </w:rPr>
        <w:t>” means $0.01 per share, subject to adjustment as provided herein.”</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right="20" w:firstLine="864"/>
        <w:spacing w:after="0" w:line="236" w:lineRule="auto"/>
        <w:rPr>
          <w:sz w:val="20"/>
          <w:szCs w:val="20"/>
          <w:color w:val="auto"/>
        </w:rPr>
      </w:pPr>
      <w:r>
        <w:rPr>
          <w:rFonts w:ascii="Arial" w:cs="Arial" w:eastAsia="Arial" w:hAnsi="Arial"/>
          <w:sz w:val="22"/>
          <w:szCs w:val="22"/>
          <w:color w:val="auto"/>
        </w:rPr>
        <w:t>3.1.</w:t>
      </w:r>
      <w:r>
        <w:rPr>
          <w:rFonts w:ascii="Arial" w:cs="Arial" w:eastAsia="Arial" w:hAnsi="Arial"/>
          <w:sz w:val="22"/>
          <w:szCs w:val="22"/>
          <w:u w:val="single" w:color="auto"/>
          <w:color w:val="auto"/>
        </w:rPr>
        <w:t>Rule 144 Holding Period</w:t>
      </w:r>
      <w:r>
        <w:rPr>
          <w:rFonts w:ascii="Arial" w:cs="Arial" w:eastAsia="Arial" w:hAnsi="Arial"/>
          <w:sz w:val="22"/>
          <w:szCs w:val="22"/>
          <w:color w:val="auto"/>
        </w:rPr>
        <w:t>.The Company and the Holder acknowledge and agree that the Notes and Warrants will continue to have a holding period under Rule 144 ("</w:t>
      </w:r>
      <w:r>
        <w:rPr>
          <w:rFonts w:ascii="Arial" w:cs="Arial" w:eastAsia="Arial" w:hAnsi="Arial"/>
          <w:sz w:val="22"/>
          <w:szCs w:val="22"/>
          <w:b w:val="1"/>
          <w:bCs w:val="1"/>
          <w:color w:val="auto"/>
        </w:rPr>
        <w:t>Rule 144</w:t>
      </w:r>
      <w:r>
        <w:rPr>
          <w:rFonts w:ascii="Arial" w:cs="Arial" w:eastAsia="Arial" w:hAnsi="Arial"/>
          <w:sz w:val="22"/>
          <w:szCs w:val="22"/>
          <w:color w:val="auto"/>
        </w:rPr>
        <w:t>") promulgated under the Securities Act of 1933, as amended, that will be deemed to have commenced as of the dates set forth below. The Company further acknowledges and agrees that it will neither assert nor maintain a contrary position with respect to the date of commencement of the holding period under Rule 144 with respect to the Notes or the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00" w:type="dxa"/>
            <w:vAlign w:val="bottom"/>
          </w:tcPr>
          <w:p>
            <w:pPr>
              <w:ind w:left="80"/>
              <w:spacing w:after="0"/>
              <w:rPr>
                <w:sz w:val="20"/>
                <w:szCs w:val="20"/>
                <w:color w:val="auto"/>
              </w:rPr>
            </w:pPr>
            <w:r>
              <w:rPr>
                <w:rFonts w:ascii="Arial" w:cs="Arial" w:eastAsia="Arial" w:hAnsi="Arial"/>
                <w:sz w:val="22"/>
                <w:szCs w:val="22"/>
                <w:color w:val="auto"/>
              </w:rPr>
              <w:t>(a)</w:t>
            </w:r>
          </w:p>
        </w:tc>
        <w:tc>
          <w:tcPr>
            <w:tcW w:w="10260" w:type="dxa"/>
            <w:vAlign w:val="bottom"/>
            <w:gridSpan w:val="2"/>
          </w:tcPr>
          <w:p>
            <w:pPr>
              <w:ind w:left="660"/>
              <w:spacing w:after="0"/>
              <w:rPr>
                <w:sz w:val="20"/>
                <w:szCs w:val="20"/>
                <w:color w:val="auto"/>
              </w:rPr>
            </w:pPr>
            <w:r>
              <w:rPr>
                <w:rFonts w:ascii="Arial" w:cs="Arial" w:eastAsia="Arial" w:hAnsi="Arial"/>
                <w:sz w:val="22"/>
                <w:szCs w:val="22"/>
                <w:color w:val="auto"/>
              </w:rPr>
              <w:t>Note Certificate No. A-3 - April 8, 2021</w:t>
            </w:r>
          </w:p>
        </w:tc>
      </w:tr>
      <w:tr>
        <w:trPr>
          <w:trHeight w:val="459"/>
        </w:trPr>
        <w:tc>
          <w:tcPr>
            <w:tcW w:w="1000" w:type="dxa"/>
            <w:vAlign w:val="bottom"/>
          </w:tcPr>
          <w:p>
            <w:pPr>
              <w:ind w:left="80"/>
              <w:spacing w:after="0"/>
              <w:rPr>
                <w:sz w:val="20"/>
                <w:szCs w:val="20"/>
                <w:color w:val="auto"/>
              </w:rPr>
            </w:pPr>
            <w:r>
              <w:rPr>
                <w:rFonts w:ascii="Arial" w:cs="Arial" w:eastAsia="Arial" w:hAnsi="Arial"/>
                <w:sz w:val="22"/>
                <w:szCs w:val="22"/>
                <w:color w:val="auto"/>
              </w:rPr>
              <w:t>(b)</w:t>
            </w:r>
          </w:p>
        </w:tc>
        <w:tc>
          <w:tcPr>
            <w:tcW w:w="10260" w:type="dxa"/>
            <w:vAlign w:val="bottom"/>
            <w:gridSpan w:val="2"/>
          </w:tcPr>
          <w:p>
            <w:pPr>
              <w:ind w:left="660"/>
              <w:spacing w:after="0"/>
              <w:rPr>
                <w:sz w:val="20"/>
                <w:szCs w:val="20"/>
                <w:color w:val="auto"/>
              </w:rPr>
            </w:pPr>
            <w:r>
              <w:rPr>
                <w:rFonts w:ascii="Arial" w:cs="Arial" w:eastAsia="Arial" w:hAnsi="Arial"/>
                <w:sz w:val="22"/>
                <w:szCs w:val="22"/>
                <w:color w:val="auto"/>
              </w:rPr>
              <w:t>Note Certificate No. A-5 - April 8, 2021</w:t>
            </w:r>
          </w:p>
        </w:tc>
      </w:tr>
      <w:tr>
        <w:trPr>
          <w:trHeight w:val="459"/>
        </w:trPr>
        <w:tc>
          <w:tcPr>
            <w:tcW w:w="1000" w:type="dxa"/>
            <w:vAlign w:val="bottom"/>
          </w:tcPr>
          <w:p>
            <w:pPr>
              <w:ind w:left="80"/>
              <w:spacing w:after="0"/>
              <w:rPr>
                <w:sz w:val="20"/>
                <w:szCs w:val="20"/>
                <w:color w:val="auto"/>
              </w:rPr>
            </w:pPr>
            <w:r>
              <w:rPr>
                <w:rFonts w:ascii="Arial" w:cs="Arial" w:eastAsia="Arial" w:hAnsi="Arial"/>
                <w:sz w:val="22"/>
                <w:szCs w:val="22"/>
                <w:color w:val="auto"/>
              </w:rPr>
              <w:t>(c)</w:t>
            </w:r>
          </w:p>
        </w:tc>
        <w:tc>
          <w:tcPr>
            <w:tcW w:w="10260" w:type="dxa"/>
            <w:vAlign w:val="bottom"/>
            <w:gridSpan w:val="2"/>
          </w:tcPr>
          <w:p>
            <w:pPr>
              <w:ind w:left="660"/>
              <w:spacing w:after="0"/>
              <w:rPr>
                <w:sz w:val="20"/>
                <w:szCs w:val="20"/>
                <w:color w:val="auto"/>
              </w:rPr>
            </w:pPr>
            <w:r>
              <w:rPr>
                <w:rFonts w:ascii="Arial" w:cs="Arial" w:eastAsia="Arial" w:hAnsi="Arial"/>
                <w:sz w:val="22"/>
                <w:szCs w:val="22"/>
                <w:color w:val="auto"/>
              </w:rPr>
              <w:t>Warrant No. HTCS-2 - February 2, 2021</w:t>
            </w:r>
          </w:p>
        </w:tc>
      </w:tr>
      <w:tr>
        <w:trPr>
          <w:trHeight w:val="459"/>
        </w:trPr>
        <w:tc>
          <w:tcPr>
            <w:tcW w:w="1000" w:type="dxa"/>
            <w:vAlign w:val="bottom"/>
          </w:tcPr>
          <w:p>
            <w:pPr>
              <w:ind w:left="80"/>
              <w:spacing w:after="0"/>
              <w:rPr>
                <w:sz w:val="20"/>
                <w:szCs w:val="20"/>
                <w:color w:val="auto"/>
              </w:rPr>
            </w:pPr>
            <w:r>
              <w:rPr>
                <w:rFonts w:ascii="Arial" w:cs="Arial" w:eastAsia="Arial" w:hAnsi="Arial"/>
                <w:sz w:val="22"/>
                <w:szCs w:val="22"/>
                <w:color w:val="auto"/>
              </w:rPr>
              <w:t>(d)</w:t>
            </w:r>
          </w:p>
        </w:tc>
        <w:tc>
          <w:tcPr>
            <w:tcW w:w="2540" w:type="dxa"/>
            <w:vAlign w:val="bottom"/>
          </w:tcPr>
          <w:p>
            <w:pPr>
              <w:ind w:left="660"/>
              <w:spacing w:after="0"/>
              <w:rPr>
                <w:sz w:val="20"/>
                <w:szCs w:val="20"/>
                <w:color w:val="auto"/>
              </w:rPr>
            </w:pPr>
            <w:r>
              <w:rPr>
                <w:rFonts w:ascii="Arial" w:cs="Arial" w:eastAsia="Arial" w:hAnsi="Arial"/>
                <w:sz w:val="22"/>
                <w:szCs w:val="22"/>
                <w:color w:val="auto"/>
                <w:w w:val="91"/>
              </w:rPr>
              <w:t>Warrant No. HTCS-3</w:t>
            </w:r>
          </w:p>
        </w:tc>
        <w:tc>
          <w:tcPr>
            <w:tcW w:w="7720" w:type="dxa"/>
            <w:vAlign w:val="bottom"/>
          </w:tcPr>
          <w:p>
            <w:pPr>
              <w:ind w:left="20"/>
              <w:spacing w:after="0"/>
              <w:rPr>
                <w:sz w:val="20"/>
                <w:szCs w:val="20"/>
                <w:color w:val="auto"/>
              </w:rPr>
            </w:pPr>
            <w:r>
              <w:rPr>
                <w:rFonts w:ascii="Arial" w:cs="Arial" w:eastAsia="Arial" w:hAnsi="Arial"/>
                <w:sz w:val="22"/>
                <w:szCs w:val="22"/>
                <w:color w:val="auto"/>
              </w:rPr>
              <w:t>- February 9, 2021</w:t>
            </w:r>
          </w:p>
        </w:tc>
      </w:tr>
      <w:tr>
        <w:trPr>
          <w:trHeight w:val="459"/>
        </w:trPr>
        <w:tc>
          <w:tcPr>
            <w:tcW w:w="1000" w:type="dxa"/>
            <w:vAlign w:val="bottom"/>
          </w:tcPr>
          <w:p>
            <w:pPr>
              <w:ind w:left="80"/>
              <w:spacing w:after="0"/>
              <w:rPr>
                <w:sz w:val="20"/>
                <w:szCs w:val="20"/>
                <w:color w:val="auto"/>
              </w:rPr>
            </w:pPr>
            <w:r>
              <w:rPr>
                <w:rFonts w:ascii="Arial" w:cs="Arial" w:eastAsia="Arial" w:hAnsi="Arial"/>
                <w:sz w:val="22"/>
                <w:szCs w:val="22"/>
                <w:color w:val="auto"/>
              </w:rPr>
              <w:t>(e)</w:t>
            </w:r>
          </w:p>
        </w:tc>
        <w:tc>
          <w:tcPr>
            <w:tcW w:w="2540" w:type="dxa"/>
            <w:vAlign w:val="bottom"/>
          </w:tcPr>
          <w:p>
            <w:pPr>
              <w:ind w:left="660"/>
              <w:spacing w:after="0"/>
              <w:rPr>
                <w:sz w:val="20"/>
                <w:szCs w:val="20"/>
                <w:color w:val="auto"/>
              </w:rPr>
            </w:pPr>
            <w:r>
              <w:rPr>
                <w:rFonts w:ascii="Arial" w:cs="Arial" w:eastAsia="Arial" w:hAnsi="Arial"/>
                <w:sz w:val="22"/>
                <w:szCs w:val="22"/>
                <w:color w:val="auto"/>
                <w:w w:val="91"/>
              </w:rPr>
              <w:t>Warrant No. HTCS-5</w:t>
            </w:r>
          </w:p>
        </w:tc>
        <w:tc>
          <w:tcPr>
            <w:tcW w:w="7720" w:type="dxa"/>
            <w:vAlign w:val="bottom"/>
          </w:tcPr>
          <w:p>
            <w:pPr>
              <w:ind w:left="20"/>
              <w:spacing w:after="0"/>
              <w:rPr>
                <w:sz w:val="20"/>
                <w:szCs w:val="20"/>
                <w:color w:val="auto"/>
              </w:rPr>
            </w:pPr>
            <w:r>
              <w:rPr>
                <w:rFonts w:ascii="Arial" w:cs="Arial" w:eastAsia="Arial" w:hAnsi="Arial"/>
                <w:sz w:val="22"/>
                <w:szCs w:val="22"/>
                <w:color w:val="auto"/>
              </w:rPr>
              <w:t>- December 1, 2020</w:t>
            </w:r>
          </w:p>
        </w:tc>
      </w:tr>
      <w:tr>
        <w:trPr>
          <w:trHeight w:val="459"/>
        </w:trPr>
        <w:tc>
          <w:tcPr>
            <w:tcW w:w="1000" w:type="dxa"/>
            <w:vAlign w:val="bottom"/>
          </w:tcPr>
          <w:p>
            <w:pPr>
              <w:ind w:left="80"/>
              <w:spacing w:after="0"/>
              <w:rPr>
                <w:sz w:val="20"/>
                <w:szCs w:val="20"/>
                <w:color w:val="auto"/>
              </w:rPr>
            </w:pPr>
            <w:r>
              <w:rPr>
                <w:rFonts w:ascii="Arial" w:cs="Arial" w:eastAsia="Arial" w:hAnsi="Arial"/>
                <w:sz w:val="22"/>
                <w:szCs w:val="22"/>
                <w:color w:val="auto"/>
              </w:rPr>
              <w:t>(f)</w:t>
            </w:r>
          </w:p>
        </w:tc>
        <w:tc>
          <w:tcPr>
            <w:tcW w:w="2540" w:type="dxa"/>
            <w:vAlign w:val="bottom"/>
          </w:tcPr>
          <w:p>
            <w:pPr>
              <w:ind w:left="660"/>
              <w:spacing w:after="0"/>
              <w:rPr>
                <w:sz w:val="20"/>
                <w:szCs w:val="20"/>
                <w:color w:val="auto"/>
              </w:rPr>
            </w:pPr>
            <w:r>
              <w:rPr>
                <w:rFonts w:ascii="Arial" w:cs="Arial" w:eastAsia="Arial" w:hAnsi="Arial"/>
                <w:sz w:val="22"/>
                <w:szCs w:val="22"/>
                <w:color w:val="auto"/>
                <w:w w:val="91"/>
              </w:rPr>
              <w:t>Warrant No. HTCS-6</w:t>
            </w:r>
          </w:p>
        </w:tc>
        <w:tc>
          <w:tcPr>
            <w:tcW w:w="7720" w:type="dxa"/>
            <w:vAlign w:val="bottom"/>
          </w:tcPr>
          <w:p>
            <w:pPr>
              <w:ind w:left="20"/>
              <w:spacing w:after="0"/>
              <w:rPr>
                <w:sz w:val="20"/>
                <w:szCs w:val="20"/>
                <w:color w:val="auto"/>
              </w:rPr>
            </w:pPr>
            <w:r>
              <w:rPr>
                <w:rFonts w:ascii="Arial" w:cs="Arial" w:eastAsia="Arial" w:hAnsi="Arial"/>
                <w:sz w:val="22"/>
                <w:szCs w:val="22"/>
                <w:color w:val="auto"/>
              </w:rPr>
              <w:t>- April 8, 2021</w:t>
            </w:r>
          </w:p>
        </w:tc>
      </w:tr>
      <w:tr>
        <w:trPr>
          <w:trHeight w:val="459"/>
        </w:trPr>
        <w:tc>
          <w:tcPr>
            <w:tcW w:w="1000" w:type="dxa"/>
            <w:vAlign w:val="bottom"/>
          </w:tcPr>
          <w:p>
            <w:pPr>
              <w:ind w:left="80"/>
              <w:spacing w:after="0"/>
              <w:rPr>
                <w:sz w:val="20"/>
                <w:szCs w:val="20"/>
                <w:color w:val="auto"/>
              </w:rPr>
            </w:pPr>
            <w:r>
              <w:rPr>
                <w:rFonts w:ascii="Arial" w:cs="Arial" w:eastAsia="Arial" w:hAnsi="Arial"/>
                <w:sz w:val="22"/>
                <w:szCs w:val="22"/>
                <w:color w:val="auto"/>
              </w:rPr>
              <w:t>(g)</w:t>
            </w:r>
          </w:p>
        </w:tc>
        <w:tc>
          <w:tcPr>
            <w:tcW w:w="2540" w:type="dxa"/>
            <w:vAlign w:val="bottom"/>
          </w:tcPr>
          <w:p>
            <w:pPr>
              <w:ind w:left="660"/>
              <w:spacing w:after="0"/>
              <w:rPr>
                <w:sz w:val="20"/>
                <w:szCs w:val="20"/>
                <w:color w:val="auto"/>
              </w:rPr>
            </w:pPr>
            <w:r>
              <w:rPr>
                <w:rFonts w:ascii="Arial" w:cs="Arial" w:eastAsia="Arial" w:hAnsi="Arial"/>
                <w:sz w:val="22"/>
                <w:szCs w:val="22"/>
                <w:color w:val="auto"/>
                <w:w w:val="91"/>
              </w:rPr>
              <w:t>Warrant No. HTCS-7</w:t>
            </w:r>
          </w:p>
        </w:tc>
        <w:tc>
          <w:tcPr>
            <w:tcW w:w="7720" w:type="dxa"/>
            <w:vAlign w:val="bottom"/>
          </w:tcPr>
          <w:p>
            <w:pPr>
              <w:ind w:left="20"/>
              <w:spacing w:after="0"/>
              <w:rPr>
                <w:sz w:val="20"/>
                <w:szCs w:val="20"/>
                <w:color w:val="auto"/>
              </w:rPr>
            </w:pPr>
            <w:r>
              <w:rPr>
                <w:rFonts w:ascii="Arial" w:cs="Arial" w:eastAsia="Arial" w:hAnsi="Arial"/>
                <w:sz w:val="22"/>
                <w:szCs w:val="22"/>
                <w:color w:val="auto"/>
              </w:rPr>
              <w:t>- February 2, 2021</w:t>
            </w:r>
          </w:p>
        </w:tc>
      </w:tr>
      <w:tr>
        <w:trPr>
          <w:trHeight w:val="753"/>
        </w:trPr>
        <w:tc>
          <w:tcPr>
            <w:tcW w:w="10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77" w:name="page78"/>
    <w:bookmarkEnd w:id="77"/>
    <w:p>
      <w:pPr>
        <w:ind w:left="80"/>
        <w:spacing w:after="0"/>
        <w:tabs>
          <w:tab w:leader="none" w:pos="164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Warrant No. HTCS-8 - April 8, 2021</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3.2.</w:t>
      </w:r>
      <w:r>
        <w:rPr>
          <w:rFonts w:ascii="Arial" w:cs="Arial" w:eastAsia="Arial" w:hAnsi="Arial"/>
          <w:sz w:val="19"/>
          <w:szCs w:val="19"/>
          <w:u w:val="single" w:color="auto"/>
          <w:color w:val="auto"/>
        </w:rPr>
        <w:t>Disclosure of Amendment</w:t>
      </w:r>
      <w:r>
        <w:rPr>
          <w:rFonts w:ascii="Arial" w:cs="Arial" w:eastAsia="Arial" w:hAnsi="Arial"/>
          <w:sz w:val="19"/>
          <w:szCs w:val="19"/>
          <w:color w:val="auto"/>
        </w:rPr>
        <w:t>.No later than 9:15 a.m., New York time, on September 23, 2021, the Company shall file a Current Report on Form 8-K (the “</w:t>
      </w:r>
      <w:r>
        <w:rPr>
          <w:rFonts w:ascii="Arial" w:cs="Arial" w:eastAsia="Arial" w:hAnsi="Arial"/>
          <w:sz w:val="19"/>
          <w:szCs w:val="19"/>
          <w:b w:val="1"/>
          <w:bCs w:val="1"/>
          <w:i w:val="1"/>
          <w:iCs w:val="1"/>
          <w:color w:val="auto"/>
        </w:rPr>
        <w:t>Form 8-K</w:t>
      </w:r>
      <w:r>
        <w:rPr>
          <w:rFonts w:ascii="Arial" w:cs="Arial" w:eastAsia="Arial" w:hAnsi="Arial"/>
          <w:sz w:val="19"/>
          <w:szCs w:val="19"/>
          <w:color w:val="auto"/>
        </w:rPr>
        <w:t xml:space="preserve">”) disclosing all the material terms of the transactions contemplated by this Amendment and those certain letter agreements </w:t>
      </w:r>
      <w:r>
        <w:rPr>
          <w:rFonts w:ascii="Arial" w:cs="Arial" w:eastAsia="Arial" w:hAnsi="Arial"/>
          <w:sz w:val="19"/>
          <w:szCs w:val="19"/>
          <w:i w:val="1"/>
          <w:iCs w:val="1"/>
          <w:color w:val="auto"/>
        </w:rPr>
        <w:t>Re: Agreement re Events of Default</w:t>
      </w:r>
      <w:r>
        <w:rPr>
          <w:rFonts w:ascii="Arial" w:cs="Arial" w:eastAsia="Arial" w:hAnsi="Arial"/>
          <w:sz w:val="19"/>
          <w:szCs w:val="19"/>
          <w:color w:val="auto"/>
        </w:rPr>
        <w:t>, dated as of September 22, 2021, entered into between the Company and each of HTI SA and HTI ON (the “</w:t>
      </w:r>
      <w:r>
        <w:rPr>
          <w:rFonts w:ascii="Arial" w:cs="Arial" w:eastAsia="Arial" w:hAnsi="Arial"/>
          <w:sz w:val="19"/>
          <w:szCs w:val="19"/>
          <w:b w:val="1"/>
          <w:bCs w:val="1"/>
          <w:i w:val="1"/>
          <w:iCs w:val="1"/>
          <w:color w:val="auto"/>
        </w:rPr>
        <w:t>Letter Agreements</w:t>
      </w:r>
      <w:r>
        <w:rPr>
          <w:rFonts w:ascii="Arial" w:cs="Arial" w:eastAsia="Arial" w:hAnsi="Arial"/>
          <w:sz w:val="19"/>
          <w:szCs w:val="19"/>
          <w:color w:val="auto"/>
        </w:rPr>
        <w:t>”). From and after the issuance of the Form 8-K, the Company shall have disclosed all material, nonpublic information (if any) provided to HTI SA and HTI ON by the Company or any of its subsidiaries or any of their respective officers, directors, employees or agents and neither HTI SA nor HTI ON shall be in possession of any material, non-public information regarding the Company or any of its Subsidiaries.</w:t>
      </w:r>
    </w:p>
    <w:p>
      <w:pPr>
        <w:spacing w:after="0" w:line="15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3.3.</w:t>
      </w:r>
      <w:r>
        <w:rPr>
          <w:rFonts w:ascii="Arial" w:cs="Arial" w:eastAsia="Arial" w:hAnsi="Arial"/>
          <w:sz w:val="21"/>
          <w:szCs w:val="21"/>
          <w:u w:val="single" w:color="auto"/>
          <w:color w:val="auto"/>
        </w:rPr>
        <w:t>Captions</w:t>
      </w:r>
      <w:r>
        <w:rPr>
          <w:rFonts w:ascii="Arial" w:cs="Arial" w:eastAsia="Arial" w:hAnsi="Arial"/>
          <w:sz w:val="21"/>
          <w:szCs w:val="21"/>
          <w:color w:val="auto"/>
        </w:rPr>
        <w:t>. The headings contained in this Amendment are for reference purposes only and shall not affect in any way the meaning or interpretation of this Amendment. Except as otherwise indicated, all references in this Amendment to “Sections” are intended to refer to the Sections or Articles of the Notes or Warrants, as applicable.</w:t>
      </w:r>
    </w:p>
    <w:p>
      <w:pPr>
        <w:spacing w:after="0" w:line="169"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Jurisdiction</w:t>
      </w:r>
      <w:r>
        <w:rPr>
          <w:rFonts w:ascii="Arial" w:cs="Arial" w:eastAsia="Arial" w:hAnsi="Arial"/>
          <w:sz w:val="21"/>
          <w:szCs w:val="21"/>
          <w:color w:val="auto"/>
        </w:rPr>
        <w:t>. All questions concerning the construction, validity, enforcement and interpretation of this Amendment shall be determined in accordance with the provisions of the Securities Purchase and Exchange Agreement.</w:t>
      </w:r>
    </w:p>
    <w:p>
      <w:pPr>
        <w:spacing w:after="0" w:line="151" w:lineRule="exact"/>
        <w:rPr>
          <w:sz w:val="20"/>
          <w:szCs w:val="20"/>
          <w:color w:val="auto"/>
        </w:rPr>
      </w:pPr>
    </w:p>
    <w:p>
      <w:pPr>
        <w:jc w:val="both"/>
        <w:ind w:left="860" w:hanging="784"/>
        <w:spacing w:after="0" w:line="248" w:lineRule="auto"/>
        <w:tabs>
          <w:tab w:leader="none" w:pos="8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1"/>
          <w:szCs w:val="21"/>
          <w:u w:val="single" w:color="auto"/>
          <w:color w:val="auto"/>
        </w:rPr>
        <w:t>Effectiveness of Amendments</w:t>
      </w:r>
      <w:r>
        <w:rPr>
          <w:rFonts w:ascii="Arial" w:cs="Arial" w:eastAsia="Arial" w:hAnsi="Arial"/>
          <w:sz w:val="21"/>
          <w:szCs w:val="21"/>
          <w:color w:val="auto"/>
        </w:rPr>
        <w:t>. The amendments to the Notes and Warrants set forth in Articles I and II hereof</w:t>
      </w:r>
      <w:r>
        <w:rPr>
          <w:rFonts w:ascii="Arial" w:cs="Arial" w:eastAsia="Arial" w:hAnsi="Arial"/>
          <w:sz w:val="21"/>
          <w:szCs w:val="21"/>
          <w:u w:val="single" w:color="auto"/>
          <w:color w:val="auto"/>
        </w:rPr>
        <w:t xml:space="preserve"> </w:t>
      </w:r>
      <w:r>
        <w:rPr>
          <w:rFonts w:ascii="Arial" w:cs="Arial" w:eastAsia="Arial" w:hAnsi="Arial"/>
          <w:sz w:val="21"/>
          <w:szCs w:val="21"/>
          <w:color w:val="auto"/>
        </w:rPr>
        <w:t>shall become effective upon execution by the Company and HTI SA and HTI ON of this Amendment and the Letter Agreements; provided, however, that in the event of any breach of the terms and conditions by the Company of the Letter Agreements or failure to deliver the shares of Common Stock pursuant to Event of Default Stock Payment Notices (as such term is used in the Letter Agreements) as contemplated by the Letter Agreements, each of HTI SA and HTI ON shall have the right to void this Amendment in whole or in part.</w:t>
      </w:r>
    </w:p>
    <w:p>
      <w:pPr>
        <w:spacing w:after="0" w:line="177" w:lineRule="exact"/>
        <w:rPr>
          <w:sz w:val="20"/>
          <w:szCs w:val="20"/>
          <w:color w:val="auto"/>
        </w:rPr>
      </w:pPr>
    </w:p>
    <w:p>
      <w:pPr>
        <w:jc w:val="both"/>
        <w:ind w:left="860" w:right="20" w:hanging="784"/>
        <w:spacing w:after="0" w:line="250" w:lineRule="auto"/>
        <w:tabs>
          <w:tab w:leader="none" w:pos="8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u w:val="single" w:color="auto"/>
          <w:color w:val="auto"/>
        </w:rPr>
        <w:t>No Other Amendment</w:t>
      </w:r>
      <w:r>
        <w:rPr>
          <w:rFonts w:ascii="Arial" w:cs="Arial" w:eastAsia="Arial" w:hAnsi="Arial"/>
          <w:sz w:val="22"/>
          <w:szCs w:val="22"/>
          <w:color w:val="auto"/>
        </w:rPr>
        <w:t>. Except for the matters expressly set forth in this Amendment, all other terms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Notes and Warrants are hereby ratified and shall remain unchanged and in full force and effect.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3.7.</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two or more identical counterparts, all of which shall be considered one and the same agreement and shall become effective when counterparts have been signed by each party and delivered to the other party.</w:t>
      </w:r>
    </w:p>
    <w:p>
      <w:pPr>
        <w:spacing w:after="0" w:line="18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3.8.</w:t>
      </w:r>
      <w:r>
        <w:rPr>
          <w:rFonts w:ascii="Arial" w:cs="Arial" w:eastAsia="Arial" w:hAnsi="Arial"/>
          <w:sz w:val="21"/>
          <w:szCs w:val="21"/>
          <w:u w:val="single" w:color="auto"/>
          <w:color w:val="auto"/>
        </w:rPr>
        <w:t>Electronic and Facsimile Signatures</w:t>
      </w:r>
      <w:r>
        <w:rPr>
          <w:rFonts w:ascii="Arial" w:cs="Arial" w:eastAsia="Arial" w:hAnsi="Arial"/>
          <w:sz w:val="21"/>
          <w:szCs w:val="21"/>
          <w:color w:val="auto"/>
        </w:rPr>
        <w:t>.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8" w:name="page79"/>
    <w:bookmarkEnd w:id="78"/>
    <w:p>
      <w:pPr>
        <w:ind w:firstLine="864"/>
        <w:spacing w:after="0" w:line="250" w:lineRule="auto"/>
        <w:rPr>
          <w:sz w:val="20"/>
          <w:szCs w:val="20"/>
          <w:color w:val="auto"/>
        </w:rPr>
      </w:pPr>
      <w:r>
        <w:rPr>
          <w:rFonts w:ascii="Arial" w:cs="Arial" w:eastAsia="Arial" w:hAnsi="Arial"/>
          <w:sz w:val="22"/>
          <w:szCs w:val="22"/>
          <w:color w:val="auto"/>
        </w:rPr>
        <w:t>The parties hereto have executed this Second Omnibus Amendment to Senior Secured Notes due 2024 and Warrants to Purchase Common Stock as of the date first written above.</w:t>
      </w:r>
    </w:p>
    <w:p>
      <w:pPr>
        <w:spacing w:after="0" w:line="385"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ATERIAN, INC.</w:t>
      </w:r>
    </w:p>
    <w:p>
      <w:pPr>
        <w:spacing w:after="0" w:line="399" w:lineRule="exact"/>
        <w:rPr>
          <w:sz w:val="20"/>
          <w:szCs w:val="20"/>
          <w:color w:val="auto"/>
        </w:rPr>
      </w:pPr>
    </w:p>
    <w:tbl>
      <w:tblPr>
        <w:tblLayout w:type="fixed"/>
        <w:tblInd w:w="4760" w:type="dxa"/>
        <w:tblCellMar>
          <w:top w:w="0" w:type="dxa"/>
          <w:left w:w="0" w:type="dxa"/>
          <w:bottom w:w="0" w:type="dxa"/>
          <w:right w:w="0" w:type="dxa"/>
        </w:tblCellMar>
      </w:tblPr>
      <w:tr>
        <w:trPr>
          <w:trHeight w:val="253"/>
        </w:trPr>
        <w:tc>
          <w:tcPr>
            <w:tcW w:w="4360" w:type="dxa"/>
            <w:vAlign w:val="bottom"/>
            <w:gridSpan w:val="2"/>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/s/ Arturo</w:t>
            </w:r>
          </w:p>
        </w:tc>
      </w:tr>
      <w:tr>
        <w:trPr>
          <w:trHeight w:val="223"/>
        </w:trPr>
        <w:tc>
          <w:tcPr>
            <w:tcW w:w="4360" w:type="dxa"/>
            <w:vAlign w:val="bottom"/>
            <w:gridSpan w:val="2"/>
          </w:tcPr>
          <w:p>
            <w:pPr>
              <w:spacing w:after="0" w:line="223" w:lineRule="exact"/>
              <w:rPr>
                <w:sz w:val="20"/>
                <w:szCs w:val="20"/>
                <w:color w:val="auto"/>
              </w:rPr>
            </w:pPr>
            <w:r>
              <w:rPr>
                <w:rFonts w:ascii="Arial" w:cs="Arial" w:eastAsia="Arial" w:hAnsi="Arial"/>
                <w:sz w:val="22"/>
                <w:szCs w:val="22"/>
                <w:color w:val="auto"/>
              </w:rPr>
              <w:t>Rodriguez</w:t>
            </w:r>
          </w:p>
        </w:tc>
        <w:tc>
          <w:tcPr>
            <w:tcW w:w="840" w:type="dxa"/>
            <w:vAlign w:val="bottom"/>
          </w:tcPr>
          <w:p>
            <w:pPr>
              <w:spacing w:after="0"/>
              <w:rPr>
                <w:sz w:val="19"/>
                <w:szCs w:val="19"/>
                <w:color w:val="auto"/>
              </w:rPr>
            </w:pPr>
          </w:p>
        </w:tc>
      </w:tr>
      <w:tr>
        <w:trPr>
          <w:trHeight w:val="242"/>
        </w:trPr>
        <w:tc>
          <w:tcPr>
            <w:tcW w:w="900" w:type="dxa"/>
            <w:vAlign w:val="bottom"/>
            <w:tcBorders>
              <w:top w:val="single" w:sz="8" w:color="auto"/>
            </w:tcBorders>
          </w:tcPr>
          <w:p>
            <w:pPr>
              <w:spacing w:after="0"/>
              <w:rPr>
                <w:sz w:val="21"/>
                <w:szCs w:val="21"/>
                <w:color w:val="auto"/>
              </w:rPr>
            </w:pPr>
          </w:p>
        </w:tc>
        <w:tc>
          <w:tcPr>
            <w:tcW w:w="3460" w:type="dxa"/>
            <w:vAlign w:val="bottom"/>
          </w:tcPr>
          <w:p>
            <w:pPr>
              <w:ind w:left="2220"/>
              <w:spacing w:after="0" w:line="242" w:lineRule="exact"/>
              <w:rPr>
                <w:sz w:val="20"/>
                <w:szCs w:val="20"/>
                <w:color w:val="auto"/>
              </w:rPr>
            </w:pPr>
            <w:r>
              <w:rPr>
                <w:rFonts w:ascii="Arial" w:cs="Arial" w:eastAsia="Arial" w:hAnsi="Arial"/>
                <w:sz w:val="22"/>
                <w:szCs w:val="22"/>
                <w:color w:val="auto"/>
                <w:w w:val="93"/>
              </w:rPr>
              <w:t>Name: Arturo</w:t>
            </w:r>
          </w:p>
        </w:tc>
        <w:tc>
          <w:tcPr>
            <w:tcW w:w="840" w:type="dxa"/>
            <w:vAlign w:val="bottom"/>
          </w:tcPr>
          <w:p>
            <w:pPr>
              <w:spacing w:after="0"/>
              <w:rPr>
                <w:sz w:val="21"/>
                <w:szCs w:val="21"/>
                <w:color w:val="auto"/>
              </w:rPr>
            </w:pPr>
          </w:p>
        </w:tc>
      </w:tr>
      <w:tr>
        <w:trPr>
          <w:trHeight w:val="243"/>
        </w:trPr>
        <w:tc>
          <w:tcPr>
            <w:tcW w:w="4360" w:type="dxa"/>
            <w:vAlign w:val="bottom"/>
            <w:gridSpan w:val="2"/>
          </w:tcPr>
          <w:p>
            <w:pPr>
              <w:spacing w:after="0" w:line="243" w:lineRule="exact"/>
              <w:rPr>
                <w:sz w:val="20"/>
                <w:szCs w:val="20"/>
                <w:color w:val="auto"/>
              </w:rPr>
            </w:pPr>
            <w:r>
              <w:rPr>
                <w:rFonts w:ascii="Arial" w:cs="Arial" w:eastAsia="Arial" w:hAnsi="Arial"/>
                <w:sz w:val="22"/>
                <w:szCs w:val="22"/>
                <w:color w:val="auto"/>
              </w:rPr>
              <w:t>Rodriguez</w:t>
            </w:r>
          </w:p>
        </w:tc>
        <w:tc>
          <w:tcPr>
            <w:tcW w:w="840" w:type="dxa"/>
            <w:vAlign w:val="bottom"/>
          </w:tcPr>
          <w:p>
            <w:pPr>
              <w:spacing w:after="0"/>
              <w:rPr>
                <w:sz w:val="21"/>
                <w:szCs w:val="21"/>
                <w:color w:val="auto"/>
              </w:rPr>
            </w:pPr>
          </w:p>
        </w:tc>
      </w:tr>
      <w:tr>
        <w:trPr>
          <w:trHeight w:val="274"/>
        </w:trPr>
        <w:tc>
          <w:tcPr>
            <w:tcW w:w="4360" w:type="dxa"/>
            <w:vAlign w:val="bottom"/>
            <w:gridSpan w:val="2"/>
          </w:tcPr>
          <w:p>
            <w:pPr>
              <w:ind w:left="640"/>
              <w:spacing w:after="0"/>
              <w:rPr>
                <w:sz w:val="20"/>
                <w:szCs w:val="20"/>
                <w:color w:val="auto"/>
              </w:rPr>
            </w:pPr>
            <w:r>
              <w:rPr>
                <w:rFonts w:ascii="Arial" w:cs="Arial" w:eastAsia="Arial" w:hAnsi="Arial"/>
                <w:sz w:val="22"/>
                <w:szCs w:val="22"/>
                <w:color w:val="auto"/>
              </w:rPr>
              <w:t>Title: Chief Financial Officer</w:t>
            </w:r>
          </w:p>
        </w:tc>
        <w:tc>
          <w:tcPr>
            <w:tcW w:w="840" w:type="dxa"/>
            <w:vAlign w:val="bottom"/>
          </w:tcPr>
          <w:p>
            <w:pPr>
              <w:spacing w:after="0"/>
              <w:rPr>
                <w:sz w:val="23"/>
                <w:szCs w:val="23"/>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The parties hereto have executed this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S</w:t>
      </w:r>
      <w:r>
        <w:rPr>
          <w:rFonts w:ascii="Arial" w:cs="Arial" w:eastAsia="Arial" w:hAnsi="Arial"/>
          <w:sz w:val="9"/>
          <w:szCs w:val="9"/>
          <w:color w:val="auto"/>
        </w:rPr>
        <w:t>ECOND</w:t>
      </w:r>
      <w:r>
        <w:rPr>
          <w:rFonts w:ascii="Arial" w:cs="Arial" w:eastAsia="Arial" w:hAnsi="Arial"/>
          <w:sz w:val="14"/>
          <w:szCs w:val="14"/>
          <w:color w:val="auto"/>
        </w:rPr>
        <w:t xml:space="preserve"> O</w:t>
      </w:r>
      <w:r>
        <w:rPr>
          <w:rFonts w:ascii="Arial" w:cs="Arial" w:eastAsia="Arial" w:hAnsi="Arial"/>
          <w:sz w:val="9"/>
          <w:szCs w:val="9"/>
          <w:color w:val="auto"/>
        </w:rPr>
        <w:t>MNIBUS</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S</w:t>
      </w:r>
      <w:r>
        <w:rPr>
          <w:rFonts w:ascii="Arial" w:cs="Arial" w:eastAsia="Arial" w:hAnsi="Arial"/>
          <w:sz w:val="9"/>
          <w:szCs w:val="9"/>
          <w:color w:val="auto"/>
        </w:rPr>
        <w:t>ENIOR</w:t>
      </w:r>
      <w:r>
        <w:rPr>
          <w:rFonts w:ascii="Arial" w:cs="Arial" w:eastAsia="Arial" w:hAnsi="Arial"/>
          <w:sz w:val="14"/>
          <w:szCs w:val="14"/>
          <w:color w:val="auto"/>
        </w:rPr>
        <w:t xml:space="preserve"> S</w:t>
      </w:r>
      <w:r>
        <w:rPr>
          <w:rFonts w:ascii="Arial" w:cs="Arial" w:eastAsia="Arial" w:hAnsi="Arial"/>
          <w:sz w:val="9"/>
          <w:szCs w:val="9"/>
          <w:color w:val="auto"/>
        </w:rPr>
        <w:t>ECURED</w:t>
      </w:r>
      <w:r>
        <w:rPr>
          <w:rFonts w:ascii="Arial" w:cs="Arial" w:eastAsia="Arial" w:hAnsi="Arial"/>
          <w:sz w:val="14"/>
          <w:szCs w:val="14"/>
          <w:color w:val="auto"/>
        </w:rPr>
        <w:t xml:space="preserve"> N</w:t>
      </w:r>
      <w:r>
        <w:rPr>
          <w:rFonts w:ascii="Arial" w:cs="Arial" w:eastAsia="Arial" w:hAnsi="Arial"/>
          <w:sz w:val="9"/>
          <w:szCs w:val="9"/>
          <w:color w:val="auto"/>
        </w:rPr>
        <w:t>OTES</w:t>
      </w:r>
      <w:r>
        <w:rPr>
          <w:rFonts w:ascii="Arial" w:cs="Arial" w:eastAsia="Arial" w:hAnsi="Arial"/>
          <w:sz w:val="14"/>
          <w:szCs w:val="14"/>
          <w:color w:val="auto"/>
        </w:rPr>
        <w:t xml:space="preserve"> D</w:t>
      </w:r>
      <w:r>
        <w:rPr>
          <w:rFonts w:ascii="Arial" w:cs="Arial" w:eastAsia="Arial" w:hAnsi="Arial"/>
          <w:sz w:val="9"/>
          <w:szCs w:val="9"/>
          <w:color w:val="auto"/>
        </w:rPr>
        <w:t>UE</w:t>
      </w:r>
      <w:r>
        <w:rPr>
          <w:rFonts w:ascii="Arial" w:cs="Arial" w:eastAsia="Arial" w:hAnsi="Arial"/>
          <w:sz w:val="14"/>
          <w:szCs w:val="14"/>
          <w:color w:val="auto"/>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9" w:name="page80"/>
    <w:bookmarkEnd w:id="79"/>
    <w:p>
      <w:pPr>
        <w:spacing w:after="0" w:line="250" w:lineRule="auto"/>
        <w:rPr>
          <w:sz w:val="20"/>
          <w:szCs w:val="20"/>
          <w:color w:val="auto"/>
        </w:rPr>
      </w:pPr>
      <w:r>
        <w:rPr>
          <w:rFonts w:ascii="Arial" w:cs="Arial" w:eastAsia="Arial" w:hAnsi="Arial"/>
          <w:sz w:val="22"/>
          <w:szCs w:val="22"/>
          <w:color w:val="auto"/>
        </w:rPr>
        <w:t>Second Omnibus Amendment to Senior Secured Notes due 2024 and Warrants to Purchase Common Stock as of the date first written above.</w:t>
      </w:r>
    </w:p>
    <w:p>
      <w:pPr>
        <w:spacing w:after="0" w:line="385"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HOLDERS:</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HIGH TRAIL INVESTMENTS SA LLC</w:t>
      </w:r>
    </w:p>
    <w:p>
      <w:pPr>
        <w:spacing w:after="0" w:line="399" w:lineRule="exact"/>
        <w:rPr>
          <w:sz w:val="20"/>
          <w:szCs w:val="20"/>
          <w:color w:val="auto"/>
        </w:rPr>
      </w:pPr>
    </w:p>
    <w:tbl>
      <w:tblPr>
        <w:tblLayout w:type="fixed"/>
        <w:tblInd w:w="4760" w:type="dxa"/>
        <w:tblCellMar>
          <w:top w:w="0" w:type="dxa"/>
          <w:left w:w="0" w:type="dxa"/>
          <w:bottom w:w="0" w:type="dxa"/>
          <w:right w:w="0" w:type="dxa"/>
        </w:tblCellMar>
      </w:tblPr>
      <w:tr>
        <w:trPr>
          <w:trHeight w:val="253"/>
        </w:trPr>
        <w:tc>
          <w:tcPr>
            <w:tcW w:w="3080" w:type="dxa"/>
            <w:vAlign w:val="bottom"/>
            <w:gridSpan w:val="2"/>
          </w:tcPr>
          <w:p>
            <w:pPr>
              <w:spacing w:after="0"/>
              <w:rPr>
                <w:sz w:val="20"/>
                <w:szCs w:val="20"/>
                <w:color w:val="auto"/>
              </w:rPr>
            </w:pPr>
            <w:r>
              <w:rPr>
                <w:rFonts w:ascii="Arial" w:cs="Arial" w:eastAsia="Arial" w:hAnsi="Arial"/>
                <w:sz w:val="22"/>
                <w:szCs w:val="22"/>
                <w:color w:val="auto"/>
              </w:rPr>
              <w:t>By:</w:t>
            </w:r>
          </w:p>
        </w:tc>
        <w:tc>
          <w:tcPr>
            <w:tcW w:w="1280" w:type="dxa"/>
            <w:vAlign w:val="bottom"/>
          </w:tcPr>
          <w:p>
            <w:pPr>
              <w:spacing w:after="0"/>
              <w:rPr>
                <w:sz w:val="21"/>
                <w:szCs w:val="2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/s/Eric</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Helenek</w:t>
            </w:r>
          </w:p>
        </w:tc>
        <w:tc>
          <w:tcPr>
            <w:tcW w:w="2360" w:type="dxa"/>
            <w:vAlign w:val="bottom"/>
          </w:tcPr>
          <w:p>
            <w:pPr>
              <w:spacing w:after="0"/>
              <w:rPr>
                <w:sz w:val="19"/>
                <w:szCs w:val="19"/>
                <w:color w:val="auto"/>
              </w:rPr>
            </w:pPr>
          </w:p>
        </w:tc>
        <w:tc>
          <w:tcPr>
            <w:tcW w:w="1840" w:type="dxa"/>
            <w:vAlign w:val="bottom"/>
            <w:gridSpan w:val="2"/>
            <w:vMerge w:val="restart"/>
          </w:tcPr>
          <w:p>
            <w:pPr>
              <w:ind w:left="40"/>
              <w:spacing w:after="0"/>
              <w:rPr>
                <w:sz w:val="20"/>
                <w:szCs w:val="20"/>
                <w:color w:val="auto"/>
              </w:rPr>
            </w:pPr>
            <w:r>
              <w:rPr>
                <w:rFonts w:ascii="Arial" w:cs="Arial" w:eastAsia="Arial" w:hAnsi="Arial"/>
                <w:sz w:val="22"/>
                <w:szCs w:val="22"/>
                <w:color w:val="auto"/>
                <w:w w:val="90"/>
              </w:rPr>
              <w:t>Name: Eric Helenek</w:t>
            </w:r>
          </w:p>
        </w:tc>
        <w:tc>
          <w:tcPr>
            <w:tcW w:w="0" w:type="dxa"/>
            <w:vAlign w:val="bottom"/>
          </w:tcPr>
          <w:p>
            <w:pPr>
              <w:spacing w:after="0"/>
              <w:rPr>
                <w:sz w:val="1"/>
                <w:szCs w:val="1"/>
                <w:color w:val="auto"/>
              </w:rPr>
            </w:pPr>
          </w:p>
        </w:tc>
      </w:tr>
      <w:tr>
        <w:trPr>
          <w:trHeight w:val="273"/>
        </w:trPr>
        <w:tc>
          <w:tcPr>
            <w:tcW w:w="3080" w:type="dxa"/>
            <w:vAlign w:val="bottom"/>
            <w:gridSpan w:val="2"/>
            <w:vMerge w:val="restart"/>
          </w:tcPr>
          <w:p>
            <w:pPr>
              <w:ind w:left="640"/>
              <w:spacing w:after="0"/>
              <w:rPr>
                <w:sz w:val="20"/>
                <w:szCs w:val="20"/>
                <w:color w:val="auto"/>
              </w:rPr>
            </w:pPr>
            <w:r>
              <w:rPr>
                <w:rFonts w:ascii="Arial" w:cs="Arial" w:eastAsia="Arial" w:hAnsi="Arial"/>
                <w:sz w:val="22"/>
                <w:szCs w:val="22"/>
                <w:color w:val="auto"/>
                <w:w w:val="93"/>
              </w:rPr>
              <w:t>Title: Authorized Signatory</w:t>
            </w:r>
          </w:p>
        </w:tc>
        <w:tc>
          <w:tcPr>
            <w:tcW w:w="18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4920" w:type="dxa"/>
            <w:vAlign w:val="bottom"/>
            <w:gridSpan w:val="4"/>
          </w:tcPr>
          <w:p>
            <w:pPr>
              <w:spacing w:after="0"/>
              <w:rPr>
                <w:sz w:val="20"/>
                <w:szCs w:val="20"/>
                <w:color w:val="auto"/>
              </w:rPr>
            </w:pPr>
            <w:r>
              <w:rPr>
                <w:rFonts w:ascii="Arial" w:cs="Arial" w:eastAsia="Arial" w:hAnsi="Arial"/>
                <w:sz w:val="22"/>
                <w:szCs w:val="22"/>
                <w:b w:val="1"/>
                <w:bCs w:val="1"/>
                <w:color w:val="auto"/>
              </w:rPr>
              <w:t>HIGH TRAIL INVESTMENTS ON LLC</w:t>
            </w:r>
          </w:p>
        </w:tc>
        <w:tc>
          <w:tcPr>
            <w:tcW w:w="0" w:type="dxa"/>
            <w:vAlign w:val="bottom"/>
          </w:tcPr>
          <w:p>
            <w:pPr>
              <w:spacing w:after="0"/>
              <w:rPr>
                <w:sz w:val="1"/>
                <w:szCs w:val="1"/>
                <w:color w:val="auto"/>
              </w:rPr>
            </w:pPr>
          </w:p>
        </w:tc>
      </w:tr>
      <w:tr>
        <w:trPr>
          <w:trHeight w:val="624"/>
        </w:trPr>
        <w:tc>
          <w:tcPr>
            <w:tcW w:w="3080" w:type="dxa"/>
            <w:vAlign w:val="bottom"/>
            <w:gridSpan w:val="2"/>
          </w:tcPr>
          <w:p>
            <w:pPr>
              <w:spacing w:after="0"/>
              <w:rPr>
                <w:sz w:val="20"/>
                <w:szCs w:val="20"/>
                <w:color w:val="auto"/>
              </w:rPr>
            </w:pPr>
            <w:r>
              <w:rPr>
                <w:rFonts w:ascii="Arial" w:cs="Arial" w:eastAsia="Arial" w:hAnsi="Arial"/>
                <w:sz w:val="22"/>
                <w:szCs w:val="22"/>
                <w:color w:val="auto"/>
              </w:rPr>
              <w:t>By:</w:t>
            </w:r>
          </w:p>
        </w:tc>
        <w:tc>
          <w:tcPr>
            <w:tcW w:w="128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/s/Eric</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Helenek</w:t>
            </w:r>
          </w:p>
        </w:tc>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7880"/>
        <w:spacing w:after="0"/>
        <w:rPr>
          <w:sz w:val="20"/>
          <w:szCs w:val="20"/>
          <w:color w:val="auto"/>
        </w:rPr>
      </w:pPr>
      <w:r>
        <w:rPr>
          <w:rFonts w:ascii="Arial" w:cs="Arial" w:eastAsia="Arial" w:hAnsi="Arial"/>
          <w:sz w:val="22"/>
          <w:szCs w:val="22"/>
          <w:color w:val="auto"/>
        </w:rPr>
        <w:t>Name: Eric Helenek</w:t>
      </w:r>
    </w:p>
    <w:p>
      <w:pPr>
        <w:spacing w:after="0" w:line="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S</w:t>
      </w:r>
      <w:r>
        <w:rPr>
          <w:rFonts w:ascii="Arial" w:cs="Arial" w:eastAsia="Arial" w:hAnsi="Arial"/>
          <w:sz w:val="9"/>
          <w:szCs w:val="9"/>
          <w:color w:val="auto"/>
        </w:rPr>
        <w:t>ECOND</w:t>
      </w:r>
      <w:r>
        <w:rPr>
          <w:rFonts w:ascii="Arial" w:cs="Arial" w:eastAsia="Arial" w:hAnsi="Arial"/>
          <w:sz w:val="14"/>
          <w:szCs w:val="14"/>
          <w:color w:val="auto"/>
        </w:rPr>
        <w:t xml:space="preserve"> O</w:t>
      </w:r>
      <w:r>
        <w:rPr>
          <w:rFonts w:ascii="Arial" w:cs="Arial" w:eastAsia="Arial" w:hAnsi="Arial"/>
          <w:sz w:val="9"/>
          <w:szCs w:val="9"/>
          <w:color w:val="auto"/>
        </w:rPr>
        <w:t>MNIBUS</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S</w:t>
      </w:r>
      <w:r>
        <w:rPr>
          <w:rFonts w:ascii="Arial" w:cs="Arial" w:eastAsia="Arial" w:hAnsi="Arial"/>
          <w:sz w:val="9"/>
          <w:szCs w:val="9"/>
          <w:color w:val="auto"/>
        </w:rPr>
        <w:t>ENIOR</w:t>
      </w:r>
      <w:r>
        <w:rPr>
          <w:rFonts w:ascii="Arial" w:cs="Arial" w:eastAsia="Arial" w:hAnsi="Arial"/>
          <w:sz w:val="14"/>
          <w:szCs w:val="14"/>
          <w:color w:val="auto"/>
        </w:rPr>
        <w:t xml:space="preserve"> S</w:t>
      </w:r>
      <w:r>
        <w:rPr>
          <w:rFonts w:ascii="Arial" w:cs="Arial" w:eastAsia="Arial" w:hAnsi="Arial"/>
          <w:sz w:val="9"/>
          <w:szCs w:val="9"/>
          <w:color w:val="auto"/>
        </w:rPr>
        <w:t>ECURED</w:t>
      </w:r>
      <w:r>
        <w:rPr>
          <w:rFonts w:ascii="Arial" w:cs="Arial" w:eastAsia="Arial" w:hAnsi="Arial"/>
          <w:sz w:val="14"/>
          <w:szCs w:val="14"/>
          <w:color w:val="auto"/>
        </w:rPr>
        <w:t xml:space="preserve"> N</w:t>
      </w:r>
      <w:r>
        <w:rPr>
          <w:rFonts w:ascii="Arial" w:cs="Arial" w:eastAsia="Arial" w:hAnsi="Arial"/>
          <w:sz w:val="9"/>
          <w:szCs w:val="9"/>
          <w:color w:val="auto"/>
        </w:rPr>
        <w:t>OTES</w:t>
      </w:r>
      <w:r>
        <w:rPr>
          <w:rFonts w:ascii="Arial" w:cs="Arial" w:eastAsia="Arial" w:hAnsi="Arial"/>
          <w:sz w:val="14"/>
          <w:szCs w:val="14"/>
          <w:color w:val="auto"/>
        </w:rPr>
        <w:t xml:space="preserve"> D</w:t>
      </w:r>
      <w:r>
        <w:rPr>
          <w:rFonts w:ascii="Arial" w:cs="Arial" w:eastAsia="Arial" w:hAnsi="Arial"/>
          <w:sz w:val="9"/>
          <w:szCs w:val="9"/>
          <w:color w:val="auto"/>
        </w:rPr>
        <w:t>UE</w:t>
      </w:r>
      <w:r>
        <w:rPr>
          <w:rFonts w:ascii="Arial" w:cs="Arial" w:eastAsia="Arial" w:hAnsi="Arial"/>
          <w:sz w:val="14"/>
          <w:szCs w:val="14"/>
          <w:color w:val="auto"/>
        </w:rPr>
        <w:t xml:space="preserve"> 2024]</w:t>
      </w:r>
    </w:p>
    <w:p>
      <w:pPr>
        <w:sectPr>
          <w:pgSz w:w="11900" w:h="16838" w:orient="portrait"/>
          <w:cols w:equalWidth="0" w:num="1">
            <w:col w:w="11240"/>
          </w:cols>
          <w:pgMar w:left="320" w:top="33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September 22,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High Trail Investments SA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221 River Street, 9</w:t>
      </w:r>
      <w:r>
        <w:rPr>
          <w:rFonts w:ascii="Arial" w:cs="Arial" w:eastAsia="Arial" w:hAnsi="Arial"/>
          <w:sz w:val="16"/>
          <w:szCs w:val="16"/>
          <w:color w:val="auto"/>
        </w:rPr>
        <w:t>th</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0"/>
          <w:szCs w:val="20"/>
          <w:color w:val="auto"/>
        </w:rPr>
        <w:t>Hoboken, NJ 07030</w:t>
      </w:r>
    </w:p>
    <w:p>
      <w:pPr>
        <w:spacing w:after="0"/>
        <w:rPr>
          <w:sz w:val="20"/>
          <w:szCs w:val="20"/>
          <w:color w:val="auto"/>
        </w:rPr>
      </w:pPr>
      <w:r>
        <w:rPr>
          <w:rFonts w:ascii="Arial" w:cs="Arial" w:eastAsia="Arial" w:hAnsi="Arial"/>
          <w:sz w:val="20"/>
          <w:szCs w:val="20"/>
          <w:color w:val="auto"/>
        </w:rPr>
        <w:t>Attention: Eric Helenek</w:t>
      </w:r>
    </w:p>
    <w:p>
      <w:pPr>
        <w:spacing w:after="0" w:line="21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0"/>
          <w:szCs w:val="20"/>
          <w:b w:val="1"/>
          <w:bCs w:val="1"/>
          <w:i w:val="1"/>
          <w:iCs w:val="1"/>
          <w:color w:val="auto"/>
        </w:rPr>
        <w:t>Re:</w:t>
      </w:r>
      <w:r>
        <w:rPr>
          <w:sz w:val="20"/>
          <w:szCs w:val="20"/>
          <w:color w:val="auto"/>
        </w:rPr>
        <w:tab/>
      </w:r>
      <w:r>
        <w:rPr>
          <w:rFonts w:ascii="Arial" w:cs="Arial" w:eastAsia="Arial" w:hAnsi="Arial"/>
          <w:sz w:val="20"/>
          <w:szCs w:val="20"/>
          <w:b w:val="1"/>
          <w:bCs w:val="1"/>
          <w:i w:val="1"/>
          <w:iCs w:val="1"/>
          <w:color w:val="auto"/>
        </w:rPr>
        <w:t>Agreement re 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9"/>
          <w:szCs w:val="19"/>
          <w:color w:val="auto"/>
        </w:rPr>
        <w:t>Reference is made to: (i) that certain Senior Secured Note due 2024 (Certificate No. A-2) issued on April 8, 2021 by Aterian, Inc. (formerly known as Mohawk Group Holdings, Inc.) (the “</w:t>
      </w:r>
      <w:r>
        <w:rPr>
          <w:rFonts w:ascii="Arial" w:cs="Arial" w:eastAsia="Arial" w:hAnsi="Arial"/>
          <w:sz w:val="19"/>
          <w:szCs w:val="19"/>
          <w:b w:val="1"/>
          <w:bCs w:val="1"/>
          <w:color w:val="auto"/>
        </w:rPr>
        <w:t>Company</w:t>
      </w:r>
      <w:r>
        <w:rPr>
          <w:rFonts w:ascii="Arial" w:cs="Arial" w:eastAsia="Arial" w:hAnsi="Arial"/>
          <w:sz w:val="19"/>
          <w:szCs w:val="19"/>
          <w:color w:val="auto"/>
        </w:rPr>
        <w:t>”) to High Trail Investments SA LLC (“</w:t>
      </w:r>
      <w:r>
        <w:rPr>
          <w:rFonts w:ascii="Arial" w:cs="Arial" w:eastAsia="Arial" w:hAnsi="Arial"/>
          <w:sz w:val="19"/>
          <w:szCs w:val="19"/>
          <w:b w:val="1"/>
          <w:bCs w:val="1"/>
          <w:color w:val="auto"/>
        </w:rPr>
        <w:t>High Trail SA</w:t>
      </w:r>
      <w:r>
        <w:rPr>
          <w:rFonts w:ascii="Arial" w:cs="Arial" w:eastAsia="Arial" w:hAnsi="Arial"/>
          <w:sz w:val="19"/>
          <w:szCs w:val="19"/>
          <w:color w:val="auto"/>
        </w:rPr>
        <w:t>”), as amended (the “</w:t>
      </w:r>
      <w:r>
        <w:rPr>
          <w:rFonts w:ascii="Arial" w:cs="Arial" w:eastAsia="Arial" w:hAnsi="Arial"/>
          <w:sz w:val="19"/>
          <w:szCs w:val="19"/>
          <w:b w:val="1"/>
          <w:bCs w:val="1"/>
          <w:color w:val="auto"/>
        </w:rPr>
        <w:t>Exchange Note</w:t>
      </w:r>
      <w:r>
        <w:rPr>
          <w:rFonts w:ascii="Arial" w:cs="Arial" w:eastAsia="Arial" w:hAnsi="Arial"/>
          <w:sz w:val="19"/>
          <w:szCs w:val="19"/>
          <w:color w:val="auto"/>
        </w:rPr>
        <w:t>”), (ii) that certain Senior Secured Note due 2024 (Certificate No. A-3) issued on April 8, 2021 by the Company to High Trail SA, as amended (the “</w:t>
      </w:r>
      <w:r>
        <w:rPr>
          <w:rFonts w:ascii="Arial" w:cs="Arial" w:eastAsia="Arial" w:hAnsi="Arial"/>
          <w:sz w:val="19"/>
          <w:szCs w:val="19"/>
          <w:b w:val="1"/>
          <w:bCs w:val="1"/>
          <w:color w:val="auto"/>
        </w:rPr>
        <w:t>Purchase Note</w:t>
      </w:r>
      <w:r>
        <w:rPr>
          <w:rFonts w:ascii="Arial" w:cs="Arial" w:eastAsia="Arial" w:hAnsi="Arial"/>
          <w:sz w:val="19"/>
          <w:szCs w:val="19"/>
          <w:color w:val="auto"/>
        </w:rPr>
        <w:t>” and collectively with the Exchange Note, the “</w:t>
      </w:r>
      <w:r>
        <w:rPr>
          <w:rFonts w:ascii="Arial" w:cs="Arial" w:eastAsia="Arial" w:hAnsi="Arial"/>
          <w:sz w:val="19"/>
          <w:szCs w:val="19"/>
          <w:b w:val="1"/>
          <w:bCs w:val="1"/>
          <w:color w:val="auto"/>
        </w:rPr>
        <w:t>Notes</w:t>
      </w:r>
      <w:r>
        <w:rPr>
          <w:rFonts w:ascii="Arial" w:cs="Arial" w:eastAsia="Arial" w:hAnsi="Arial"/>
          <w:sz w:val="19"/>
          <w:szCs w:val="19"/>
          <w:color w:val="auto"/>
        </w:rPr>
        <w:t>”), (iii) that certain Warrant to Purchase Common Stock (No. HTCS-3), issued to High Trail SA pursuant to that certain letter agreement dated as of February 8, 2021, by and between the Company and High Trail SA, as amended (the “</w:t>
      </w:r>
      <w:r>
        <w:rPr>
          <w:rFonts w:ascii="Arial" w:cs="Arial" w:eastAsia="Arial" w:hAnsi="Arial"/>
          <w:sz w:val="19"/>
          <w:szCs w:val="19"/>
          <w:b w:val="1"/>
          <w:bCs w:val="1"/>
          <w:color w:val="auto"/>
        </w:rPr>
        <w:t>HTCS-3 Warrant</w:t>
      </w:r>
      <w:r>
        <w:rPr>
          <w:rFonts w:ascii="Arial" w:cs="Arial" w:eastAsia="Arial" w:hAnsi="Arial"/>
          <w:sz w:val="19"/>
          <w:szCs w:val="19"/>
          <w:color w:val="auto"/>
        </w:rPr>
        <w:t>”), (iv) that certain Warrant to Purchase Common Stock (No. HTCS-5), issued to High Trail SA by the Company on April 8, 2021, as amended (the “</w:t>
      </w:r>
      <w:r>
        <w:rPr>
          <w:rFonts w:ascii="Arial" w:cs="Arial" w:eastAsia="Arial" w:hAnsi="Arial"/>
          <w:sz w:val="19"/>
          <w:szCs w:val="19"/>
          <w:b w:val="1"/>
          <w:bCs w:val="1"/>
          <w:color w:val="auto"/>
        </w:rPr>
        <w:t>HTCS-5 Warrant</w:t>
      </w:r>
      <w:r>
        <w:rPr>
          <w:rFonts w:ascii="Arial" w:cs="Arial" w:eastAsia="Arial" w:hAnsi="Arial"/>
          <w:sz w:val="19"/>
          <w:szCs w:val="19"/>
          <w:color w:val="auto"/>
        </w:rPr>
        <w:t>”), and (v) that certain Warrant to Purchase Common Stock (No. HTCS-6), issued to High Trail SA by the Company on April 8, 2021, as amended (the “</w:t>
      </w:r>
      <w:r>
        <w:rPr>
          <w:rFonts w:ascii="Arial" w:cs="Arial" w:eastAsia="Arial" w:hAnsi="Arial"/>
          <w:sz w:val="19"/>
          <w:szCs w:val="19"/>
          <w:b w:val="1"/>
          <w:bCs w:val="1"/>
          <w:color w:val="auto"/>
        </w:rPr>
        <w:t>HTCS-6 Warrant</w:t>
      </w:r>
      <w:r>
        <w:rPr>
          <w:rFonts w:ascii="Arial" w:cs="Arial" w:eastAsia="Arial" w:hAnsi="Arial"/>
          <w:sz w:val="19"/>
          <w:szCs w:val="19"/>
          <w:color w:val="auto"/>
        </w:rPr>
        <w:t>” and collectively with the HTCS-3 Warrant and the HTCS-5 Warrant, the “</w:t>
      </w:r>
      <w:r>
        <w:rPr>
          <w:rFonts w:ascii="Arial" w:cs="Arial" w:eastAsia="Arial" w:hAnsi="Arial"/>
          <w:sz w:val="19"/>
          <w:szCs w:val="19"/>
          <w:b w:val="1"/>
          <w:bCs w:val="1"/>
          <w:color w:val="auto"/>
        </w:rPr>
        <w:t>High Trail SA Warrants</w:t>
      </w:r>
      <w:r>
        <w:rPr>
          <w:rFonts w:ascii="Arial" w:cs="Arial" w:eastAsia="Arial" w:hAnsi="Arial"/>
          <w:sz w:val="19"/>
          <w:szCs w:val="19"/>
          <w:color w:val="auto"/>
        </w:rPr>
        <w:t>”). Capitalized terms used but not defined herein shall have the meaning given to them by the Notes.</w:t>
      </w:r>
    </w:p>
    <w:p>
      <w:pPr>
        <w:spacing w:after="0" w:line="19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The Company hereby acknowledges the occurrence of certain defaults under the Notes and the other Transaction Documents disclosed to High Trail SA in writing on the date hereof, including Events of Default under Section 11(a)(viii) of the Notes. The Company further acknowledges that High Trail SA has declared an Event of Default under the Notes (the “</w:t>
      </w:r>
      <w:r>
        <w:rPr>
          <w:rFonts w:ascii="Arial" w:cs="Arial" w:eastAsia="Arial" w:hAnsi="Arial"/>
          <w:sz w:val="18"/>
          <w:szCs w:val="18"/>
          <w:b w:val="1"/>
          <w:bCs w:val="1"/>
          <w:color w:val="auto"/>
        </w:rPr>
        <w:t>Current Events of Default</w:t>
      </w:r>
      <w:r>
        <w:rPr>
          <w:rFonts w:ascii="Arial" w:cs="Arial" w:eastAsia="Arial" w:hAnsi="Arial"/>
          <w:sz w:val="18"/>
          <w:szCs w:val="18"/>
          <w:color w:val="auto"/>
        </w:rPr>
        <w:t>”) and declared all of the Principal Amount and accrued but unpaid interest under the Exchange Note to be due and payable immediately for cash in an amount equal to the Event of Default Acceleration Amount of $33,351,849.43 and declared $16,789,636.80 of the Principal Amount and accrued but unpaid interest under the Purchase Note to be due and payable immediately for cash in an amount equal to the Event of Default Acceleration Amount of $19,390,164.99 (collectively, the “</w:t>
      </w:r>
      <w:r>
        <w:rPr>
          <w:rFonts w:ascii="Arial" w:cs="Arial" w:eastAsia="Arial" w:hAnsi="Arial"/>
          <w:sz w:val="18"/>
          <w:szCs w:val="18"/>
          <w:b w:val="1"/>
          <w:bCs w:val="1"/>
          <w:color w:val="auto"/>
        </w:rPr>
        <w:t>Current Events of Default Acceleration Amount</w:t>
      </w:r>
      <w:r>
        <w:rPr>
          <w:rFonts w:ascii="Arial" w:cs="Arial" w:eastAsia="Arial" w:hAnsi="Arial"/>
          <w:sz w:val="18"/>
          <w:szCs w:val="18"/>
          <w:color w:val="auto"/>
        </w:rPr>
        <w:t>”). The Company further acknowledges that the Current Events of Default Acceleration Amount is immediately payable in cash and that the Company is waiving its right to pay the Current Events of Default Acceleration Amount in cash.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valuable consideration, the sufficiency of which is hereby acknowledged, the parties hereto hereby agree as follows:</w:t>
      </w:r>
    </w:p>
    <w:p>
      <w:pPr>
        <w:spacing w:after="0" w:line="216" w:lineRule="exact"/>
        <w:rPr>
          <w:sz w:val="20"/>
          <w:szCs w:val="20"/>
          <w:color w:val="auto"/>
        </w:rPr>
      </w:pPr>
    </w:p>
    <w:p>
      <w:pPr>
        <w:jc w:val="both"/>
        <w:ind w:left="880" w:hanging="440"/>
        <w:spacing w:after="0" w:line="274"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and after the date hereof, High Trail SA shall have no right to exercise any remedy or otherwise enforce any rights against the Company or any of its subsidiaries under the Transaction Documents with respect to the Current Events of Defaults under the Exchange Note or any other Event of Default under the Exchange Note occurring prior to the satisfaction of the Current Events of Default Acceleration Amount (other than with respect to the right to receive payment by the Company of the Current Events of Default Acceleration Amount in shares of fully paid, validly issued Common Stock at the Event of Default Stock Payment Price or with respect to any breach of this letter agreement). High Trail SA shall deliver Event of Default Stock Payment Notices with respect to the Current Events of Default Acceleration Amount as soon as it is practicable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both"/>
        <w:ind w:left="440"/>
        <w:spacing w:after="0" w:line="243" w:lineRule="auto"/>
        <w:rPr>
          <w:sz w:val="20"/>
          <w:szCs w:val="20"/>
          <w:color w:val="auto"/>
        </w:rPr>
      </w:pPr>
      <w:r>
        <w:rPr>
          <w:rFonts w:ascii="Arial" w:cs="Arial" w:eastAsia="Arial" w:hAnsi="Arial"/>
          <w:sz w:val="20"/>
          <w:szCs w:val="20"/>
          <w:color w:val="auto"/>
        </w:rPr>
        <w:t>without High Trail SA, together with the other Attribution Parties, collectively beneficially owning in the aggregate in excess of the Maximum Percentage (calculated in accordance with Section 7(A) of the Notes). All shares of Common Stock issued by the Company to High Trail SA with respect to the Event of Default Acceleration Amount payable under the Exchange Note shall be Freely Tradable and the Company acknowledges that High Trail SA is under no obligation to accept any portion of the Current Events of Default Acceleration Amount with respect to the Purchase Note in shares of Common Stock until High Trail SA has received all of the Current Events of Default Acceleration Amount with respect to the Exchange Note in shares of Freely Tradable Common Stock.</w:t>
      </w:r>
    </w:p>
    <w:p>
      <w:pPr>
        <w:spacing w:after="0" w:line="194" w:lineRule="exact"/>
        <w:rPr>
          <w:sz w:val="20"/>
          <w:szCs w:val="20"/>
          <w:color w:val="auto"/>
        </w:rPr>
      </w:pPr>
    </w:p>
    <w:p>
      <w:pPr>
        <w:ind w:left="440" w:hanging="440"/>
        <w:spacing w:after="0" w:line="287" w:lineRule="auto"/>
        <w:tabs>
          <w:tab w:leader="none" w:pos="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acknowledges and agrees that the number of shares of Common Stock outstanding as of the date hereof is equal to 40,455,386 and that the Event of Default Stock Payment Price as of September 22, 2021 is equal to $8.1212.</w:t>
      </w:r>
    </w:p>
    <w:p>
      <w:pPr>
        <w:spacing w:after="0" w:line="152" w:lineRule="exact"/>
        <w:rPr>
          <w:rFonts w:ascii="Arial" w:cs="Arial" w:eastAsia="Arial" w:hAnsi="Arial"/>
          <w:sz w:val="19"/>
          <w:szCs w:val="19"/>
          <w:color w:val="auto"/>
        </w:rPr>
      </w:pPr>
    </w:p>
    <w:p>
      <w:pPr>
        <w:jc w:val="both"/>
        <w:ind w:left="440" w:hanging="440"/>
        <w:spacing w:after="0" w:line="269" w:lineRule="auto"/>
        <w:tabs>
          <w:tab w:leader="none" w:pos="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agrees that it shall no longer have the right to cause a Forced Exercise (as defined in the High Trail SA Warrants) under Section 1(i) of the High Trail SA Warrants due to the fact that the Current Events of Default have occurred and regardless of the Company's performance of its obligations hereunder or whether any of the Notes remain outstanding.</w:t>
      </w:r>
    </w:p>
    <w:p>
      <w:pPr>
        <w:spacing w:after="0" w:line="163" w:lineRule="exact"/>
        <w:rPr>
          <w:rFonts w:ascii="Arial" w:cs="Arial" w:eastAsia="Arial" w:hAnsi="Arial"/>
          <w:sz w:val="19"/>
          <w:szCs w:val="19"/>
          <w:color w:val="auto"/>
        </w:rPr>
      </w:pPr>
    </w:p>
    <w:p>
      <w:pPr>
        <w:jc w:val="both"/>
        <w:ind w:left="440" w:hanging="440"/>
        <w:spacing w:after="0" w:line="260" w:lineRule="auto"/>
        <w:tabs>
          <w:tab w:leader="none" w:pos="4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 shall execute and deliver to High Trail SA and High Trail Investments ON LLC (“</w:t>
      </w:r>
      <w:r>
        <w:rPr>
          <w:rFonts w:ascii="Arial" w:cs="Arial" w:eastAsia="Arial" w:hAnsi="Arial"/>
          <w:sz w:val="20"/>
          <w:szCs w:val="20"/>
          <w:b w:val="1"/>
          <w:bCs w:val="1"/>
          <w:color w:val="auto"/>
        </w:rPr>
        <w:t>High Trail ON</w:t>
      </w:r>
      <w:r>
        <w:rPr>
          <w:rFonts w:ascii="Arial" w:cs="Arial" w:eastAsia="Arial" w:hAnsi="Arial"/>
          <w:sz w:val="20"/>
          <w:szCs w:val="20"/>
          <w:color w:val="auto"/>
        </w:rPr>
        <w:t xml:space="preserve">”) on the date of this letter agreement, the Second Omnibus Amendment to Senior Secured Notes Due 2024 and Warrants to Purchase Common Stock in the form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Omnibus Amendment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440" w:hanging="440"/>
        <w:spacing w:after="0" w:line="256" w:lineRule="auto"/>
        <w:tabs>
          <w:tab w:leader="none" w:pos="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Effective upon satisfaction of (i) all obligations in this letter agreement, including without limitation, the payment by the Company of the Current Events of Default Acceleration Amount in shares of fully paid, validly issued Common Stock at the Event of Default Stock Payment Price, (ii) all obligations under that certain letter agreement </w:t>
      </w:r>
      <w:r>
        <w:rPr>
          <w:rFonts w:ascii="Arial" w:cs="Arial" w:eastAsia="Arial" w:hAnsi="Arial"/>
          <w:sz w:val="19"/>
          <w:szCs w:val="19"/>
          <w:i w:val="1"/>
          <w:iCs w:val="1"/>
          <w:color w:val="auto"/>
        </w:rPr>
        <w:t>Re: Agreement re Events of Default</w:t>
      </w:r>
      <w:r>
        <w:rPr>
          <w:rFonts w:ascii="Arial" w:cs="Arial" w:eastAsia="Arial" w:hAnsi="Arial"/>
          <w:sz w:val="19"/>
          <w:szCs w:val="19"/>
          <w:color w:val="auto"/>
        </w:rPr>
        <w:t>, dated as of September 22, 2021, entered into between the Company and High Trail ON, including without limitation, the payment by the Company of the Current Events of Default Acceleration Amount in shares of fully paid, validly issued Common Stock at the Event of Default Stock Payment Price (as such terms are defined in such letter agreement) and (iii) all obligations under the Omnibus Amendment, High Trail SA waives (i) the Current Events of Default under the terms of the Purchase Note with respect to the remainder of the outstanding Principal Amount under the Purchase Note and (ii) all Default Interest that would otherwise be applicable to the Current Events of Default.</w:t>
      </w:r>
    </w:p>
    <w:p>
      <w:pPr>
        <w:spacing w:after="0" w:line="178" w:lineRule="exact"/>
        <w:rPr>
          <w:rFonts w:ascii="Arial" w:cs="Arial" w:eastAsia="Arial" w:hAnsi="Arial"/>
          <w:sz w:val="19"/>
          <w:szCs w:val="19"/>
          <w:color w:val="auto"/>
        </w:rPr>
      </w:pPr>
    </w:p>
    <w:p>
      <w:pPr>
        <w:jc w:val="both"/>
        <w:ind w:left="440" w:hanging="440"/>
        <w:spacing w:after="0" w:line="271"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agrees that for the period commencing on the date hereof and ending on November 1, 2021 (the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neither the Company nor any of its subsidiaries shall directly or indirectly issue, offer, sell, grant any option or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 otherwise dispose of (or announce any issuance, offer, sale, grant of any option or right to purchase or other disposition of, or file a registration statement with respect to) any equity security or any equity-linked or related security (including, without limitation, any “equity security” (as that term is defined under Rule 405 promulgated under the 1933 Act), any Convertible Securities, any preferred stock or any purchase rights). Notwithstanding the foregoing, the restrictions in this Section 6 shall not apply during the Restricted Period: (1) in respect of the issuance of (A) Options or Convertible Securities issued under any Approved Stock Plan; (B) the issuance of securities as consideration in any merger, acquisition, business combination or strategic investment (including any joint venture, marketing, distribution, collaboration, license, strategic alliance or partnership), provided, that such securities are not issued primarily for the purpose of raising capital; (C) shares of the Company’s capital stock issuable pursuant to shareholder rights plans; (D) shares of Common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177800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121" w:right="339" w:bottom="1440" w:gutter="0" w:footer="0" w:header="0"/>
        </w:sectPr>
      </w:pPr>
    </w:p>
    <w:bookmarkStart w:id="82" w:name="page83"/>
    <w:bookmarkEnd w:id="82"/>
    <w:p>
      <w:pPr>
        <w:jc w:val="both"/>
        <w:ind w:left="880"/>
        <w:spacing w:after="0" w:line="267" w:lineRule="auto"/>
        <w:rPr>
          <w:sz w:val="20"/>
          <w:szCs w:val="20"/>
          <w:color w:val="auto"/>
        </w:rPr>
      </w:pPr>
      <w:r>
        <w:rPr>
          <w:rFonts w:ascii="Arial" w:cs="Arial" w:eastAsia="Arial" w:hAnsi="Arial"/>
          <w:sz w:val="18"/>
          <w:szCs w:val="18"/>
          <w:color w:val="auto"/>
        </w:rPr>
        <w:t>pursuant to securities held by High Trail SA, High Trail ON or any of their affiliates; (E) the issuance of Common Stock upon the exercise of Options or warrants, the settlement or vesting of restricted stock units, stock appreciation rights or restricted stock awards (including shares of Common Stock withheld by the Company for the purpose of paying on behalf of the holder thereof the exercise price of stock options or for paying taxes due as a result of such exercise or lapse of forfeiture restrictions), or the conversion of outstanding preferred stock or other outstanding Convertible Securities which are outstanding on date hereof or granted pursuant to an Approved Stock Plan after the date hereof, provided, that such issuance of Common Stock upon exercise of such Options or Convertible Securities is made pursuant to the terms of either: (I) such Approved Stock Plan or (II) such Options or Convertible Securities in effect on the date hereof and, in the case of (II), such Options or Convertible Securities are not amended, modified or changed on or after the date hereof to increase the number of such securities, to decrease the exercise price, exchange price or conversion price of such securities or to extend the term of such securities; or (2) to the granting of registration rights with respect to any issuance of securities under clause (B) of this sentence; provided that no such registration statement is filed with respect to such securities during the Restricted Period. As used herein, (i) “</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and Options) or any of its subsidiaries; (ii) “</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 and (iii) “</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stock option plan or employee benefit plan or any stock or option plan or other agreement which has been approved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prior to the date hereof, or any stock option plan or employee benefit plan or any stock or option plan or other agreement which is approved by:</w:t>
      </w:r>
    </w:p>
    <w:p>
      <w:pPr>
        <w:spacing w:after="0" w:line="3" w:lineRule="exact"/>
        <w:rPr>
          <w:sz w:val="20"/>
          <w:szCs w:val="20"/>
          <w:color w:val="auto"/>
        </w:rPr>
      </w:pPr>
    </w:p>
    <w:p>
      <w:pPr>
        <w:ind w:left="1200" w:hanging="328"/>
        <w:spacing w:after="0"/>
        <w:tabs>
          <w:tab w:leader="none" w:pos="1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Board of Directors or the compensation committee thereof and the stockholders of the Company after the date hereof, or</w:t>
      </w:r>
    </w:p>
    <w:p>
      <w:pPr>
        <w:spacing w:after="0" w:line="22" w:lineRule="exact"/>
        <w:rPr>
          <w:rFonts w:ascii="Arial" w:cs="Arial" w:eastAsia="Arial" w:hAnsi="Arial"/>
          <w:sz w:val="18"/>
          <w:szCs w:val="18"/>
          <w:color w:val="auto"/>
        </w:rPr>
      </w:pPr>
    </w:p>
    <w:p>
      <w:pPr>
        <w:jc w:val="both"/>
        <w:ind w:left="880" w:hanging="8"/>
        <w:spacing w:after="0" w:line="241" w:lineRule="auto"/>
        <w:tabs>
          <w:tab w:leader="none" w:pos="1204"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Board of Directors or the compensation committee thereof as inducement grants in accordance with Nasdaq Listing Rule 5635(c)(4) after the date hereof, pursuant to which shares of Common Stock, options to purchase Common Stock and other incentive equity awards may be issued to any employee, officer, consultant or director for services provided to the Company in their capacity as such.</w:t>
      </w:r>
    </w:p>
    <w:p>
      <w:pPr>
        <w:spacing w:after="0" w:line="194" w:lineRule="exact"/>
        <w:rPr>
          <w:rFonts w:ascii="Arial" w:cs="Arial" w:eastAsia="Arial" w:hAnsi="Arial"/>
          <w:sz w:val="20"/>
          <w:szCs w:val="20"/>
          <w:color w:val="auto"/>
        </w:rPr>
      </w:pPr>
    </w:p>
    <w:p>
      <w:pPr>
        <w:jc w:val="both"/>
        <w:ind w:left="880" w:hanging="440"/>
        <w:spacing w:after="0" w:line="259" w:lineRule="auto"/>
        <w:tabs>
          <w:tab w:leader="none" w:pos="8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no later than 9:15 a.m., New York City time on September 23, 2021, the Company shall file a Current Report on Form 8-K disclosing all the material terms of the transactions contemplated by this letter agreement and the Omnibus Amendment (the “</w:t>
      </w:r>
      <w:r>
        <w:rPr>
          <w:rFonts w:ascii="Arial" w:cs="Arial" w:eastAsia="Arial" w:hAnsi="Arial"/>
          <w:sz w:val="19"/>
          <w:szCs w:val="19"/>
          <w:b w:val="1"/>
          <w:bCs w:val="1"/>
          <w:color w:val="auto"/>
        </w:rPr>
        <w:t>Form 8-K</w:t>
      </w:r>
      <w:r>
        <w:rPr>
          <w:rFonts w:ascii="Arial" w:cs="Arial" w:eastAsia="Arial" w:hAnsi="Arial"/>
          <w:sz w:val="19"/>
          <w:szCs w:val="19"/>
          <w:color w:val="auto"/>
        </w:rPr>
        <w:t>”). From and after the issuance of the Form 8-K, the Company shall have disclosed all material, nonpublic information (if any) provided to High Trail SA or High Trail ON by the Company or any of its subsidiaries or any of their respective officers, directors, employees or agents and neither High Trail SA nor High Trail ON shall be in possession of any material, non-public information regarding the Company or any of its Subsidiaries.</w:t>
      </w:r>
    </w:p>
    <w:p>
      <w:pPr>
        <w:spacing w:after="0" w:line="178" w:lineRule="exact"/>
        <w:rPr>
          <w:rFonts w:ascii="Arial" w:cs="Arial" w:eastAsia="Arial" w:hAnsi="Arial"/>
          <w:sz w:val="19"/>
          <w:szCs w:val="19"/>
          <w:color w:val="auto"/>
        </w:rPr>
      </w:pPr>
    </w:p>
    <w:p>
      <w:pPr>
        <w:jc w:val="both"/>
        <w:ind w:left="880" w:hanging="440"/>
        <w:spacing w:after="0" w:line="246" w:lineRule="auto"/>
        <w:tabs>
          <w:tab w:leader="none" w:pos="8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Company shall, within two Business Days of the date of this letter agreement, pay all reasonable and documented out-of-pocket expenses and costs of High Trail SA and High Trail ON (including, without limitation, the reasonable and documented attorney fees and expenses of counsel for High Trail SA and High Trail ON) in connection with the preparation, negotiation, execution and approval of this letter agreement.</w:t>
      </w:r>
    </w:p>
    <w:p>
      <w:pPr>
        <w:spacing w:after="0" w:line="191"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Any breach of the terms and conditions by the Company of this letter agreement or failure to deliver the shares of Common Stock pursuant to Event of Default Stock Payment Notices delivered hereunder will constitute an Event of Default under each of the Notes and void this letter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i w:val="1"/>
          <w:iCs w:val="1"/>
          <w:color w:val="auto"/>
        </w:rPr>
        <w:t>[Remainder of Page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226695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84" w:name="page85"/>
    <w:bookmarkEnd w:id="84"/>
    <w:p>
      <w:pPr>
        <w:ind w:right="80" w:firstLine="648"/>
        <w:spacing w:after="0" w:line="250" w:lineRule="auto"/>
        <w:rPr>
          <w:sz w:val="20"/>
          <w:szCs w:val="20"/>
          <w:color w:val="auto"/>
        </w:rPr>
      </w:pPr>
      <w:r>
        <w:rPr>
          <w:rFonts w:ascii="Arial" w:cs="Arial" w:eastAsia="Arial" w:hAnsi="Arial"/>
          <w:sz w:val="20"/>
          <w:szCs w:val="20"/>
          <w:color w:val="auto"/>
        </w:rPr>
        <w:t>This letter agreement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200" w:lineRule="exact"/>
        <w:rPr>
          <w:sz w:val="20"/>
          <w:szCs w:val="20"/>
          <w:color w:val="auto"/>
        </w:rPr>
      </w:pPr>
    </w:p>
    <w:tbl>
      <w:tblPr>
        <w:tblLayout w:type="fixed"/>
        <w:tblInd w:w="5940" w:type="dxa"/>
        <w:tblCellMar>
          <w:top w:w="0" w:type="dxa"/>
          <w:left w:w="0" w:type="dxa"/>
          <w:bottom w:w="0" w:type="dxa"/>
          <w:right w:w="0" w:type="dxa"/>
        </w:tblCellMar>
      </w:tblP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Very truly yours,</w:t>
            </w:r>
          </w:p>
        </w:tc>
        <w:tc>
          <w:tcPr>
            <w:tcW w:w="3800" w:type="dxa"/>
            <w:vAlign w:val="bottom"/>
          </w:tcPr>
          <w:p>
            <w:pPr>
              <w:spacing w:after="0"/>
              <w:rPr>
                <w:sz w:val="21"/>
                <w:szCs w:val="21"/>
                <w:color w:val="auto"/>
              </w:rPr>
            </w:pPr>
          </w:p>
        </w:tc>
      </w:tr>
      <w:tr>
        <w:trPr>
          <w:trHeight w:val="459"/>
        </w:trPr>
        <w:tc>
          <w:tcPr>
            <w:tcW w:w="1500" w:type="dxa"/>
            <w:vAlign w:val="bottom"/>
          </w:tcPr>
          <w:p>
            <w:pPr>
              <w:spacing w:after="0"/>
              <w:rPr>
                <w:sz w:val="20"/>
                <w:szCs w:val="20"/>
                <w:color w:val="auto"/>
              </w:rPr>
            </w:pPr>
            <w:r>
              <w:rPr>
                <w:rFonts w:ascii="Arial" w:cs="Arial" w:eastAsia="Arial" w:hAnsi="Arial"/>
                <w:sz w:val="20"/>
                <w:szCs w:val="20"/>
                <w:b w:val="1"/>
                <w:bCs w:val="1"/>
                <w:color w:val="auto"/>
              </w:rPr>
              <w:t>ATERIAN, INC.</w:t>
            </w:r>
          </w:p>
        </w:tc>
        <w:tc>
          <w:tcPr>
            <w:tcW w:w="3800" w:type="dxa"/>
            <w:vAlign w:val="bottom"/>
          </w:tcPr>
          <w:p>
            <w:pPr>
              <w:spacing w:after="0"/>
              <w:rPr>
                <w:sz w:val="24"/>
                <w:szCs w:val="24"/>
                <w:color w:val="auto"/>
              </w:rPr>
            </w:pPr>
          </w:p>
        </w:tc>
      </w:tr>
      <w:tr>
        <w:trPr>
          <w:trHeight w:val="462"/>
        </w:trPr>
        <w:tc>
          <w:tcPr>
            <w:tcW w:w="150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Arturo Rodriguez</w:t>
            </w:r>
          </w:p>
        </w:tc>
      </w:tr>
      <w:tr>
        <w:trPr>
          <w:trHeight w:val="213"/>
        </w:trPr>
        <w:tc>
          <w:tcPr>
            <w:tcW w:w="15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12" w:lineRule="exact"/>
              <w:rPr>
                <w:sz w:val="20"/>
                <w:szCs w:val="20"/>
                <w:color w:val="auto"/>
              </w:rPr>
            </w:pPr>
            <w:r>
              <w:rPr>
                <w:rFonts w:ascii="Arial" w:cs="Arial" w:eastAsia="Arial" w:hAnsi="Arial"/>
                <w:sz w:val="20"/>
                <w:szCs w:val="20"/>
                <w:color w:val="auto"/>
              </w:rPr>
              <w:t>Arturo Rodriguez</w:t>
            </w:r>
          </w:p>
        </w:tc>
      </w:t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AGREED AND ACCEPTED</w:t>
      </w:r>
      <w:r>
        <w:rPr>
          <w:rFonts w:ascii="Arial" w:cs="Arial" w:eastAsia="Arial" w:hAnsi="Arial"/>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 TRAIL INVESTMENTS SA LLC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Eric Helenek</w:t>
            </w:r>
          </w:p>
        </w:tc>
        <w:tc>
          <w:tcPr>
            <w:tcW w:w="5960" w:type="dxa"/>
            <w:vAlign w:val="bottom"/>
          </w:tcPr>
          <w:p>
            <w:pPr>
              <w:spacing w:after="0"/>
              <w:rPr>
                <w:sz w:val="22"/>
                <w:szCs w:val="22"/>
                <w:color w:val="auto"/>
              </w:rPr>
            </w:pPr>
          </w:p>
        </w:tc>
      </w:tr>
      <w:tr>
        <w:trPr>
          <w:trHeight w:val="213"/>
        </w:trPr>
        <w:tc>
          <w:tcPr>
            <w:tcW w:w="15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12" w:lineRule="exact"/>
              <w:rPr>
                <w:sz w:val="20"/>
                <w:szCs w:val="20"/>
                <w:color w:val="auto"/>
              </w:rPr>
            </w:pPr>
            <w:r>
              <w:rPr>
                <w:rFonts w:ascii="Arial" w:cs="Arial" w:eastAsia="Arial" w:hAnsi="Arial"/>
                <w:sz w:val="20"/>
                <w:szCs w:val="20"/>
                <w:color w:val="auto"/>
              </w:rPr>
              <w:t>Eric Helenek</w:t>
            </w:r>
          </w:p>
        </w:tc>
        <w:tc>
          <w:tcPr>
            <w:tcW w:w="5960" w:type="dxa"/>
            <w:vAlign w:val="bottom"/>
          </w:tcPr>
          <w:p>
            <w:pPr>
              <w:spacing w:after="0"/>
              <w:rPr>
                <w:sz w:val="18"/>
                <w:szCs w:val="18"/>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Authorized Signatory</w:t>
            </w:r>
          </w:p>
        </w:tc>
        <w:tc>
          <w:tcPr>
            <w:tcW w:w="5960" w:type="dxa"/>
            <w:vAlign w:val="bottom"/>
          </w:tcPr>
          <w:p>
            <w:pPr>
              <w:spacing w:after="0"/>
              <w:rPr>
                <w:sz w:val="21"/>
                <w:szCs w:val="21"/>
                <w:color w:val="auto"/>
              </w:rPr>
            </w:pPr>
          </w:p>
        </w:tc>
      </w:tr>
      <w:tr>
        <w:trPr>
          <w:trHeight w:val="570"/>
        </w:trPr>
        <w:tc>
          <w:tcPr>
            <w:tcW w:w="15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20"/>
          <w:szCs w:val="20"/>
          <w:b w:val="1"/>
          <w:bCs w:val="1"/>
          <w:color w:val="auto"/>
        </w:rPr>
        <w:t>Exhibit A</w:t>
      </w:r>
    </w:p>
    <w:p>
      <w:pPr>
        <w:spacing w:after="0" w:line="242"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Form of Second Omnibus Amendment to Senior Secured Notes Due 2024 and Warrants to Purchase Common Stock (see attached)</w:t>
      </w:r>
    </w:p>
    <w:p>
      <w:pPr>
        <w:sectPr>
          <w:pgSz w:w="11900" w:h="16838" w:orient="portrait"/>
          <w:cols w:equalWidth="0" w:num="1">
            <w:col w:w="9800"/>
          </w:cols>
          <w:pgMar w:left="1040" w:top="118" w:right="105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September 22,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High Trail Investments ON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221 River Street, 9</w:t>
      </w:r>
      <w:r>
        <w:rPr>
          <w:rFonts w:ascii="Arial" w:cs="Arial" w:eastAsia="Arial" w:hAnsi="Arial"/>
          <w:sz w:val="16"/>
          <w:szCs w:val="16"/>
          <w:color w:val="auto"/>
        </w:rPr>
        <w:t>th</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0"/>
          <w:szCs w:val="20"/>
          <w:color w:val="auto"/>
        </w:rPr>
        <w:t>Hoboken, NJ 07030</w:t>
      </w:r>
    </w:p>
    <w:p>
      <w:pPr>
        <w:spacing w:after="0"/>
        <w:rPr>
          <w:sz w:val="20"/>
          <w:szCs w:val="20"/>
          <w:color w:val="auto"/>
        </w:rPr>
      </w:pPr>
      <w:r>
        <w:rPr>
          <w:rFonts w:ascii="Arial" w:cs="Arial" w:eastAsia="Arial" w:hAnsi="Arial"/>
          <w:sz w:val="20"/>
          <w:szCs w:val="20"/>
          <w:color w:val="auto"/>
        </w:rPr>
        <w:t>Attention: Eric Helenek</w:t>
      </w:r>
    </w:p>
    <w:p>
      <w:pPr>
        <w:spacing w:after="0" w:line="21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0"/>
          <w:szCs w:val="20"/>
          <w:b w:val="1"/>
          <w:bCs w:val="1"/>
          <w:i w:val="1"/>
          <w:iCs w:val="1"/>
          <w:color w:val="auto"/>
        </w:rPr>
        <w:t>Re:</w:t>
      </w:r>
      <w:r>
        <w:rPr>
          <w:sz w:val="20"/>
          <w:szCs w:val="20"/>
          <w:color w:val="auto"/>
        </w:rPr>
        <w:tab/>
      </w:r>
      <w:r>
        <w:rPr>
          <w:rFonts w:ascii="Arial" w:cs="Arial" w:eastAsia="Arial" w:hAnsi="Arial"/>
          <w:sz w:val="20"/>
          <w:szCs w:val="20"/>
          <w:b w:val="1"/>
          <w:bCs w:val="1"/>
          <w:i w:val="1"/>
          <w:iCs w:val="1"/>
          <w:color w:val="auto"/>
        </w:rPr>
        <w:t>Agreement re 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8"/>
          <w:szCs w:val="18"/>
          <w:color w:val="auto"/>
        </w:rPr>
        <w:t>Reference is made to: (i) that certain Senior Secured Note due 2024 (Certificate No. A-4) issued on April 8, 2021 by Aterian, Inc. (formerly known as Mohawk Group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to High Trail Investments ON LLC (“</w:t>
      </w:r>
      <w:r>
        <w:rPr>
          <w:rFonts w:ascii="Arial" w:cs="Arial" w:eastAsia="Arial" w:hAnsi="Arial"/>
          <w:sz w:val="18"/>
          <w:szCs w:val="18"/>
          <w:b w:val="1"/>
          <w:bCs w:val="1"/>
          <w:color w:val="auto"/>
        </w:rPr>
        <w:t>High Trail ON</w:t>
      </w:r>
      <w:r>
        <w:rPr>
          <w:rFonts w:ascii="Arial" w:cs="Arial" w:eastAsia="Arial" w:hAnsi="Arial"/>
          <w:sz w:val="18"/>
          <w:szCs w:val="18"/>
          <w:color w:val="auto"/>
        </w:rPr>
        <w:t>”), as amended (the “</w:t>
      </w:r>
      <w:r>
        <w:rPr>
          <w:rFonts w:ascii="Arial" w:cs="Arial" w:eastAsia="Arial" w:hAnsi="Arial"/>
          <w:sz w:val="18"/>
          <w:szCs w:val="18"/>
          <w:b w:val="1"/>
          <w:bCs w:val="1"/>
          <w:color w:val="auto"/>
        </w:rPr>
        <w:t>Exchange Note</w:t>
      </w:r>
      <w:r>
        <w:rPr>
          <w:rFonts w:ascii="Arial" w:cs="Arial" w:eastAsia="Arial" w:hAnsi="Arial"/>
          <w:sz w:val="18"/>
          <w:szCs w:val="18"/>
          <w:color w:val="auto"/>
        </w:rPr>
        <w:t>”), (ii) that certain Senior Secured Note due 2024 (Certificate No. A-5) issued on April 8, 2021 by the Company to High Trail ON, as amended (the “</w:t>
      </w:r>
      <w:r>
        <w:rPr>
          <w:rFonts w:ascii="Arial" w:cs="Arial" w:eastAsia="Arial" w:hAnsi="Arial"/>
          <w:sz w:val="18"/>
          <w:szCs w:val="18"/>
          <w:b w:val="1"/>
          <w:bCs w:val="1"/>
          <w:color w:val="auto"/>
        </w:rPr>
        <w:t>Purchase Note</w:t>
      </w:r>
      <w:r>
        <w:rPr>
          <w:rFonts w:ascii="Arial" w:cs="Arial" w:eastAsia="Arial" w:hAnsi="Arial"/>
          <w:sz w:val="18"/>
          <w:szCs w:val="18"/>
          <w:color w:val="auto"/>
        </w:rPr>
        <w:t>” and collectively with the Exchange Note, the “</w:t>
      </w:r>
      <w:r>
        <w:rPr>
          <w:rFonts w:ascii="Arial" w:cs="Arial" w:eastAsia="Arial" w:hAnsi="Arial"/>
          <w:sz w:val="18"/>
          <w:szCs w:val="18"/>
          <w:b w:val="1"/>
          <w:bCs w:val="1"/>
          <w:color w:val="auto"/>
        </w:rPr>
        <w:t>Notes</w:t>
      </w:r>
      <w:r>
        <w:rPr>
          <w:rFonts w:ascii="Arial" w:cs="Arial" w:eastAsia="Arial" w:hAnsi="Arial"/>
          <w:sz w:val="18"/>
          <w:szCs w:val="18"/>
          <w:color w:val="auto"/>
        </w:rPr>
        <w:t>”), (iii) that certain Warrant to Purchase Common Stock (No. HTCS-2), issued to High Trail ON pursuant to that certain Securities Purchase Agreement dated as of February 2, 2021, by and between the Company and High Trail ON, as amended (the “</w:t>
      </w:r>
      <w:r>
        <w:rPr>
          <w:rFonts w:ascii="Arial" w:cs="Arial" w:eastAsia="Arial" w:hAnsi="Arial"/>
          <w:sz w:val="18"/>
          <w:szCs w:val="18"/>
          <w:b w:val="1"/>
          <w:bCs w:val="1"/>
          <w:color w:val="auto"/>
        </w:rPr>
        <w:t>HTCS-2 Warrant</w:t>
      </w:r>
      <w:r>
        <w:rPr>
          <w:rFonts w:ascii="Arial" w:cs="Arial" w:eastAsia="Arial" w:hAnsi="Arial"/>
          <w:sz w:val="18"/>
          <w:szCs w:val="18"/>
          <w:color w:val="auto"/>
        </w:rPr>
        <w:t>”), (iv) that certain Warrant to Purchase Common Stock (No. HTCS-7), issued to High Trail ON by the Company on April 8, 2021, as amended (the “</w:t>
      </w:r>
      <w:r>
        <w:rPr>
          <w:rFonts w:ascii="Arial" w:cs="Arial" w:eastAsia="Arial" w:hAnsi="Arial"/>
          <w:sz w:val="18"/>
          <w:szCs w:val="18"/>
          <w:b w:val="1"/>
          <w:bCs w:val="1"/>
          <w:color w:val="auto"/>
        </w:rPr>
        <w:t>HTCS-7 Warrant</w:t>
      </w:r>
      <w:r>
        <w:rPr>
          <w:rFonts w:ascii="Arial" w:cs="Arial" w:eastAsia="Arial" w:hAnsi="Arial"/>
          <w:sz w:val="18"/>
          <w:szCs w:val="18"/>
          <w:color w:val="auto"/>
        </w:rPr>
        <w:t>”), and (v) that certain Warrant to Purchase Common Stock (No. HTCS-8), issued to High Trail ON by the Company on April 8, 2021, as amended (the “</w:t>
      </w:r>
      <w:r>
        <w:rPr>
          <w:rFonts w:ascii="Arial" w:cs="Arial" w:eastAsia="Arial" w:hAnsi="Arial"/>
          <w:sz w:val="18"/>
          <w:szCs w:val="18"/>
          <w:b w:val="1"/>
          <w:bCs w:val="1"/>
          <w:color w:val="auto"/>
        </w:rPr>
        <w:t>HTCS-8</w:t>
      </w:r>
      <w:r>
        <w:rPr>
          <w:rFonts w:ascii="Arial" w:cs="Arial" w:eastAsia="Arial" w:hAnsi="Arial"/>
          <w:sz w:val="18"/>
          <w:szCs w:val="18"/>
          <w:color w:val="auto"/>
        </w:rPr>
        <w:t xml:space="preserve"> </w:t>
      </w:r>
      <w:r>
        <w:rPr>
          <w:rFonts w:ascii="Arial" w:cs="Arial" w:eastAsia="Arial" w:hAnsi="Arial"/>
          <w:sz w:val="18"/>
          <w:szCs w:val="18"/>
          <w:b w:val="1"/>
          <w:bCs w:val="1"/>
          <w:color w:val="auto"/>
        </w:rPr>
        <w:t>Warrant</w:t>
      </w:r>
      <w:r>
        <w:rPr>
          <w:rFonts w:ascii="Arial" w:cs="Arial" w:eastAsia="Arial" w:hAnsi="Arial"/>
          <w:sz w:val="18"/>
          <w:szCs w:val="18"/>
          <w:color w:val="auto"/>
        </w:rPr>
        <w:t>” and collectively with the HTCS-2 Warrant and the HTCS-7 Warrant, the “</w:t>
      </w:r>
      <w:r>
        <w:rPr>
          <w:rFonts w:ascii="Arial" w:cs="Arial" w:eastAsia="Arial" w:hAnsi="Arial"/>
          <w:sz w:val="18"/>
          <w:szCs w:val="18"/>
          <w:b w:val="1"/>
          <w:bCs w:val="1"/>
          <w:color w:val="auto"/>
        </w:rPr>
        <w:t>High Trail ON Warrants</w:t>
      </w:r>
      <w:r>
        <w:rPr>
          <w:rFonts w:ascii="Arial" w:cs="Arial" w:eastAsia="Arial" w:hAnsi="Arial"/>
          <w:sz w:val="18"/>
          <w:szCs w:val="18"/>
          <w:color w:val="auto"/>
        </w:rPr>
        <w:t>”). Capitalized terms used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defined herein shall have the meaning given to them by the Notes.</w:t>
      </w:r>
    </w:p>
    <w:p>
      <w:pPr>
        <w:spacing w:after="0" w:line="17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The Company hereby acknowledges the occurrence of certain defaults under the Notes and the other Transaction Documents disclosed to High Trail ON in writing on the date hereof, including Events of Default under Section 11(a)(viii) of the Notes. The Company further acknowledges that High Trail ON has declared an Event of Default under the Notes (the “</w:t>
      </w:r>
      <w:r>
        <w:rPr>
          <w:rFonts w:ascii="Arial" w:cs="Arial" w:eastAsia="Arial" w:hAnsi="Arial"/>
          <w:sz w:val="19"/>
          <w:szCs w:val="19"/>
          <w:b w:val="1"/>
          <w:bCs w:val="1"/>
          <w:color w:val="auto"/>
        </w:rPr>
        <w:t>Current Events of Default</w:t>
      </w:r>
      <w:r>
        <w:rPr>
          <w:rFonts w:ascii="Arial" w:cs="Arial" w:eastAsia="Arial" w:hAnsi="Arial"/>
          <w:sz w:val="19"/>
          <w:szCs w:val="19"/>
          <w:color w:val="auto"/>
        </w:rPr>
        <w:t>”) and declared all of the Principal Amount and accrued but unpaid interest under the Exchange Note to be due and payable immediately for cash in an amount equal to the Event of Default Acceleration Amount of $15,494,519.54 and declared $7,210,363.20 of the Principal Amount and accrued but unpaid interest under the Purchase Note to be due and payable immediately for cash in an amount equal to the Event of Default Acceleration Amount of $8,327,168.34 (collectively, the “</w:t>
      </w:r>
      <w:r>
        <w:rPr>
          <w:rFonts w:ascii="Arial" w:cs="Arial" w:eastAsia="Arial" w:hAnsi="Arial"/>
          <w:sz w:val="19"/>
          <w:szCs w:val="19"/>
          <w:b w:val="1"/>
          <w:bCs w:val="1"/>
          <w:color w:val="auto"/>
        </w:rPr>
        <w:t>Current Events of Default Acceleration Amount</w:t>
      </w:r>
      <w:r>
        <w:rPr>
          <w:rFonts w:ascii="Arial" w:cs="Arial" w:eastAsia="Arial" w:hAnsi="Arial"/>
          <w:sz w:val="19"/>
          <w:szCs w:val="19"/>
          <w:color w:val="auto"/>
        </w:rPr>
        <w:t>”). The Company further acknowledges that the Current Events of Default Acceleration Amount is immediately payable in cash and that the Company is waiving its right to pay the Current Events of Default Acceleration Amount in cash.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valuable consideration, the sufficiency of which is hereby acknowledged, the parties hereto hereby agree as follows:</w:t>
      </w:r>
    </w:p>
    <w:p>
      <w:pPr>
        <w:spacing w:after="0" w:line="216" w:lineRule="exact"/>
        <w:rPr>
          <w:sz w:val="20"/>
          <w:szCs w:val="20"/>
          <w:color w:val="auto"/>
        </w:rPr>
      </w:pPr>
    </w:p>
    <w:p>
      <w:pPr>
        <w:jc w:val="both"/>
        <w:ind w:left="880" w:hanging="440"/>
        <w:spacing w:after="0" w:line="27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From and after the date hereof, High Trail ON shall have no right to exercise any remedy or otherwise enforce any rights against the Company or any of its subsidiaries under the Transaction Documents with respect to the Current Events of Defaults under the Exchange Note or any other Event of Default under the Exchange Note occurring prior to the satisfaction of the Current Events of Default Acceleration Amount (other than with respect to the right to receive payment by the Company of the Current Events of Default Acceleration Amount in shares of fully paid, validly issued Common Stock at the Event of Default Stock Payment Price or with respect to any breach of this letter agreement). High Trail ON shall deliver Event of Default Stock Payment Notices with respect to the Current Events of Default Acceleration Amount as soon as it is practicable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jc w:val="both"/>
        <w:ind w:left="440"/>
        <w:spacing w:after="0" w:line="243" w:lineRule="auto"/>
        <w:rPr>
          <w:sz w:val="20"/>
          <w:szCs w:val="20"/>
          <w:color w:val="auto"/>
        </w:rPr>
      </w:pPr>
      <w:r>
        <w:rPr>
          <w:rFonts w:ascii="Arial" w:cs="Arial" w:eastAsia="Arial" w:hAnsi="Arial"/>
          <w:sz w:val="20"/>
          <w:szCs w:val="20"/>
          <w:color w:val="auto"/>
        </w:rPr>
        <w:t>without High Trail ON, together with the other Attribution Parties, collectively beneficially owning in the aggregate in excess of the Maximum Percentage (calculated in accordance with Section 7(A) of the Notes). All shares of Common Stock issued by the Company to High Trail ON with respect to the Event of Default Acceleration Amount payable under the Exchange Note shall be Freely Tradable and the Company acknowledges that High Trail ON is under no obligation to accept any portion of the Current Events of Default Acceleration Amount with respect to the Purchase Note in shares of Common Stock until High Trail ON has received all of the Current Events of Default Acceleration Amount with respect to the Exchange Note in shares of Freely Tradable Common Stock.</w:t>
      </w:r>
    </w:p>
    <w:p>
      <w:pPr>
        <w:spacing w:after="0" w:line="193" w:lineRule="exact"/>
        <w:rPr>
          <w:sz w:val="20"/>
          <w:szCs w:val="20"/>
          <w:color w:val="auto"/>
        </w:rPr>
      </w:pPr>
    </w:p>
    <w:p>
      <w:pPr>
        <w:ind w:left="440" w:hanging="440"/>
        <w:spacing w:after="0" w:line="287"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acknowledges and agrees that the number of shares of Common Stock outstanding as of the date hereof is equal to 40,455,386 and that the Event of Default Stock Payment Price as of September 22, 2021 is equal to $8.1212.</w:t>
      </w:r>
    </w:p>
    <w:p>
      <w:pPr>
        <w:spacing w:after="0" w:line="152" w:lineRule="exact"/>
        <w:rPr>
          <w:rFonts w:ascii="Arial" w:cs="Arial" w:eastAsia="Arial" w:hAnsi="Arial"/>
          <w:sz w:val="19"/>
          <w:szCs w:val="19"/>
          <w:color w:val="auto"/>
        </w:rPr>
      </w:pPr>
    </w:p>
    <w:p>
      <w:pPr>
        <w:jc w:val="both"/>
        <w:ind w:left="440" w:hanging="440"/>
        <w:spacing w:after="0" w:line="269"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agrees that it shall no longer have the right to cause a Forced Exercise (as defined in the High Trail ON Warrants) under Section 1(i) of the High Trail ON Warrants due to the fact that the Current Events of Default have occurred and regardless of the Company's performance of its obligations hereunder or whether any of the Notes remain outstanding.</w:t>
      </w:r>
    </w:p>
    <w:p>
      <w:pPr>
        <w:spacing w:after="0" w:line="163" w:lineRule="exact"/>
        <w:rPr>
          <w:rFonts w:ascii="Arial" w:cs="Arial" w:eastAsia="Arial" w:hAnsi="Arial"/>
          <w:sz w:val="19"/>
          <w:szCs w:val="19"/>
          <w:color w:val="auto"/>
        </w:rPr>
      </w:pPr>
    </w:p>
    <w:p>
      <w:pPr>
        <w:jc w:val="both"/>
        <w:ind w:left="440" w:hanging="440"/>
        <w:spacing w:after="0" w:line="260" w:lineRule="auto"/>
        <w:tabs>
          <w:tab w:leader="none" w:pos="4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shall execute and deliver to High Trail ON and High Trail Investments SA LLC (“</w:t>
      </w:r>
      <w:r>
        <w:rPr>
          <w:rFonts w:ascii="Arial" w:cs="Arial" w:eastAsia="Arial" w:hAnsi="Arial"/>
          <w:sz w:val="20"/>
          <w:szCs w:val="20"/>
          <w:b w:val="1"/>
          <w:bCs w:val="1"/>
          <w:color w:val="auto"/>
        </w:rPr>
        <w:t>High Trail SA</w:t>
      </w:r>
      <w:r>
        <w:rPr>
          <w:rFonts w:ascii="Arial" w:cs="Arial" w:eastAsia="Arial" w:hAnsi="Arial"/>
          <w:sz w:val="20"/>
          <w:szCs w:val="20"/>
          <w:color w:val="auto"/>
        </w:rPr>
        <w:t xml:space="preserve">”) on the date of this letter agreement, the Second Omnibus Amendment to Senior Secured Notes Due 2024 and Warrants to Purchase Common Stock in the form attached hereto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color w:val="auto"/>
        </w:rPr>
        <w:t>Omnibus Amendment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440" w:hanging="440"/>
        <w:spacing w:after="0" w:line="256" w:lineRule="auto"/>
        <w:tabs>
          <w:tab w:leader="none" w:pos="4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Effective upon satisfaction of (i) all obligations in this letter agreement, including without limitation, the payment by the Company of the Current Events of Default Acceleration Amount in shares of fully paid, validly issued Common Stock at the Event of Default Stock Payment Price, (ii) all obligations under that certain letter agreement </w:t>
      </w:r>
      <w:r>
        <w:rPr>
          <w:rFonts w:ascii="Arial" w:cs="Arial" w:eastAsia="Arial" w:hAnsi="Arial"/>
          <w:sz w:val="19"/>
          <w:szCs w:val="19"/>
          <w:i w:val="1"/>
          <w:iCs w:val="1"/>
          <w:color w:val="auto"/>
        </w:rPr>
        <w:t>Re: Agreement re Events of Default</w:t>
      </w:r>
      <w:r>
        <w:rPr>
          <w:rFonts w:ascii="Arial" w:cs="Arial" w:eastAsia="Arial" w:hAnsi="Arial"/>
          <w:sz w:val="19"/>
          <w:szCs w:val="19"/>
          <w:color w:val="auto"/>
        </w:rPr>
        <w:t>, dated as of September 22, 2021, entered into between the Company and High Trail SA, including without limitation, the payment by the Company of the Current Events of Default Acceleration Amount in shares of fully paid, validly issued Common Stock at the Event of Default Stock Payment Price (as such terms are defined in such letter agreement) and (iii) all obligations under the Omnibus Amendment, High Trail ON waives (i) the Current Events of Default under the terms of the Purchase Note with respect to the remainder of the outstanding Principal Amount under the Purchase Note and (ii) all Default Interest that would otherwise be applicable to the Current Events of Default.</w:t>
      </w:r>
    </w:p>
    <w:p>
      <w:pPr>
        <w:spacing w:after="0" w:line="178" w:lineRule="exact"/>
        <w:rPr>
          <w:rFonts w:ascii="Arial" w:cs="Arial" w:eastAsia="Arial" w:hAnsi="Arial"/>
          <w:sz w:val="19"/>
          <w:szCs w:val="19"/>
          <w:color w:val="auto"/>
        </w:rPr>
      </w:pPr>
    </w:p>
    <w:p>
      <w:pPr>
        <w:jc w:val="both"/>
        <w:ind w:left="440" w:hanging="440"/>
        <w:spacing w:after="0" w:line="271"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agrees that for the period commencing on the date hereof and ending on November 1, 2021 (the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neither the Company nor any of its subsidiaries shall directly or indirectly issue, offer, sell, grant any option or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 otherwise dispose of (or announce any issuance, offer, sale, grant of any option or right to purchase or other disposition of, or file a registration statement with respect to) any equity security or any equity-linked or related security (including, without limitation, any “equity security” (as that term is defined under Rule 405 promulgated under the 1933 Act), any Convertible Securities, any preferred stock or any purchase rights). Notwithstanding the foregoing, the restrictions in this Section 6 shall not apply during the Restricted Period: (1) in respect of the issuance of (A) Options or Convertible Securities issued under any Approved Stock Plan; (B) the issuance of securities as consideration in any merger, acquisition, business combination or strategic investment (including any joint venture, marketing, distribution, collaboration, license, strategic alliance or partnership), provided, that such securities are not issued primarily for the purpose of raising capital; (C) shares of the Company’s capital stock issuable pursuant to shareholder rights plans; (D) shares of Common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461010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760" w:top="352" w:right="339" w:bottom="1440" w:gutter="0" w:footer="0" w:header="0"/>
        </w:sectPr>
      </w:pPr>
    </w:p>
    <w:bookmarkStart w:id="88" w:name="page89"/>
    <w:bookmarkEnd w:id="88"/>
    <w:p>
      <w:pPr>
        <w:jc w:val="both"/>
        <w:ind w:left="880"/>
        <w:spacing w:after="0" w:line="267" w:lineRule="auto"/>
        <w:rPr>
          <w:sz w:val="20"/>
          <w:szCs w:val="20"/>
          <w:color w:val="auto"/>
        </w:rPr>
      </w:pPr>
      <w:r>
        <w:rPr>
          <w:rFonts w:ascii="Arial" w:cs="Arial" w:eastAsia="Arial" w:hAnsi="Arial"/>
          <w:sz w:val="18"/>
          <w:szCs w:val="18"/>
          <w:color w:val="auto"/>
        </w:rPr>
        <w:t>pursuant to securities held by High Trail SA, High Trail ON or any of their affiliates; (E) the issuance of Common Stock upon the exercise of Options or warrants, the settlement or vesting of restricted stock units, stock appreciation rights or restricted stock awards (including shares of Common Stock withheld by the Company for the purpose of paying on behalf of the holder thereof the exercise price of stock options or for paying taxes due as a result of such exercise or lapse of forfeiture restrictions), or the conversion of outstanding preferred stock or other outstanding Convertible Securities which are outstanding on date hereof or granted pursuant to an Approved Stock Plan after the date hereof, provided, that such issuance of Common Stock upon exercise of such Options or Convertible Securities is made pursuant to the terms of either: (I) such Approved Stock Plan or (II) such Options or Convertible Securities in effect on the date hereof and, in the case of (II), such Options or Convertible Securities are not amended, modified or changed on or after the date hereof to increase the number of such securities, to decrease the exercise price, exchange price or conversion price of such securities or to extend the term of such securities; or (2) to the granting of registration rights with respect to any issuance of securities under clause (B) of this sentence; provided that no such registration statement is filed with respect to such securities during the Restricted Period. As used herein, (i) “</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and Options) or any of its subsidiaries; (ii) “</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shares of Common Stock or Convertible Securities; and (iii) “</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stock option plan or employee benefit plan or any stock or option plan or other agreement which has been approved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prior to the date hereof, or any stock option plan or employee benefit plan or any stock or option plan or other agreement which is approved by:</w:t>
      </w:r>
    </w:p>
    <w:p>
      <w:pPr>
        <w:spacing w:after="0" w:line="1" w:lineRule="exact"/>
        <w:rPr>
          <w:sz w:val="20"/>
          <w:szCs w:val="20"/>
          <w:color w:val="auto"/>
        </w:rPr>
      </w:pPr>
    </w:p>
    <w:p>
      <w:pPr>
        <w:ind w:left="1200" w:hanging="328"/>
        <w:spacing w:after="0"/>
        <w:tabs>
          <w:tab w:leader="none" w:pos="1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Board of Directors or the compensation committee thereof and the stockholders of the Company after the date hereof, or</w:t>
      </w:r>
    </w:p>
    <w:p>
      <w:pPr>
        <w:spacing w:after="0" w:line="22" w:lineRule="exact"/>
        <w:rPr>
          <w:rFonts w:ascii="Arial" w:cs="Arial" w:eastAsia="Arial" w:hAnsi="Arial"/>
          <w:sz w:val="18"/>
          <w:szCs w:val="18"/>
          <w:color w:val="auto"/>
        </w:rPr>
      </w:pPr>
    </w:p>
    <w:p>
      <w:pPr>
        <w:jc w:val="both"/>
        <w:ind w:left="880" w:hanging="8"/>
        <w:spacing w:after="0" w:line="241" w:lineRule="auto"/>
        <w:tabs>
          <w:tab w:leader="none" w:pos="1204"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Board of Directors or the compensation committee thereof as inducement grants in accordance with Nasdaq Listing Rule 5635(c)(4) after the date hereof, pursuant to which shares of Common Stock, options to purchase Common Stock and other incentive equity awards may be issued to any employee, officer, consultant or director for services provided to the Company in their capacity as such.</w:t>
      </w:r>
    </w:p>
    <w:p>
      <w:pPr>
        <w:spacing w:after="0" w:line="194" w:lineRule="exact"/>
        <w:rPr>
          <w:rFonts w:ascii="Arial" w:cs="Arial" w:eastAsia="Arial" w:hAnsi="Arial"/>
          <w:sz w:val="20"/>
          <w:szCs w:val="20"/>
          <w:color w:val="auto"/>
        </w:rPr>
      </w:pPr>
    </w:p>
    <w:p>
      <w:pPr>
        <w:jc w:val="both"/>
        <w:ind w:left="880" w:hanging="440"/>
        <w:spacing w:after="0" w:line="259" w:lineRule="auto"/>
        <w:tabs>
          <w:tab w:leader="none" w:pos="8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By no later than 9:15 a.m., New York City time on September 23, 2021, the Company shall file a Current Report on Form 8-K disclosing all the material terms of the transactions contemplated by this letter agreement and the Omnibus Amendment (the “</w:t>
      </w:r>
      <w:r>
        <w:rPr>
          <w:rFonts w:ascii="Arial" w:cs="Arial" w:eastAsia="Arial" w:hAnsi="Arial"/>
          <w:sz w:val="19"/>
          <w:szCs w:val="19"/>
          <w:b w:val="1"/>
          <w:bCs w:val="1"/>
          <w:color w:val="auto"/>
        </w:rPr>
        <w:t>Form 8-K</w:t>
      </w:r>
      <w:r>
        <w:rPr>
          <w:rFonts w:ascii="Arial" w:cs="Arial" w:eastAsia="Arial" w:hAnsi="Arial"/>
          <w:sz w:val="19"/>
          <w:szCs w:val="19"/>
          <w:color w:val="auto"/>
        </w:rPr>
        <w:t>”). From and after the issuance of the Form 8-K, the Company shall have disclosed all material, nonpublic information (if any) provided to High Trail ON or High Trail SA by the Company or any of its subsidiaries or any of their respective officers, directors, employees or agents and neither High Trail ON nor High Trail SA shall be in possession of any material, non-public information regarding the Company or any of its Subsidiaries.</w:t>
      </w:r>
    </w:p>
    <w:p>
      <w:pPr>
        <w:spacing w:after="0" w:line="178" w:lineRule="exact"/>
        <w:rPr>
          <w:rFonts w:ascii="Arial" w:cs="Arial" w:eastAsia="Arial" w:hAnsi="Arial"/>
          <w:sz w:val="19"/>
          <w:szCs w:val="19"/>
          <w:color w:val="auto"/>
        </w:rPr>
      </w:pPr>
    </w:p>
    <w:p>
      <w:pPr>
        <w:jc w:val="both"/>
        <w:ind w:left="880" w:hanging="440"/>
        <w:spacing w:after="0" w:line="246"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Company shall, within two Business Days of the date of this letter agreement, pay all reasonable and documented out-of-pocket expenses and costs of High Trail ON and High Trail SA (including, without limitation, the reasonable and documented attorney fees and expenses of counsel for High Trail ON and High Trail SA) in connection with the preparation, negotiation, execution and approval of this letter agreement.</w:t>
      </w:r>
    </w:p>
    <w:p>
      <w:pPr>
        <w:spacing w:after="0" w:line="191"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Any breach of the terms and conditions by the Company of this letter agreement or failure to deliver the shares of Common Stock pursuant to Event of Default Stock Payment Notices delivered hereunder will constitute an Event of Default under each of the Notes and void this letter agreement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i w:val="1"/>
          <w:iCs w:val="1"/>
          <w:color w:val="auto"/>
        </w:rPr>
        <w:t>[Remainder of Page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509270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582" w:right="1440" w:bottom="1440" w:gutter="0" w:footer="0" w:header="0"/>
        </w:sectPr>
      </w:pPr>
    </w:p>
    <w:bookmarkStart w:id="90" w:name="page91"/>
    <w:bookmarkEnd w:id="90"/>
    <w:p>
      <w:pPr>
        <w:ind w:right="200"/>
        <w:spacing w:after="0" w:line="250" w:lineRule="auto"/>
        <w:rPr>
          <w:sz w:val="20"/>
          <w:szCs w:val="20"/>
          <w:color w:val="auto"/>
        </w:rPr>
      </w:pPr>
      <w:r>
        <w:rPr>
          <w:rFonts w:ascii="Arial" w:cs="Arial" w:eastAsia="Arial" w:hAnsi="Arial"/>
          <w:sz w:val="20"/>
          <w:szCs w:val="20"/>
          <w:color w:val="auto"/>
        </w:rPr>
        <w:t>This letter agreement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199" w:lineRule="exact"/>
        <w:rPr>
          <w:sz w:val="20"/>
          <w:szCs w:val="20"/>
          <w:color w:val="auto"/>
        </w:rPr>
      </w:pPr>
    </w:p>
    <w:tbl>
      <w:tblPr>
        <w:tblLayout w:type="fixed"/>
        <w:tblInd w:w="5940" w:type="dxa"/>
        <w:tblCellMar>
          <w:top w:w="0" w:type="dxa"/>
          <w:left w:w="0" w:type="dxa"/>
          <w:bottom w:w="0" w:type="dxa"/>
          <w:right w:w="0" w:type="dxa"/>
        </w:tblCellMar>
      </w:tblP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Very truly yours,</w:t>
            </w:r>
          </w:p>
        </w:tc>
        <w:tc>
          <w:tcPr>
            <w:tcW w:w="3800" w:type="dxa"/>
            <w:vAlign w:val="bottom"/>
          </w:tcPr>
          <w:p>
            <w:pPr>
              <w:spacing w:after="0"/>
              <w:rPr>
                <w:sz w:val="21"/>
                <w:szCs w:val="21"/>
                <w:color w:val="auto"/>
              </w:rPr>
            </w:pPr>
          </w:p>
        </w:tc>
      </w:tr>
      <w:tr>
        <w:trPr>
          <w:trHeight w:val="459"/>
        </w:trPr>
        <w:tc>
          <w:tcPr>
            <w:tcW w:w="1500" w:type="dxa"/>
            <w:vAlign w:val="bottom"/>
          </w:tcPr>
          <w:p>
            <w:pPr>
              <w:spacing w:after="0"/>
              <w:rPr>
                <w:sz w:val="20"/>
                <w:szCs w:val="20"/>
                <w:color w:val="auto"/>
              </w:rPr>
            </w:pPr>
            <w:r>
              <w:rPr>
                <w:rFonts w:ascii="Arial" w:cs="Arial" w:eastAsia="Arial" w:hAnsi="Arial"/>
                <w:sz w:val="20"/>
                <w:szCs w:val="20"/>
                <w:b w:val="1"/>
                <w:bCs w:val="1"/>
                <w:color w:val="auto"/>
              </w:rPr>
              <w:t>ATERIAN, INC.</w:t>
            </w:r>
          </w:p>
        </w:tc>
        <w:tc>
          <w:tcPr>
            <w:tcW w:w="3800" w:type="dxa"/>
            <w:vAlign w:val="bottom"/>
          </w:tcPr>
          <w:p>
            <w:pPr>
              <w:spacing w:after="0"/>
              <w:rPr>
                <w:sz w:val="24"/>
                <w:szCs w:val="24"/>
                <w:color w:val="auto"/>
              </w:rPr>
            </w:pPr>
          </w:p>
        </w:tc>
      </w:tr>
      <w:tr>
        <w:trPr>
          <w:trHeight w:val="462"/>
        </w:trPr>
        <w:tc>
          <w:tcPr>
            <w:tcW w:w="150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Arturo Rodriguez</w:t>
            </w:r>
          </w:p>
        </w:tc>
      </w:tr>
      <w:tr>
        <w:trPr>
          <w:trHeight w:val="213"/>
        </w:trPr>
        <w:tc>
          <w:tcPr>
            <w:tcW w:w="15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12" w:lineRule="exact"/>
              <w:rPr>
                <w:sz w:val="20"/>
                <w:szCs w:val="20"/>
                <w:color w:val="auto"/>
              </w:rPr>
            </w:pPr>
            <w:r>
              <w:rPr>
                <w:rFonts w:ascii="Arial" w:cs="Arial" w:eastAsia="Arial" w:hAnsi="Arial"/>
                <w:sz w:val="20"/>
                <w:szCs w:val="20"/>
                <w:color w:val="auto"/>
              </w:rPr>
              <w:t>Arturo Rodriguez</w:t>
            </w:r>
          </w:p>
        </w:tc>
      </w:t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AGREED AND ACCEPTED</w:t>
      </w:r>
      <w:r>
        <w:rPr>
          <w:rFonts w:ascii="Arial" w:cs="Arial" w:eastAsia="Arial" w:hAnsi="Arial"/>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 TRAIL INVESTMENTS ON LLC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0"/>
                <w:szCs w:val="20"/>
                <w:color w:val="auto"/>
              </w:rPr>
            </w:pPr>
            <w:r>
              <w:rPr>
                <w:rFonts w:ascii="Arial" w:cs="Arial" w:eastAsia="Arial" w:hAnsi="Arial"/>
                <w:sz w:val="20"/>
                <w:szCs w:val="20"/>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Eric Helenek</w:t>
            </w:r>
          </w:p>
        </w:tc>
        <w:tc>
          <w:tcPr>
            <w:tcW w:w="5960" w:type="dxa"/>
            <w:vAlign w:val="bottom"/>
          </w:tcPr>
          <w:p>
            <w:pPr>
              <w:spacing w:after="0"/>
              <w:rPr>
                <w:sz w:val="22"/>
                <w:szCs w:val="22"/>
                <w:color w:val="auto"/>
              </w:rPr>
            </w:pPr>
          </w:p>
        </w:tc>
      </w:tr>
      <w:tr>
        <w:trPr>
          <w:trHeight w:val="213"/>
        </w:trPr>
        <w:tc>
          <w:tcPr>
            <w:tcW w:w="15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3800" w:type="dxa"/>
            <w:vAlign w:val="bottom"/>
          </w:tcPr>
          <w:p>
            <w:pPr>
              <w:spacing w:after="0" w:line="212" w:lineRule="exact"/>
              <w:rPr>
                <w:sz w:val="20"/>
                <w:szCs w:val="20"/>
                <w:color w:val="auto"/>
              </w:rPr>
            </w:pPr>
            <w:r>
              <w:rPr>
                <w:rFonts w:ascii="Arial" w:cs="Arial" w:eastAsia="Arial" w:hAnsi="Arial"/>
                <w:sz w:val="20"/>
                <w:szCs w:val="20"/>
                <w:color w:val="auto"/>
              </w:rPr>
              <w:t>Eric Helenek</w:t>
            </w:r>
          </w:p>
        </w:tc>
        <w:tc>
          <w:tcPr>
            <w:tcW w:w="5960" w:type="dxa"/>
            <w:vAlign w:val="bottom"/>
          </w:tcPr>
          <w:p>
            <w:pPr>
              <w:spacing w:after="0"/>
              <w:rPr>
                <w:sz w:val="18"/>
                <w:szCs w:val="18"/>
                <w:color w:val="auto"/>
              </w:rPr>
            </w:pPr>
          </w:p>
        </w:tc>
      </w:tr>
      <w:tr>
        <w:trPr>
          <w:trHeight w:val="250"/>
        </w:trPr>
        <w:tc>
          <w:tcPr>
            <w:tcW w:w="1500" w:type="dxa"/>
            <w:vAlign w:val="bottom"/>
          </w:tcPr>
          <w:p>
            <w:pPr>
              <w:spacing w:after="0"/>
              <w:rPr>
                <w:sz w:val="20"/>
                <w:szCs w:val="20"/>
                <w:color w:val="auto"/>
              </w:rPr>
            </w:pPr>
            <w:r>
              <w:rPr>
                <w:rFonts w:ascii="Arial" w:cs="Arial" w:eastAsia="Arial" w:hAnsi="Arial"/>
                <w:sz w:val="20"/>
                <w:szCs w:val="20"/>
                <w:color w:val="auto"/>
              </w:rPr>
              <w:t>Title:</w:t>
            </w:r>
          </w:p>
        </w:tc>
        <w:tc>
          <w:tcPr>
            <w:tcW w:w="3800" w:type="dxa"/>
            <w:vAlign w:val="bottom"/>
          </w:tcPr>
          <w:p>
            <w:pPr>
              <w:spacing w:after="0"/>
              <w:rPr>
                <w:sz w:val="20"/>
                <w:szCs w:val="20"/>
                <w:color w:val="auto"/>
              </w:rPr>
            </w:pPr>
            <w:r>
              <w:rPr>
                <w:rFonts w:ascii="Arial" w:cs="Arial" w:eastAsia="Arial" w:hAnsi="Arial"/>
                <w:sz w:val="20"/>
                <w:szCs w:val="20"/>
                <w:color w:val="auto"/>
              </w:rPr>
              <w:t>Authorized Signatory</w:t>
            </w:r>
          </w:p>
        </w:tc>
        <w:tc>
          <w:tcPr>
            <w:tcW w:w="5960" w:type="dxa"/>
            <w:vAlign w:val="bottom"/>
          </w:tcPr>
          <w:p>
            <w:pPr>
              <w:spacing w:after="0"/>
              <w:rPr>
                <w:sz w:val="21"/>
                <w:szCs w:val="21"/>
                <w:color w:val="auto"/>
              </w:rPr>
            </w:pPr>
          </w:p>
        </w:tc>
      </w:tr>
      <w:tr>
        <w:trPr>
          <w:trHeight w:val="1015"/>
        </w:trPr>
        <w:tc>
          <w:tcPr>
            <w:tcW w:w="15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91" w:name="page92"/>
    <w:bookmarkEnd w:id="91"/>
    <w:p>
      <w:pPr>
        <w:jc w:val="center"/>
        <w:spacing w:after="0"/>
        <w:rPr>
          <w:sz w:val="20"/>
          <w:szCs w:val="20"/>
          <w:color w:val="auto"/>
        </w:rPr>
      </w:pPr>
      <w:r>
        <w:rPr>
          <w:rFonts w:ascii="Arial" w:cs="Arial" w:eastAsia="Arial" w:hAnsi="Arial"/>
          <w:sz w:val="20"/>
          <w:szCs w:val="20"/>
          <w:b w:val="1"/>
          <w:bCs w:val="1"/>
          <w:color w:val="auto"/>
        </w:rPr>
        <w:t>Exhibit A</w:t>
      </w:r>
    </w:p>
    <w:p>
      <w:pPr>
        <w:spacing w:after="0" w:line="243"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Form of Second Omnibus Amendment to Senior Secured Notes Due 2024 and Warrants to Purchase Common Stock (see attached)</w:t>
      </w:r>
    </w:p>
    <w:p>
      <w:pPr>
        <w:sectPr>
          <w:pgSz w:w="11900" w:h="16838" w:orient="portrait"/>
          <w:cols w:equalWidth="0" w:num="1">
            <w:col w:w="9800"/>
          </w:cols>
          <w:pgMar w:left="1040" w:top="346" w:right="10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FINANCIAL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Aterian,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63" w:lineRule="auto"/>
        <w:tabs>
          <w:tab w:leader="none" w:pos="7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140" w:hanging="7"/>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120" w:right="260" w:hanging="7"/>
        <w:spacing w:after="0" w:line="334" w:lineRule="auto"/>
        <w:tabs>
          <w:tab w:leader="none" w:pos="12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20" w:right="100" w:hanging="7"/>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34" w:lineRule="auto"/>
        <w:tabs>
          <w:tab w:leader="none" w:pos="12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20" w:right="160" w:hanging="7"/>
        <w:spacing w:after="0" w:line="277" w:lineRule="auto"/>
        <w:tabs>
          <w:tab w:leader="none" w:pos="12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77" w:lineRule="exact"/>
        <w:rPr>
          <w:sz w:val="20"/>
          <w:szCs w:val="20"/>
          <w:color w:val="auto"/>
        </w:rPr>
      </w:pPr>
    </w:p>
    <w:p>
      <w:pPr>
        <w:ind w:left="740" w:hanging="18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Aterian,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60" w:right="200" w:hanging="1"/>
        <w:spacing w:after="0" w:line="263" w:lineRule="auto"/>
        <w:tabs>
          <w:tab w:leader="none" w:pos="7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140" w:hanging="7"/>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1120" w:right="260" w:hanging="7"/>
        <w:spacing w:after="0" w:line="334" w:lineRule="auto"/>
        <w:tabs>
          <w:tab w:leader="none" w:pos="12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120" w:right="100" w:hanging="7"/>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34" w:lineRule="auto"/>
        <w:tabs>
          <w:tab w:leader="none" w:pos="12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20" w:right="160" w:hanging="7"/>
        <w:spacing w:after="0" w:line="277" w:lineRule="auto"/>
        <w:tabs>
          <w:tab w:leader="none" w:pos="129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94" w:name="page95"/>
    <w:bookmarkEnd w:id="94"/>
    <w:p>
      <w:pPr>
        <w:ind w:left="9520"/>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551"/>
        <w:spacing w:after="0" w:line="263" w:lineRule="auto"/>
        <w:rPr>
          <w:sz w:val="20"/>
          <w:szCs w:val="20"/>
          <w:color w:val="auto"/>
        </w:rPr>
      </w:pPr>
      <w:r>
        <w:rPr>
          <w:rFonts w:ascii="Arial" w:cs="Arial" w:eastAsia="Arial" w:hAnsi="Arial"/>
          <w:sz w:val="18"/>
          <w:szCs w:val="18"/>
          <w:color w:val="auto"/>
        </w:rPr>
        <w:t>In connection with the Quarterly Report on Form 10-Q of Aterian, Inc. (the “Company”) for the period ended September 30, 2021 as filed with the Securities and Exchange Commission on the date hereof (the “Report”), the undersigned hereby certify, pursuant to 18 U.S.C. Section 1350, as adopted pursuant to Section 906 of the Sarbanes-Oxley Act of 2002, to their knowledge that:</w:t>
      </w:r>
    </w:p>
    <w:p>
      <w:pPr>
        <w:spacing w:after="0" w:line="35" w:lineRule="exact"/>
        <w:rPr>
          <w:sz w:val="20"/>
          <w:szCs w:val="20"/>
          <w:color w:val="auto"/>
        </w:rPr>
      </w:pPr>
    </w:p>
    <w:p>
      <w:pPr>
        <w:ind w:left="820" w:hanging="261"/>
        <w:spacing w:after="0"/>
        <w:tabs>
          <w:tab w:leader="none" w:pos="8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680" w:hanging="1"/>
        <w:spacing w:after="0" w:line="277" w:lineRule="auto"/>
        <w:tabs>
          <w:tab w:leader="none" w:pos="8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Arturo Rodriguez</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Arturo Rodriguez</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November 9, 2021</w:t>
            </w:r>
          </w:p>
        </w:tc>
        <w:tc>
          <w:tcPr>
            <w:tcW w:w="4000" w:type="dxa"/>
            <w:vAlign w:val="bottom"/>
          </w:tcPr>
          <w:p>
            <w:pPr>
              <w:spacing w:after="0"/>
              <w:rPr>
                <w:sz w:val="20"/>
                <w:szCs w:val="20"/>
                <w:color w:val="auto"/>
              </w:rPr>
            </w:pPr>
            <w:r>
              <w:rPr>
                <w:rFonts w:ascii="Arial" w:cs="Arial" w:eastAsia="Arial" w:hAnsi="Arial"/>
                <w:sz w:val="18"/>
                <w:szCs w:val="18"/>
                <w:color w:val="auto"/>
              </w:rPr>
              <w:t>November 9, 2021</w:t>
            </w:r>
          </w:p>
        </w:tc>
      </w:tr>
    </w:tbl>
    <w:p>
      <w:pPr>
        <w:spacing w:after="0" w:line="175" w:lineRule="exact"/>
        <w:rPr>
          <w:sz w:val="20"/>
          <w:szCs w:val="20"/>
          <w:color w:val="auto"/>
        </w:rPr>
      </w:pPr>
    </w:p>
    <w:p>
      <w:pPr>
        <w:ind w:right="24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1."/>
      <w:numFmt w:val="decimal"/>
      <w:start w:val="5"/>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lowerRoman"/>
      <w:start w:val="4"/>
    </w:lvl>
  </w:abstractNum>
  <w:abstractNum w:abstractNumId="10">
    <w:nsid w:val="B03E0C6"/>
    <w:multiLevelType w:val="hybridMultilevel"/>
    <w:lvl w:ilvl="0">
      <w:lvlJc w:val="left"/>
      <w:lvlText w:val="(%1)"/>
      <w:numFmt w:val="lowerRoman"/>
      <w:start w:val="2"/>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Roman"/>
      <w:start w:val="1"/>
    </w:lvl>
  </w:abstractNum>
  <w:abstractNum w:abstractNumId="13">
    <w:nsid w:val="71F32454"/>
    <w:multiLevelType w:val="hybridMultilevel"/>
    <w:lvl w:ilvl="0">
      <w:lvlJc w:val="left"/>
      <w:lvlText w:val="%1."/>
      <w:numFmt w:val="decimal"/>
      <w:start w:val="7"/>
    </w:lvl>
  </w:abstractNum>
  <w:abstractNum w:abstractNumId="14">
    <w:nsid w:val="2CA88611"/>
    <w:multiLevelType w:val="hybridMultilevel"/>
    <w:lvl w:ilvl="0">
      <w:lvlJc w:val="left"/>
      <w:lvlText w:val="%1."/>
      <w:numFmt w:val="decimal"/>
      <w:start w:val="8"/>
    </w:lvl>
  </w:abstractNum>
  <w:abstractNum w:abstractNumId="15">
    <w:nsid w:val="836C40E"/>
    <w:multiLevelType w:val="hybridMultilevel"/>
    <w:lvl w:ilvl="0">
      <w:lvlJc w:val="left"/>
      <w:lvlText w:val="%1."/>
      <w:numFmt w:val="decimal"/>
      <w:start w:val="9"/>
    </w:lvl>
  </w:abstractNum>
  <w:abstractNum w:abstractNumId="16">
    <w:nsid w:val="2901D82"/>
    <w:multiLevelType w:val="hybridMultilevel"/>
    <w:lvl w:ilvl="0">
      <w:lvlJc w:val="left"/>
      <w:lvlText w:val="%1."/>
      <w:numFmt w:val="decimal"/>
      <w:start w:val="10"/>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lowerRoman"/>
      <w:start w:val="2"/>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amp;"/>
      <w:numFmt w:val="bullet"/>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2"/>
    </w:lvl>
  </w:abstractNum>
  <w:abstractNum w:abstractNumId="32">
    <w:nsid w:val="77465F01"/>
    <w:multiLevelType w:val="hybridMultilevel"/>
    <w:lvl w:ilvl="0">
      <w:lvlJc w:val="left"/>
      <w:lvlText w:val="%1"/>
      <w:numFmt w:val="decimal"/>
      <w:start w:val="1"/>
    </w:lvl>
    <w:lvl w:ilvl="1">
      <w:lvlJc w:val="left"/>
      <w:lvlText w:val="(%2)"/>
      <w:numFmt w:val="upperLetter"/>
      <w:start w:val="1"/>
    </w:lvl>
  </w:abstractNum>
  <w:abstractNum w:abstractNumId="33">
    <w:nsid w:val="7724C67E"/>
    <w:multiLevelType w:val="hybridMultilevel"/>
    <w:lvl w:ilvl="0">
      <w:lvlJc w:val="left"/>
      <w:lvlText w:val="%1."/>
      <w:numFmt w:val="decimal"/>
      <w:start w:val="7"/>
    </w:lvl>
    <w:lvl w:ilvl="1">
      <w:lvlJc w:val="left"/>
      <w:lvlText w:val="%2"/>
      <w:numFmt w:val="upperLetter"/>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1"/>
      <w:numFmt w:val="decimal"/>
      <w:start w:val="1"/>
    </w:lvl>
    <w:lvl w:ilvl="1">
      <w:lvlJc w:val="left"/>
      <w:lvlText w:val="(%2)"/>
      <w:numFmt w:val="upperLetter"/>
      <w:start w:val="1"/>
    </w:lvl>
  </w:abstractNum>
  <w:abstractNum w:abstractNumId="37">
    <w:nsid w:val="51EAD36B"/>
    <w:multiLevelType w:val="hybridMultilevel"/>
    <w:lvl w:ilvl="0">
      <w:lvlJc w:val="left"/>
      <w:lvlText w:val="%1."/>
      <w:numFmt w:val="decimal"/>
      <w:start w:val="7"/>
    </w:lvl>
    <w:lvl w:ilvl="1">
      <w:lvlJc w:val="left"/>
      <w:lvlText w:val="%2"/>
      <w:numFmt w:val="upp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7"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08" Type="http://schemas.openxmlformats.org/officeDocument/2006/relationships/hyperlink" Target="http://www.sec.gov/Archives/edgar/data/1757715/000119312519173667/d826688dex31.htm" TargetMode="External"/><Relationship Id="rId109" Type="http://schemas.openxmlformats.org/officeDocument/2006/relationships/hyperlink" Target="http://www.sec.gov/Archives/edgar/data/1757715/000119312521142247/d180974dex31.htm" TargetMode="External"/><Relationship Id="rId110" Type="http://schemas.openxmlformats.org/officeDocument/2006/relationships/hyperlink" Target="http://www.sec.gov/Archives/edgar/data/1757715/000119312521142247/d180974dex32.htm" TargetMode="External"/><Relationship Id="rId111" Type="http://schemas.openxmlformats.org/officeDocument/2006/relationships/hyperlink" Target="http://www.sec.gov/Archives/edgar/data/1757715/000119312521142247/d180974dex33.htm" TargetMode="External"/><Relationship Id="rId112" Type="http://schemas.openxmlformats.org/officeDocument/2006/relationships/hyperlink" Target="http://www.sec.gov/Archives/edgar/data/1757715/000119312519157090/d639806dex41.htm" TargetMode="External"/><Relationship Id="rId113" Type="http://schemas.openxmlformats.org/officeDocument/2006/relationships/hyperlink" Target="http://www.sec.gov/Archives/edgar/data/1757715/000119312519144273/d639806dex42.htm" TargetMode="External"/><Relationship Id="rId114" Type="http://schemas.openxmlformats.org/officeDocument/2006/relationships/hyperlink" Target="http://www.sec.gov/Archives/edgar/data/1757715/000119312519144273/d639806dex44.htm" TargetMode="External"/><Relationship Id="rId115" Type="http://schemas.openxmlformats.org/officeDocument/2006/relationships/hyperlink" Target="http://www.sec.gov/Archives/edgar/data/1757715/000119312519144273/d639806dex45.htm" TargetMode="External"/><Relationship Id="rId116" Type="http://schemas.openxmlformats.org/officeDocument/2006/relationships/hyperlink" Target="http://www.sec.gov/Archives/edgar/data/1757715/000119312519144273/d639806dex46.htm" TargetMode="External"/><Relationship Id="rId117" Type="http://schemas.openxmlformats.org/officeDocument/2006/relationships/hyperlink" Target="http://www.sec.gov/Archives/edgar/data/1757715/000156459020052585/mwk-ex47_108.htm" TargetMode="External"/><Relationship Id="rId118" Type="http://schemas.openxmlformats.org/officeDocument/2006/relationships/hyperlink" Target="http://www.sec.gov/Archives/edgar/data/0001757715/000119312521026328/d101467dex42.htm" TargetMode="External"/><Relationship Id="rId119" Type="http://schemas.openxmlformats.org/officeDocument/2006/relationships/hyperlink" Target="http://www.sec.gov/Archives/edgar/data/0001757715/000119312521026328/d101467dex44.htm" TargetMode="External"/><Relationship Id="rId120" Type="http://schemas.openxmlformats.org/officeDocument/2006/relationships/hyperlink" Target="http://www.sec.gov/Archives/edgar/data/0001757715/000119312521033476/d111753dex41.htm" TargetMode="External"/><Relationship Id="rId121" Type="http://schemas.openxmlformats.org/officeDocument/2006/relationships/hyperlink" Target="http://www.sec.gov/Archives/edgar/data/0001757715/000119312521033476/d111753dex42.htm" TargetMode="External"/><Relationship Id="rId122" Type="http://schemas.openxmlformats.org/officeDocument/2006/relationships/hyperlink" Target="http://www.sec.gov/Archives/edgar/data/0001757715/000119312521033476/d111753dex45.htm" TargetMode="External"/><Relationship Id="rId123" Type="http://schemas.openxmlformats.org/officeDocument/2006/relationships/hyperlink" Target="http://www.sec.gov/Archives/edgar/data/1757715/000119312521111063/d149534dex41.htm" TargetMode="External"/><Relationship Id="rId124" Type="http://schemas.openxmlformats.org/officeDocument/2006/relationships/hyperlink" Target="http://www.sec.gov/Archives/edgar/data/1757715/000119312521111063/d149534dex42.htm" TargetMode="External"/><Relationship Id="rId125" Type="http://schemas.openxmlformats.org/officeDocument/2006/relationships/hyperlink" Target="http://www.sec.gov/Archives/edgar/data/1757715/000119312521111063/d149534dex43.htm" TargetMode="External"/><Relationship Id="rId126" Type="http://schemas.openxmlformats.org/officeDocument/2006/relationships/hyperlink" Target="http://www.sec.gov/Archives/edgar/data/1757715/000119312521111063/d149534dex44.htm" TargetMode="External"/><Relationship Id="rId128" Type="http://schemas.openxmlformats.org/officeDocument/2006/relationships/hyperlink" Target="http://www.sec.gov/Archives/edgar/data/1757715/000119312521111063/d149534dex45.htm" TargetMode="External"/><Relationship Id="rId129" Type="http://schemas.openxmlformats.org/officeDocument/2006/relationships/hyperlink" Target="http://www.sec.gov/Archives/edgar/data/1757715/000156459021042357/ater-ex1013_90.htm" TargetMode="External"/><Relationship Id="rId130" Type="http://schemas.openxmlformats.org/officeDocument/2006/relationships/hyperlink" Target="http://www.sec.gov/Archives/edgar/data/1757715/000119312521241094/d137581dex105.htm" TargetMode="External"/><Relationship Id="rId131" Type="http://schemas.openxmlformats.org/officeDocument/2006/relationships/hyperlink" Target="http://www.sec.gov/Archives/edgar/data/1757715/000119312521241094/d137581dex101.htm" TargetMode="External"/><Relationship Id="rId132" Type="http://schemas.openxmlformats.org/officeDocument/2006/relationships/hyperlink" Target="http://www.sec.gov/Archives/edgar/data/1757715/000119312521241094/d137581dex102.htm" TargetMode="External"/><Relationship Id="rId133" Type="http://schemas.openxmlformats.org/officeDocument/2006/relationships/hyperlink" Target="http://www.sec.gov/Archives/edgar/data/1757715/000119312521241094/d137581dex103.htm" TargetMode="External"/><Relationship Id="rId134" Type="http://schemas.openxmlformats.org/officeDocument/2006/relationships/hyperlink" Target="http://www.sec.gov/Archives/edgar/data/1757715/000119312521241094/d137581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2021-11-09T06:50:38Z</dcterms:created>
  <dcterms:modified xsi:type="dcterms:W3CDTF">2021-11-09T06:50:38Z</dcterms:modified>
</cp:coreProperties>
</file>